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3360" w:firstLineChars="700"/>
        <w:jc w:val="both"/>
        <w:rPr>
          <w:sz w:val="48"/>
          <w:szCs w:val="48"/>
        </w:rPr>
      </w:pPr>
    </w:p>
    <w:p>
      <w:pPr>
        <w:pStyle w:val="10"/>
        <w:ind w:firstLine="3360" w:firstLineChars="700"/>
        <w:jc w:val="both"/>
        <w:rPr>
          <w:sz w:val="48"/>
          <w:szCs w:val="48"/>
        </w:rPr>
      </w:pPr>
      <w:r>
        <w:rPr>
          <w:rFonts w:hint="eastAsia"/>
          <w:sz w:val="48"/>
          <w:szCs w:val="48"/>
        </w:rPr>
        <w:t>新田县</w:t>
      </w:r>
      <w:r>
        <w:rPr>
          <w:rFonts w:hint="eastAsia"/>
          <w:sz w:val="48"/>
          <w:szCs w:val="48"/>
          <w:lang w:eastAsia="zh-CN"/>
        </w:rPr>
        <w:t>云梯学校</w:t>
      </w:r>
      <w:r>
        <w:rPr>
          <w:rFonts w:hint="eastAsia"/>
          <w:sz w:val="48"/>
          <w:szCs w:val="48"/>
        </w:rPr>
        <w:t>2022年度部门决算公开</w:t>
      </w:r>
    </w:p>
    <w:p>
      <w:pPr>
        <w:pStyle w:val="10"/>
        <w:spacing w:line="500" w:lineRule="exact"/>
        <w:ind w:firstLine="6144" w:firstLineChars="1700"/>
        <w:jc w:val="both"/>
        <w:rPr>
          <w:b/>
          <w:sz w:val="36"/>
          <w:szCs w:val="28"/>
        </w:rPr>
      </w:pPr>
    </w:p>
    <w:p>
      <w:pPr>
        <w:pStyle w:val="10"/>
        <w:spacing w:line="500" w:lineRule="exact"/>
        <w:ind w:firstLine="6626" w:firstLineChars="1500"/>
        <w:jc w:val="both"/>
        <w:rPr>
          <w:b/>
          <w:sz w:val="36"/>
          <w:szCs w:val="28"/>
        </w:rPr>
      </w:pPr>
      <w:r>
        <w:rPr>
          <w:rFonts w:hint="eastAsia"/>
          <w:b/>
          <w:sz w:val="44"/>
          <w:szCs w:val="44"/>
        </w:rPr>
        <w:t>目录</w:t>
      </w:r>
    </w:p>
    <w:p>
      <w:pPr>
        <w:pStyle w:val="10"/>
        <w:spacing w:line="500" w:lineRule="exact"/>
        <w:rPr>
          <w:rFonts w:hAnsi="黑体"/>
          <w:bCs/>
          <w:sz w:val="28"/>
          <w:szCs w:val="28"/>
        </w:rPr>
      </w:pPr>
    </w:p>
    <w:p>
      <w:pPr>
        <w:pStyle w:val="10"/>
        <w:spacing w:line="500" w:lineRule="exact"/>
        <w:rPr>
          <w:rFonts w:hAnsi="黑体"/>
          <w:b/>
          <w:sz w:val="28"/>
          <w:szCs w:val="28"/>
        </w:rPr>
      </w:pPr>
      <w:r>
        <w:rPr>
          <w:rFonts w:hint="eastAsia" w:hAnsi="黑体"/>
          <w:b/>
          <w:sz w:val="28"/>
          <w:szCs w:val="28"/>
        </w:rPr>
        <w:t>第一部分 新田县云梯学校概况</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Ansi="黑体"/>
          <w:b/>
          <w:sz w:val="28"/>
          <w:szCs w:val="28"/>
        </w:rPr>
      </w:pPr>
      <w:r>
        <w:rPr>
          <w:rFonts w:hint="eastAsia" w:hAnsi="黑体"/>
          <w:b/>
          <w:sz w:val="28"/>
          <w:szCs w:val="28"/>
        </w:rPr>
        <w:t>第二部分 部门决算表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Ansi="黑体"/>
          <w:bCs/>
          <w:sz w:val="28"/>
          <w:szCs w:val="28"/>
        </w:rPr>
      </w:pPr>
    </w:p>
    <w:p>
      <w:pPr>
        <w:pStyle w:val="10"/>
        <w:spacing w:line="500" w:lineRule="exact"/>
        <w:rPr>
          <w:rFonts w:hAnsi="黑体"/>
          <w:b/>
          <w:sz w:val="28"/>
          <w:szCs w:val="28"/>
        </w:rPr>
      </w:pPr>
      <w:r>
        <w:rPr>
          <w:rFonts w:hint="eastAsia" w:hAnsi="黑体"/>
          <w:b/>
          <w:sz w:val="28"/>
          <w:szCs w:val="28"/>
        </w:rPr>
        <w:t>第三部分 部门决算情况说明</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Ansi="黑体"/>
          <w:b/>
          <w:sz w:val="28"/>
          <w:szCs w:val="28"/>
        </w:rPr>
      </w:pPr>
      <w:r>
        <w:rPr>
          <w:rFonts w:hint="eastAsia" w:hAnsi="黑体"/>
          <w:b/>
          <w:sz w:val="28"/>
          <w:szCs w:val="28"/>
        </w:rPr>
        <w:t>第四部分 名词解释</w:t>
      </w:r>
    </w:p>
    <w:p>
      <w:pPr>
        <w:pStyle w:val="10"/>
        <w:spacing w:line="500" w:lineRule="exact"/>
        <w:rPr>
          <w:rFonts w:hAnsi="黑体"/>
          <w:b/>
          <w:sz w:val="28"/>
          <w:szCs w:val="28"/>
        </w:rPr>
      </w:pPr>
      <w:r>
        <w:rPr>
          <w:rFonts w:hAnsi="黑体"/>
          <w:b/>
          <w:sz w:val="28"/>
          <w:szCs w:val="28"/>
        </w:rPr>
        <w:t>第五部分</w:t>
      </w:r>
      <w:r>
        <w:rPr>
          <w:rFonts w:hint="eastAsia" w:hAnsi="黑体"/>
          <w:b/>
          <w:sz w:val="28"/>
          <w:szCs w:val="28"/>
        </w:rPr>
        <w:t xml:space="preserve"> </w:t>
      </w:r>
      <w:r>
        <w:rPr>
          <w:rFonts w:hAnsi="黑体"/>
          <w:b/>
          <w:sz w:val="28"/>
          <w:szCs w:val="28"/>
        </w:rPr>
        <w:t>附件</w:t>
      </w:r>
    </w:p>
    <w:p>
      <w:pPr>
        <w:rPr>
          <w:rFonts w:ascii="黑体" w:hAnsi="黑体" w:eastAsia="黑体" w:cs="黑体"/>
          <w:b/>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b/>
          <w:bCs/>
          <w:sz w:val="72"/>
          <w:szCs w:val="72"/>
        </w:rPr>
      </w:pPr>
      <w:r>
        <w:rPr>
          <w:rFonts w:hint="eastAsia" w:ascii="黑体" w:hAnsi="黑体" w:eastAsia="黑体" w:cs="黑体"/>
          <w:b/>
          <w:bCs/>
          <w:sz w:val="32"/>
          <w:szCs w:val="32"/>
        </w:rPr>
        <w:t>第一部分 新田县云梯学校概况</w:t>
      </w:r>
    </w:p>
    <w:p>
      <w:pPr>
        <w:pStyle w:val="11"/>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pStyle w:val="11"/>
        <w:ind w:left="720" w:firstLine="0" w:firstLineChars="0"/>
        <w:jc w:val="left"/>
        <w:rPr>
          <w:rFonts w:asciiTheme="minorEastAsia" w:hAnsiTheme="minorEastAsia" w:cstheme="minorEastAsia"/>
          <w:sz w:val="28"/>
          <w:szCs w:val="28"/>
        </w:rPr>
      </w:pPr>
      <w:r>
        <w:rPr>
          <w:rFonts w:hint="eastAsia" w:ascii="仿宋" w:hAnsi="仿宋" w:eastAsia="仿宋" w:cs="仿宋_GB2312"/>
          <w:sz w:val="32"/>
          <w:szCs w:val="32"/>
        </w:rPr>
        <w:t>本单位主要职能是实施基础教育教学工作，促进基础教育发展，开展初中学历教育。</w:t>
      </w:r>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ind w:firstLine="640" w:firstLineChars="200"/>
        <w:rPr>
          <w:rFonts w:ascii="仿宋" w:hAnsi="仿宋" w:eastAsia="仿宋" w:cs="仿宋_GB2312"/>
          <w:sz w:val="32"/>
          <w:szCs w:val="32"/>
        </w:rPr>
      </w:pPr>
      <w:r>
        <w:rPr>
          <w:rFonts w:hint="eastAsia" w:ascii="Times New Roman" w:hAnsi="Times New Roman" w:eastAsia="仿宋_GB2312" w:cs="仿宋_GB2312"/>
          <w:bCs/>
          <w:kern w:val="0"/>
          <w:sz w:val="32"/>
          <w:szCs w:val="32"/>
        </w:rPr>
        <w:t>（一）内设机构设置。</w:t>
      </w:r>
      <w:r>
        <w:rPr>
          <w:rFonts w:hint="eastAsia" w:asciiTheme="minorEastAsia" w:hAnsiTheme="minorEastAsia" w:cstheme="minorEastAsia"/>
          <w:bCs/>
          <w:sz w:val="28"/>
          <w:szCs w:val="28"/>
        </w:rPr>
        <w:t>云梯学校内设机构包括：</w:t>
      </w:r>
      <w:r>
        <w:rPr>
          <w:rFonts w:ascii="仿宋" w:hAnsi="仿宋" w:eastAsia="仿宋" w:cs="仿宋_GB2312"/>
          <w:sz w:val="32"/>
          <w:szCs w:val="32"/>
        </w:rPr>
        <w:t>根据编委核定，我</w:t>
      </w:r>
      <w:r>
        <w:rPr>
          <w:rFonts w:hint="eastAsia" w:ascii="仿宋" w:hAnsi="仿宋" w:eastAsia="仿宋" w:cs="仿宋_GB2312"/>
          <w:sz w:val="32"/>
          <w:szCs w:val="32"/>
        </w:rPr>
        <w:t>校属财政全额拨款事业单位，</w:t>
      </w:r>
      <w:r>
        <w:rPr>
          <w:rFonts w:ascii="仿宋" w:hAnsi="仿宋" w:eastAsia="仿宋" w:cs="仿宋_GB2312"/>
          <w:sz w:val="32"/>
          <w:szCs w:val="32"/>
        </w:rPr>
        <w:t>内设</w:t>
      </w:r>
      <w:r>
        <w:rPr>
          <w:rFonts w:hint="eastAsia" w:ascii="仿宋" w:hAnsi="仿宋" w:eastAsia="仿宋" w:cs="仿宋_GB2312"/>
          <w:sz w:val="32"/>
          <w:szCs w:val="32"/>
        </w:rPr>
        <w:t>工会、办公室、教务处、政教处、团委会。</w:t>
      </w:r>
    </w:p>
    <w:p>
      <w:pPr>
        <w:widowControl/>
        <w:spacing w:line="600" w:lineRule="exact"/>
        <w:ind w:firstLine="627" w:firstLineChars="196"/>
        <w:rPr>
          <w:rFonts w:cs="黑体" w:asciiTheme="minorEastAsia" w:hAnsiTheme="minorEastAsia"/>
          <w:kern w:val="0"/>
          <w:sz w:val="28"/>
          <w:szCs w:val="28"/>
          <w:shd w:val="clear" w:color="auto" w:fill="F6F6F6"/>
        </w:rPr>
      </w:pPr>
      <w:r>
        <w:rPr>
          <w:rFonts w:hint="eastAsia" w:ascii="Times New Roman" w:hAnsi="Times New Roman" w:eastAsia="仿宋_GB2312" w:cs="仿宋_GB2312"/>
          <w:bCs/>
          <w:kern w:val="0"/>
          <w:sz w:val="32"/>
          <w:szCs w:val="32"/>
        </w:rPr>
        <w:t>（二）决算单位构成。</w:t>
      </w:r>
      <w:r>
        <w:rPr>
          <w:rFonts w:hint="eastAsia" w:asciiTheme="minorEastAsia" w:hAnsiTheme="minorEastAsia" w:cstheme="minorEastAsia"/>
          <w:bCs/>
          <w:kern w:val="0"/>
          <w:sz w:val="28"/>
          <w:szCs w:val="28"/>
        </w:rPr>
        <w:t>云梯学校单位2022年部门决算汇总公开单位构成包括：</w:t>
      </w:r>
      <w:r>
        <w:rPr>
          <w:rFonts w:hint="eastAsia" w:asciiTheme="minorEastAsia" w:hAnsiTheme="minorEastAsia"/>
          <w:bCs/>
          <w:sz w:val="28"/>
          <w:szCs w:val="28"/>
        </w:rPr>
        <w:t>本</w:t>
      </w:r>
      <w:r>
        <w:rPr>
          <w:rFonts w:asciiTheme="minorEastAsia" w:hAnsiTheme="minorEastAsia"/>
          <w:sz w:val="28"/>
          <w:szCs w:val="28"/>
        </w:rPr>
        <w:t>部门只有本级，没有其他预算单位，因此本部门预算仅含本级</w:t>
      </w:r>
      <w:r>
        <w:rPr>
          <w:rFonts w:hint="eastAsia" w:asciiTheme="minorEastAsia" w:hAnsiTheme="minorEastAsia"/>
          <w:sz w:val="28"/>
          <w:szCs w:val="28"/>
        </w:rPr>
        <w:t>决</w:t>
      </w:r>
      <w:r>
        <w:rPr>
          <w:rFonts w:asciiTheme="minorEastAsia" w:hAnsiTheme="minorEastAsia"/>
          <w:sz w:val="28"/>
          <w:szCs w:val="28"/>
        </w:rPr>
        <w:t>算。</w:t>
      </w:r>
    </w:p>
    <w:p>
      <w:pPr>
        <w:widowControl/>
        <w:spacing w:line="600" w:lineRule="exac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sz w:val="72"/>
          <w:szCs w:val="72"/>
        </w:rPr>
      </w:pPr>
    </w:p>
    <w:tbl>
      <w:tblPr>
        <w:tblStyle w:val="6"/>
        <w:tblW w:w="15702" w:type="dxa"/>
        <w:tblInd w:w="317" w:type="dxa"/>
        <w:tblLayout w:type="autofit"/>
        <w:tblCellMar>
          <w:top w:w="0" w:type="dxa"/>
          <w:left w:w="0" w:type="dxa"/>
          <w:bottom w:w="0" w:type="dxa"/>
          <w:right w:w="0" w:type="dxa"/>
        </w:tblCellMar>
      </w:tblPr>
      <w:tblGrid>
        <w:gridCol w:w="244"/>
        <w:gridCol w:w="521"/>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594"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4999" w:type="pct"/>
              <w:tblInd w:w="0" w:type="dxa"/>
              <w:tblLayout w:type="autofit"/>
              <w:tblCellMar>
                <w:top w:w="0" w:type="dxa"/>
                <w:left w:w="108" w:type="dxa"/>
                <w:bottom w:w="0" w:type="dxa"/>
                <w:right w:w="108" w:type="dxa"/>
              </w:tblCellMar>
            </w:tblPr>
            <w:tblGrid>
              <w:gridCol w:w="4488"/>
              <w:gridCol w:w="616"/>
              <w:gridCol w:w="1407"/>
              <w:gridCol w:w="5089"/>
              <w:gridCol w:w="1167"/>
              <w:gridCol w:w="466"/>
              <w:gridCol w:w="470"/>
              <w:gridCol w:w="1858"/>
            </w:tblGrid>
            <w:tr>
              <w:tblPrEx>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jc w:val="left"/>
                    <w:rPr>
                      <w:rFonts w:ascii="黑体" w:hAnsi="宋体" w:eastAsia="黑体" w:cs="黑体"/>
                      <w:color w:val="000000"/>
                      <w:sz w:val="24"/>
                      <w:szCs w:val="24"/>
                    </w:rPr>
                  </w:pPr>
                  <w:r>
                    <w:rPr>
                      <w:rFonts w:hint="eastAsia" w:ascii="黑体" w:hAnsi="黑体" w:eastAsia="黑体" w:cs="黑体"/>
                      <w:b/>
                      <w:bCs/>
                      <w:sz w:val="32"/>
                      <w:szCs w:val="32"/>
                    </w:rPr>
                    <w:t>第二部分 部门决算表</w:t>
                  </w:r>
                </w:p>
              </w:tc>
              <w:tc>
                <w:tcPr>
                  <w:tcW w:w="194" w:type="pct"/>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453" w:type="pct"/>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637" w:type="pct"/>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524" w:type="pct"/>
                  <w:gridSpan w:val="2"/>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745" w:type="pct"/>
                  <w:gridSpan w:val="2"/>
                  <w:tcBorders>
                    <w:top w:val="nil"/>
                    <w:left w:val="nil"/>
                    <w:bottom w:val="nil"/>
                    <w:right w:val="nil"/>
                  </w:tcBorders>
                  <w:shd w:val="clear" w:color="auto" w:fill="auto"/>
                  <w:noWrap/>
                  <w:vAlign w:val="center"/>
                </w:tcPr>
                <w:p>
                  <w:pPr>
                    <w:jc w:val="right"/>
                    <w:rPr>
                      <w:rFonts w:ascii="黑体" w:hAnsi="宋体" w:eastAsia="黑体" w:cs="黑体"/>
                      <w:color w:val="000000"/>
                      <w:sz w:val="24"/>
                      <w:szCs w:val="24"/>
                    </w:rPr>
                  </w:pPr>
                </w:p>
              </w:tc>
            </w:tr>
            <w:tr>
              <w:tblPrEx>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94"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453"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637"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524" w:type="pct"/>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745" w:type="pct"/>
                  <w:gridSpan w:val="2"/>
                  <w:tcBorders>
                    <w:top w:val="nil"/>
                    <w:left w:val="nil"/>
                    <w:bottom w:val="nil"/>
                    <w:right w:val="nil"/>
                  </w:tcBorders>
                  <w:shd w:val="clear" w:color="auto" w:fill="FFFFFF"/>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新田县云梯学校</w:t>
                  </w:r>
                </w:p>
              </w:tc>
              <w:tc>
                <w:tcPr>
                  <w:tcW w:w="194"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453"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637"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524" w:type="pct"/>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745" w:type="pct"/>
                  <w:gridSpan w:val="2"/>
                  <w:tcBorders>
                    <w:top w:val="nil"/>
                    <w:left w:val="nil"/>
                    <w:bottom w:val="nil"/>
                    <w:right w:val="nil"/>
                  </w:tcBorders>
                  <w:shd w:val="clear" w:color="auto" w:fill="FFFFFF"/>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Times New Roman" w:hAnsi="Times New Roman" w:eastAsia="仿宋_GB2312" w:cs="Times New Roman"/>
                      <w:kern w:val="0"/>
                      <w:szCs w:val="21"/>
                    </w:rPr>
                    <w:t>1302.91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Times New Roman" w:hAnsi="Times New Roman" w:eastAsia="仿宋_GB2312" w:cs="Times New Roman"/>
                      <w:kern w:val="0"/>
                      <w:szCs w:val="21"/>
                    </w:rPr>
                    <w:t>1302.91</w:t>
                  </w: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Times New Roman" w:hAnsi="Times New Roman" w:eastAsia="仿宋_GB2312" w:cs="Times New Roman"/>
                      <w:kern w:val="0"/>
                      <w:szCs w:val="21"/>
                    </w:rPr>
                    <w:t>1302.91</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r>
                    <w:rPr>
                      <w:rFonts w:hint="eastAsia" w:ascii="Times New Roman" w:hAnsi="Times New Roman" w:eastAsia="仿宋_GB2312" w:cs="Times New Roman"/>
                      <w:kern w:val="0"/>
                      <w:szCs w:val="21"/>
                    </w:rPr>
                    <w:t>1302.91</w:t>
                  </w: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Times New Roman" w:hAnsi="Times New Roman" w:eastAsia="仿宋_GB2312" w:cs="Times New Roman"/>
                      <w:kern w:val="0"/>
                      <w:szCs w:val="21"/>
                    </w:rPr>
                    <w:t>1302.91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r>
                    <w:rPr>
                      <w:rFonts w:hint="eastAsia" w:ascii="Times New Roman" w:hAnsi="Times New Roman" w:eastAsia="仿宋_GB2312" w:cs="Times New Roman"/>
                      <w:kern w:val="0"/>
                      <w:szCs w:val="21"/>
                    </w:rPr>
                    <w:t>1302.91</w:t>
                  </w:r>
                </w:p>
              </w:tc>
            </w:tr>
            <w:tr>
              <w:tblPrEx>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pPr>
              <w:jc w:val="center"/>
              <w:rPr>
                <w:rFonts w:ascii="华文中宋" w:hAnsi="华文中宋" w:eastAsia="华文中宋"/>
                <w:color w:val="000000"/>
                <w:sz w:val="32"/>
                <w:szCs w:val="32"/>
              </w:rPr>
            </w:pPr>
          </w:p>
          <w:p>
            <w:pPr>
              <w:jc w:val="center"/>
              <w:rPr>
                <w:rFonts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2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ind w:right="200"/>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76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Times New Roman" w:hAnsi="Times New Roman" w:eastAsia="仿宋_GB2312" w:cs="Times New Roman"/>
                <w:color w:val="000000"/>
                <w:kern w:val="0"/>
                <w:szCs w:val="21"/>
              </w:rPr>
              <w:t>新田县云梯学校</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710"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76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76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710"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710"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教育支出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Times New Roman" w:hAnsi="Times New Roman" w:eastAsia="仿宋_GB2312" w:cs="Times New Roman"/>
                <w:kern w:val="0"/>
                <w:szCs w:val="21"/>
              </w:rPr>
              <w:t>1302.91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普通教育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Times New Roman" w:hAnsi="Times New Roman" w:eastAsia="仿宋_GB2312" w:cs="Times New Roman"/>
                <w:kern w:val="0"/>
                <w:szCs w:val="21"/>
              </w:rPr>
              <w:t>1302.91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2050203</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初中教育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Times New Roman" w:hAnsi="Times New Roman" w:eastAsia="仿宋_GB2312" w:cs="Times New Roman"/>
                <w:kern w:val="0"/>
                <w:szCs w:val="21"/>
              </w:rPr>
              <w:t>1302.91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594"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2980" w:type="dxa"/>
            <w:gridSpan w:val="3"/>
            <w:tcBorders>
              <w:top w:val="nil"/>
              <w:left w:val="nil"/>
              <w:bottom w:val="nil"/>
              <w:right w:val="nil"/>
            </w:tcBorders>
            <w:shd w:val="clear" w:color="000000" w:fill="FFFFFF"/>
            <w:noWrap/>
            <w:vAlign w:val="center"/>
          </w:tcPr>
          <w:p>
            <w:pPr>
              <w:rPr>
                <w:color w:val="000000"/>
                <w:sz w:val="20"/>
                <w:szCs w:val="20"/>
              </w:rPr>
            </w:pPr>
            <w:r>
              <w:rPr>
                <w:rFonts w:hint="eastAsia"/>
                <w:color w:val="000000"/>
                <w:sz w:val="20"/>
                <w:szCs w:val="20"/>
              </w:rPr>
              <w:t>　</w:t>
            </w:r>
          </w:p>
          <w:p>
            <w:pPr>
              <w:rPr>
                <w:color w:val="000000"/>
                <w:sz w:val="20"/>
                <w:szCs w:val="20"/>
              </w:rPr>
            </w:pPr>
            <w:r>
              <w:rPr>
                <w:rFonts w:hint="eastAsia"/>
                <w:color w:val="000000"/>
                <w:sz w:val="20"/>
                <w:szCs w:val="20"/>
              </w:rPr>
              <w:t>部门：新田县云梯学校</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Times New Roman" w:hAnsi="Times New Roman" w:eastAsia="仿宋_GB2312" w:cs="Times New Roman"/>
                <w:kern w:val="0"/>
                <w:szCs w:val="21"/>
              </w:rPr>
              <w:t>1302.91</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1146.13</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156.78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教育支出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1146.13</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156.78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20502</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普通教育</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1146.13</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156.78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2050203</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初中教育</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1146.13</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156.78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ind w:right="100"/>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新田县云梯学校</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新田县云梯学校</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1146.13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156.78</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教育支出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1146.13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156.78</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20502</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普通教育</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1302.91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1146.13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156.78</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2050203</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初中教育</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865"/>
        <w:gridCol w:w="236"/>
        <w:gridCol w:w="216"/>
        <w:gridCol w:w="1017"/>
        <w:gridCol w:w="1739"/>
        <w:gridCol w:w="352"/>
        <w:gridCol w:w="1158"/>
        <w:gridCol w:w="1620"/>
        <w:gridCol w:w="294"/>
        <w:gridCol w:w="1695"/>
        <w:gridCol w:w="296"/>
        <w:gridCol w:w="541"/>
        <w:gridCol w:w="1048"/>
        <w:gridCol w:w="336"/>
        <w:gridCol w:w="1789"/>
        <w:gridCol w:w="1462"/>
        <w:gridCol w:w="597"/>
        <w:gridCol w:w="353"/>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公开06表     </w:t>
            </w:r>
          </w:p>
          <w:p>
            <w:pPr>
              <w:widowControl/>
              <w:ind w:right="420"/>
              <w:jc w:val="center"/>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部门：新田县云梯学校                                                                                                                 单位：万元</w:t>
            </w:r>
          </w:p>
        </w:tc>
      </w:tr>
      <w:tr>
        <w:tblPrEx>
          <w:tblCellMar>
            <w:top w:w="0" w:type="dxa"/>
            <w:left w:w="108" w:type="dxa"/>
            <w:bottom w:w="0" w:type="dxa"/>
            <w:right w:w="108" w:type="dxa"/>
          </w:tblCellMar>
        </w:tblPrEx>
        <w:trPr>
          <w:trHeight w:val="113" w:hRule="atLeast"/>
        </w:trPr>
        <w:tc>
          <w:tcPr>
            <w:tcW w:w="13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7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98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8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1035.85</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88.92</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360.46</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13.14</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27.33</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10.33</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110.10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19.46</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202.90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66.67</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19.20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32.24</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0.24</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35.60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3.39</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43.37</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8.07</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153.79</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0.48</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1.90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8.60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0.26</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0.12</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1.38</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34.11</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0.40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5.88</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510" w:type="dxa"/>
            <w:gridSpan w:val="2"/>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0.62</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51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Times New Roman" w:hAnsi="Times New Roman" w:eastAsia="宋体" w:cs="Times New Roman"/>
                <w:color w:val="000000"/>
                <w:kern w:val="0"/>
                <w:sz w:val="18"/>
                <w:szCs w:val="18"/>
              </w:rPr>
              <w:t>0.12</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7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5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37" w:type="dxa"/>
            <w:gridSpan w:val="2"/>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6.33</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07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5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1037.75</w:t>
            </w:r>
          </w:p>
        </w:tc>
        <w:tc>
          <w:tcPr>
            <w:tcW w:w="9081"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108.38　</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CellMar>
            <w:top w:w="0" w:type="dxa"/>
            <w:left w:w="108" w:type="dxa"/>
            <w:bottom w:w="0" w:type="dxa"/>
            <w:right w:w="108" w:type="dxa"/>
          </w:tblCellMar>
        </w:tblPrEx>
        <w:trPr>
          <w:gridAfter w:val="1"/>
          <w:wAfter w:w="353" w:type="dxa"/>
          <w:trHeight w:val="690" w:hRule="atLeast"/>
        </w:trPr>
        <w:tc>
          <w:tcPr>
            <w:tcW w:w="15261" w:type="dxa"/>
            <w:gridSpan w:val="17"/>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108" w:type="dxa"/>
            <w:bottom w:w="0" w:type="dxa"/>
            <w:right w:w="108" w:type="dxa"/>
          </w:tblCellMar>
        </w:tblPrEx>
        <w:trPr>
          <w:gridAfter w:val="1"/>
          <w:wAfter w:w="353" w:type="dxa"/>
          <w:trHeight w:val="345" w:hRule="atLeast"/>
        </w:trPr>
        <w:tc>
          <w:tcPr>
            <w:tcW w:w="865"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3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233"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091"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072"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991"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925"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789"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59"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gridAfter w:val="1"/>
          <w:wAfter w:w="353" w:type="dxa"/>
          <w:trHeight w:val="690" w:hRule="atLeast"/>
        </w:trPr>
        <w:tc>
          <w:tcPr>
            <w:tcW w:w="2334" w:type="dxa"/>
            <w:gridSpan w:val="4"/>
            <w:tcBorders>
              <w:top w:val="nil"/>
              <w:left w:val="nil"/>
              <w:bottom w:val="nil"/>
              <w:right w:val="nil"/>
            </w:tcBorders>
            <w:shd w:val="clear" w:color="auto" w:fill="FFFFFF"/>
            <w:noWrap/>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新田县云梯学校</w:t>
            </w:r>
            <w:r>
              <w:rPr>
                <w:rFonts w:ascii="Times New Roman" w:hAnsi="Times New Roman" w:eastAsia="仿宋_GB2312" w:cs="Times New Roman"/>
                <w:color w:val="000000"/>
                <w:kern w:val="0"/>
                <w:szCs w:val="21"/>
              </w:rPr>
              <w:t xml:space="preserve"> </w:t>
            </w:r>
          </w:p>
        </w:tc>
        <w:tc>
          <w:tcPr>
            <w:tcW w:w="2091"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072"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991"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925"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789"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59"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353" w:type="dxa"/>
          <w:trHeight w:val="459" w:hRule="atLeast"/>
        </w:trPr>
        <w:tc>
          <w:tcPr>
            <w:tcW w:w="23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3"/>
                <w:rFonts w:hint="default"/>
              </w:rPr>
              <w:t xml:space="preserve">   </w:t>
            </w:r>
            <w:r>
              <w:rPr>
                <w:rStyle w:val="14"/>
                <w:rFonts w:hint="default"/>
              </w:rPr>
              <w:t>目</w:t>
            </w: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30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57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0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tblPrEx>
          <w:tblCellMar>
            <w:top w:w="0" w:type="dxa"/>
            <w:left w:w="108" w:type="dxa"/>
            <w:bottom w:w="0" w:type="dxa"/>
            <w:right w:w="108" w:type="dxa"/>
          </w:tblCellMar>
        </w:tblPrEx>
        <w:trPr>
          <w:gridAfter w:val="1"/>
          <w:wAfter w:w="353" w:type="dxa"/>
          <w:trHeight w:val="609" w:hRule="atLeast"/>
        </w:trPr>
        <w:tc>
          <w:tcPr>
            <w:tcW w:w="11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2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0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19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0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3" w:type="dxa"/>
          <w:trHeight w:val="409" w:hRule="atLeast"/>
        </w:trPr>
        <w:tc>
          <w:tcPr>
            <w:tcW w:w="11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0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3" w:type="dxa"/>
          <w:trHeight w:val="509" w:hRule="atLeast"/>
        </w:trPr>
        <w:tc>
          <w:tcPr>
            <w:tcW w:w="11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0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3" w:type="dxa"/>
          <w:trHeight w:val="509" w:hRule="atLeast"/>
        </w:trPr>
        <w:tc>
          <w:tcPr>
            <w:tcW w:w="23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tblPrEx>
          <w:tblCellMar>
            <w:top w:w="0" w:type="dxa"/>
            <w:left w:w="108" w:type="dxa"/>
            <w:bottom w:w="0" w:type="dxa"/>
            <w:right w:w="108" w:type="dxa"/>
          </w:tblCellMar>
        </w:tblPrEx>
        <w:trPr>
          <w:gridAfter w:val="1"/>
          <w:wAfter w:w="353" w:type="dxa"/>
          <w:trHeight w:val="509" w:hRule="atLeast"/>
        </w:trPr>
        <w:tc>
          <w:tcPr>
            <w:tcW w:w="23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tblPrEx>
          <w:tblCellMar>
            <w:top w:w="0" w:type="dxa"/>
            <w:left w:w="108" w:type="dxa"/>
            <w:bottom w:w="0" w:type="dxa"/>
            <w:right w:w="108" w:type="dxa"/>
          </w:tblCellMar>
        </w:tblPrEx>
        <w:trPr>
          <w:gridAfter w:val="1"/>
          <w:wAfter w:w="353" w:type="dxa"/>
          <w:trHeight w:val="509" w:hRule="atLeast"/>
        </w:trPr>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3" w:type="dxa"/>
          <w:trHeight w:val="509" w:hRule="atLeast"/>
        </w:trPr>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3" w:type="dxa"/>
          <w:trHeight w:val="509" w:hRule="atLeast"/>
        </w:trPr>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3" w:type="dxa"/>
          <w:trHeight w:val="509" w:hRule="atLeast"/>
        </w:trPr>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3" w:type="dxa"/>
          <w:trHeight w:val="509" w:hRule="atLeast"/>
        </w:trPr>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3" w:type="dxa"/>
          <w:trHeight w:val="509" w:hRule="atLeast"/>
        </w:trPr>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353" w:type="dxa"/>
          <w:trHeight w:val="725" w:hRule="atLeast"/>
        </w:trPr>
        <w:tc>
          <w:tcPr>
            <w:tcW w:w="15261" w:type="dxa"/>
            <w:gridSpan w:val="17"/>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说明：我单位没有政府性基金收入，也没有使用政府性基金安排的支出，故本表无数据。（当表格数据为空时，应有此说明）</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tbl>
      <w:tblPr>
        <w:tblStyle w:val="6"/>
        <w:tblW w:w="15120" w:type="dxa"/>
        <w:tblInd w:w="93" w:type="dxa"/>
        <w:tblLayout w:type="autofit"/>
        <w:tblCellMar>
          <w:top w:w="0" w:type="dxa"/>
          <w:left w:w="108" w:type="dxa"/>
          <w:bottom w:w="0" w:type="dxa"/>
          <w:right w:w="108" w:type="dxa"/>
        </w:tblCellMar>
      </w:tblPr>
      <w:tblGrid>
        <w:gridCol w:w="2286"/>
        <w:gridCol w:w="659"/>
        <w:gridCol w:w="2132"/>
        <w:gridCol w:w="3065"/>
        <w:gridCol w:w="3065"/>
        <w:gridCol w:w="3913"/>
      </w:tblGrid>
      <w:tr>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新田县云梯学校</w:t>
            </w: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15"/>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说明：我单位没有使用国有资本经营预算安排的支出，故本表无数据。（当表格数据为空时，应有此说明）</w:t>
            </w:r>
          </w:p>
        </w:tc>
      </w:tr>
    </w:tbl>
    <w:p>
      <w:pPr>
        <w:widowControl/>
        <w:jc w:val="center"/>
        <w:rPr>
          <w:rFonts w:ascii="Times New Roman" w:hAnsi="Times New Roman" w:eastAsia="方正小标宋_GBK" w:cs="Times New Roman"/>
          <w:color w:val="000000"/>
          <w:kern w:val="0"/>
          <w:sz w:val="36"/>
          <w:szCs w:val="36"/>
        </w:rPr>
      </w:pPr>
    </w:p>
    <w:tbl>
      <w:tblPr>
        <w:tblStyle w:val="6"/>
        <w:tblW w:w="15140" w:type="dxa"/>
        <w:tblInd w:w="93" w:type="dxa"/>
        <w:tblLayout w:type="autofit"/>
        <w:tblCellMar>
          <w:top w:w="0" w:type="dxa"/>
          <w:left w:w="108" w:type="dxa"/>
          <w:bottom w:w="0" w:type="dxa"/>
          <w:right w:w="108" w:type="dxa"/>
        </w:tblCellMar>
      </w:tblPr>
      <w:tblGrid>
        <w:gridCol w:w="2286"/>
        <w:gridCol w:w="1205"/>
        <w:gridCol w:w="1143"/>
        <w:gridCol w:w="1143"/>
        <w:gridCol w:w="1144"/>
        <w:gridCol w:w="1159"/>
        <w:gridCol w:w="1159"/>
        <w:gridCol w:w="1206"/>
        <w:gridCol w:w="1144"/>
        <w:gridCol w:w="1144"/>
        <w:gridCol w:w="1144"/>
        <w:gridCol w:w="1263"/>
      </w:tblGrid>
      <w:tr>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CellMar>
            <w:top w:w="0" w:type="dxa"/>
            <w:left w:w="108" w:type="dxa"/>
            <w:bottom w:w="0" w:type="dxa"/>
            <w:right w:w="108" w:type="dxa"/>
          </w:tblCellMar>
        </w:tblPrEx>
        <w:trPr>
          <w:trHeight w:val="420" w:hRule="atLeast"/>
        </w:trPr>
        <w:tc>
          <w:tcPr>
            <w:tcW w:w="1592"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4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2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2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2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2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2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4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2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2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2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新田县云梯学校</w:t>
            </w:r>
            <w:r>
              <w:rPr>
                <w:rFonts w:ascii="Times New Roman" w:hAnsi="Times New Roman" w:eastAsia="仿宋_GB2312" w:cs="Times New Roman"/>
                <w:color w:val="000000"/>
                <w:kern w:val="0"/>
                <w:szCs w:val="21"/>
              </w:rPr>
              <w:t xml:space="preserve"> </w:t>
            </w:r>
          </w:p>
        </w:tc>
        <w:tc>
          <w:tcPr>
            <w:tcW w:w="124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2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2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2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2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2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4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2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2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2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766" w:hRule="atLeast"/>
        </w:trPr>
        <w:tc>
          <w:tcPr>
            <w:tcW w:w="7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108" w:type="dxa"/>
            <w:bottom w:w="0" w:type="dxa"/>
            <w:right w:w="108" w:type="dxa"/>
          </w:tblCellMar>
        </w:tblPrEx>
        <w:trPr>
          <w:trHeight w:val="822" w:hRule="atLeast"/>
        </w:trPr>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108" w:type="dxa"/>
            <w:bottom w:w="0" w:type="dxa"/>
            <w:right w:w="108" w:type="dxa"/>
          </w:tblCellMar>
        </w:tblPrEx>
        <w:trPr>
          <w:trHeight w:val="1274" w:hRule="atLeast"/>
        </w:trPr>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766"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1165"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w:t>
            </w:r>
          </w:p>
        </w:tc>
      </w:tr>
      <w:tr>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rPr>
          <w:sz w:val="72"/>
          <w:szCs w:val="72"/>
        </w:rPr>
        <w:sectPr>
          <w:pgSz w:w="16838" w:h="11906" w:orient="landscape"/>
          <w:pgMar w:top="720" w:right="720" w:bottom="720" w:left="720" w:header="851" w:footer="992" w:gutter="0"/>
          <w:cols w:space="425" w:num="1"/>
          <w:docGrid w:type="lines" w:linePitch="312" w:charSpace="0"/>
        </w:sectPr>
      </w:pPr>
    </w:p>
    <w:p>
      <w:pPr>
        <w:pStyle w:val="10"/>
        <w:rPr>
          <w:b/>
          <w:bCs/>
          <w:sz w:val="32"/>
          <w:szCs w:val="32"/>
        </w:rPr>
      </w:pPr>
      <w:r>
        <w:rPr>
          <w:rFonts w:hint="eastAsia"/>
          <w:b/>
          <w:bCs/>
          <w:sz w:val="32"/>
          <w:szCs w:val="32"/>
        </w:rPr>
        <w:t>第三部分 2022年度部门决算情况说明</w:t>
      </w:r>
    </w:p>
    <w:p>
      <w:pPr>
        <w:pStyle w:val="10"/>
        <w:spacing w:line="600" w:lineRule="exact"/>
        <w:rPr>
          <w:rFonts w:hAnsi="黑体"/>
          <w:bCs/>
          <w:sz w:val="32"/>
          <w:szCs w:val="32"/>
        </w:rPr>
      </w:pPr>
      <w:r>
        <w:rPr>
          <w:rFonts w:hint="eastAsia" w:hAnsi="黑体"/>
          <w:bCs/>
          <w:sz w:val="32"/>
          <w:szCs w:val="32"/>
        </w:rPr>
        <w:t>一、收入支出决算总体情况说明</w:t>
      </w:r>
    </w:p>
    <w:p>
      <w:pPr>
        <w:pStyle w:val="1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2022年度收入总计1302.91万元，支出总计1302.91万元。与2021年相比，收入增加566.89万元，增加77.02%，支出增加566.89万元，增加77.02%。主要是因为：学校扩班，教师和学生人数增加，学校的各项开支增大。</w:t>
      </w:r>
    </w:p>
    <w:p>
      <w:pPr>
        <w:pStyle w:val="10"/>
        <w:spacing w:line="600" w:lineRule="exact"/>
        <w:ind w:firstLine="640" w:firstLineChars="200"/>
        <w:rPr>
          <w:rFonts w:hAnsi="黑体"/>
          <w:bCs/>
          <w:sz w:val="32"/>
          <w:szCs w:val="32"/>
        </w:rPr>
      </w:pPr>
      <w:r>
        <w:rPr>
          <w:rFonts w:hint="eastAsia" w:hAnsi="黑体"/>
          <w:bCs/>
          <w:sz w:val="32"/>
          <w:szCs w:val="32"/>
        </w:rPr>
        <w:t>二、收入决算情况说明</w:t>
      </w:r>
    </w:p>
    <w:p>
      <w:pPr>
        <w:pStyle w:val="1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本年收入合计1302.91万元，其中：财政拨款收入1302.91万元，占100%；上级补助收入0万元，占0%；事业收入0元，占0%；经营收入0万元，占0%；附属单位上缴收入0万元，占0%；其他收入0万元，占0%。</w:t>
      </w:r>
    </w:p>
    <w:p>
      <w:pPr>
        <w:pStyle w:val="10"/>
        <w:spacing w:line="600" w:lineRule="exact"/>
        <w:ind w:firstLine="640" w:firstLineChars="200"/>
        <w:rPr>
          <w:rFonts w:hAnsi="黑体"/>
          <w:bCs/>
          <w:sz w:val="32"/>
          <w:szCs w:val="32"/>
        </w:rPr>
      </w:pPr>
      <w:r>
        <w:rPr>
          <w:rFonts w:hint="eastAsia" w:hAnsi="黑体"/>
          <w:bCs/>
          <w:sz w:val="32"/>
          <w:szCs w:val="32"/>
        </w:rPr>
        <w:t>三、支出决算情况说明</w:t>
      </w:r>
    </w:p>
    <w:p>
      <w:pPr>
        <w:pStyle w:val="1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本年支出合计1302.91万元，其中：基本支出1146.13万元，占87.97%；项目支出156.78万元，占12.03%；上缴上级支出0万元，占0%；经营支出0万元，占0%；对附属单位补助支出0万元，占0%。</w:t>
      </w:r>
    </w:p>
    <w:p>
      <w:pPr>
        <w:pStyle w:val="10"/>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0"/>
        <w:spacing w:line="600" w:lineRule="exact"/>
        <w:ind w:firstLine="63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2022年度</w:t>
      </w:r>
      <w:r>
        <w:rPr>
          <w:rFonts w:hint="eastAsia" w:asciiTheme="minorEastAsia" w:hAnsiTheme="minorEastAsia" w:eastAsiaTheme="minorEastAsia" w:cstheme="minorEastAsia"/>
          <w:sz w:val="28"/>
          <w:szCs w:val="28"/>
          <w:lang w:eastAsia="zh-CN"/>
        </w:rPr>
        <w:t>财政拨款</w:t>
      </w:r>
      <w:r>
        <w:rPr>
          <w:rFonts w:hint="eastAsia" w:asciiTheme="minorEastAsia" w:hAnsiTheme="minorEastAsia" w:eastAsiaTheme="minorEastAsia" w:cstheme="minorEastAsia"/>
          <w:sz w:val="28"/>
          <w:szCs w:val="28"/>
        </w:rPr>
        <w:t>收入总计1302.91万元，支出总计1302.91万元。与上年相比，收入增加566.89万元，增加77.02%，支出增加566.89万元，增加77.02%。主要是因为：学校扩班，教师和学生人数增加，学校的各项开支增大。</w:t>
      </w:r>
    </w:p>
    <w:p>
      <w:pPr>
        <w:pStyle w:val="10"/>
        <w:spacing w:line="600" w:lineRule="exact"/>
        <w:ind w:firstLine="630"/>
        <w:rPr>
          <w:rFonts w:hAnsi="黑体"/>
          <w:bCs/>
          <w:sz w:val="32"/>
          <w:szCs w:val="32"/>
        </w:rPr>
      </w:pPr>
      <w:r>
        <w:rPr>
          <w:rFonts w:hint="eastAsia" w:hAnsi="黑体"/>
          <w:bCs/>
          <w:sz w:val="32"/>
          <w:szCs w:val="32"/>
        </w:rPr>
        <w:t>五、一般公共预算财政拨款支出决算情况说明</w:t>
      </w:r>
    </w:p>
    <w:p>
      <w:pPr>
        <w:pStyle w:val="10"/>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pPr>
        <w:pStyle w:val="10"/>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2022年度财政拨款支出1302.91</w:t>
      </w:r>
      <w:r>
        <w:rPr>
          <w:rFonts w:hint="eastAsia" w:ascii="Times New Roman" w:hAnsi="Times New Roman" w:eastAsia="仿宋_GB2312"/>
          <w:sz w:val="32"/>
          <w:szCs w:val="32"/>
        </w:rPr>
        <w:t>万元，占本年支出合计的100</w:t>
      </w:r>
      <w:r>
        <w:rPr>
          <w:rFonts w:hint="eastAsia" w:ascii="Times New Roman" w:hAnsi="Times New Roman" w:eastAsia="仿宋_GB2312"/>
          <w:sz w:val="32"/>
          <w:szCs w:val="32"/>
        </w:rPr>
        <w:t>%，与上年相比，财政拨款支出增加566.89万元，增长77.02%</w:t>
      </w:r>
      <w:r>
        <w:rPr>
          <w:rFonts w:hint="eastAsia" w:ascii="Times New Roman" w:hAnsi="Times New Roman" w:eastAsia="仿宋_GB2312"/>
          <w:sz w:val="32"/>
          <w:szCs w:val="32"/>
        </w:rPr>
        <w:t>，主要是因为工资福利支出增加，工会经费增加，办公费增加,学校的维修项目、建设项目支出增加。</w:t>
      </w:r>
    </w:p>
    <w:p>
      <w:pPr>
        <w:pStyle w:val="10"/>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（二）财政拨款支出决算结构情况</w:t>
      </w:r>
    </w:p>
    <w:p>
      <w:pPr>
        <w:pStyle w:val="10"/>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2022年度财政拨款支出1302.91万元，主要用于以下方面：一般公共服务（类）支出0万元，占0%；教育（类）支出1302.91万元，占100%.</w:t>
      </w:r>
    </w:p>
    <w:p>
      <w:pPr>
        <w:pStyle w:val="10"/>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pPr>
        <w:pStyle w:val="10"/>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2022年度财政拨款支出年初预算数为1302.91万元，支出决算数为1302.91万元，完成年初预算的100%，其中：</w:t>
      </w:r>
    </w:p>
    <w:p>
      <w:pPr>
        <w:pStyle w:val="10"/>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教育支出</w:t>
      </w:r>
      <w:r>
        <w:rPr>
          <w:rFonts w:hint="eastAsia" w:ascii="Times New Roman" w:hAnsi="Times New Roman" w:eastAsia="仿宋_GB2312"/>
          <w:sz w:val="32"/>
          <w:szCs w:val="32"/>
          <w:lang w:eastAsia="zh-CN"/>
        </w:rPr>
        <w:t>（类）普通教育（款）初中教育（项）</w:t>
      </w:r>
    </w:p>
    <w:p>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年初预算为1302.91万元，支出决算为1302.91万元，完成年初预算的100%，决算数等于年初预算数的主要原因是：严格遵照预算，合理安排各项开支。</w:t>
      </w:r>
    </w:p>
    <w:p>
      <w:pPr>
        <w:pStyle w:val="10"/>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2022年度财政拨款基本支出1146.13万元，其中：</w:t>
      </w:r>
    </w:p>
    <w:p>
      <w:pPr>
        <w:pStyle w:val="10"/>
        <w:spacing w:line="60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1037.75万元，占基本支出的90.54%,主要包括基本工资、津贴补贴、奖金、伙食补助费、绩效工资等。</w:t>
      </w:r>
    </w:p>
    <w:p>
      <w:pPr>
        <w:pStyle w:val="10"/>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108.38万元，占基本支出的9.46%，主要包括办公费、印刷费、咨询费、手续费、工会经费等。</w:t>
      </w:r>
    </w:p>
    <w:p>
      <w:pPr>
        <w:pStyle w:val="10"/>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pPr>
        <w:pStyle w:val="10"/>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“三公”经费财政拨款支出预算为1.00万元，支出决算为1.00万元，完成预算的100%，其中：</w:t>
      </w:r>
    </w:p>
    <w:p>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因公出国（境）费支出预算为0万元，支出决算为0万元，因预算数为0，无法计算预算完成百分比。决算数与预算数一致，与上年相比持平。原因是上年及本年均无出国出境情况，无相关费用支出。</w:t>
      </w:r>
    </w:p>
    <w:p>
      <w:pPr>
        <w:pStyle w:val="10"/>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公务接待费支出预算为1.00万元，支出决算为1.00万元，完成预算的100%，</w:t>
      </w:r>
      <w:r>
        <w:rPr>
          <w:rFonts w:hint="eastAsia" w:ascii="Times New Roman" w:hAnsi="Times New Roman" w:eastAsia="仿宋_GB2312"/>
          <w:sz w:val="32"/>
          <w:szCs w:val="32"/>
        </w:rPr>
        <w:t>决算数与预算数一致</w:t>
      </w:r>
      <w:r>
        <w:rPr>
          <w:rFonts w:hint="eastAsia" w:ascii="Times New Roman" w:hAnsi="Times New Roman" w:eastAsia="仿宋_GB2312"/>
          <w:sz w:val="32"/>
          <w:szCs w:val="32"/>
        </w:rPr>
        <w:t>，与上年相比增加了0.67万元，增加了203%,增加的主要原因是其他外县学校来本校学习交流的次数、人数增多。</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公务用车购置费支出预算为0万元，支出决算为0万元，因预算数为0，无法计算预算完成百分比。决算数与预算数一致，与上年相比持平。原因是上年及本年均无相关费用支出。</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公务用车运行维护费支出预算为0万元，支出决算为0万元，因预算数为0，无法计算预算完成百分比。决算数与预算数一致，与上年相比持平。原因是上年及本年均无相关费用支出。</w:t>
      </w:r>
    </w:p>
    <w:p>
      <w:pPr>
        <w:pStyle w:val="10"/>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2022年度“三公”经费财政拨款支出决算中，公务接待费支出决算1.00万元，占100%,因公出国（境）费支出决算0万元，占0%,公务用车购置费及运行维护费支出决算0万元，占0%。其中：</w:t>
      </w:r>
    </w:p>
    <w:p>
      <w:pPr>
        <w:pStyle w:val="10"/>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1、因公出国（境）费支出决算为0万元，全年安排因公出国（境）团组0个，累计0人次</w:t>
      </w:r>
      <w:r>
        <w:rPr>
          <w:rFonts w:hint="eastAsia" w:ascii="楷体" w:hAnsi="楷体" w:eastAsia="楷体" w:cs="楷体"/>
          <w:b/>
          <w:bCs/>
          <w:i/>
          <w:color w:val="auto"/>
          <w:sz w:val="32"/>
          <w:szCs w:val="32"/>
        </w:rPr>
        <w:t>。</w:t>
      </w:r>
    </w:p>
    <w:p>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2、公务接待费支出决算为1.00万元，全年共接待来访团组12个、来宾150人次，主要是主要是教改教研活动发生的接待支出。</w:t>
      </w:r>
    </w:p>
    <w:p>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cs="黑体"/>
          <w:color w:val="000000"/>
          <w:kern w:val="0"/>
          <w:sz w:val="32"/>
          <w:szCs w:val="32"/>
        </w:rPr>
        <w:t>3、公务用车购置费及运行维护费支出决算为0</w:t>
      </w:r>
      <w:r>
        <w:rPr>
          <w:rFonts w:hint="eastAsia" w:ascii="Times New Roman" w:hAnsi="Times New Roman" w:eastAsia="仿宋_GB2312"/>
          <w:sz w:val="32"/>
          <w:szCs w:val="32"/>
        </w:rPr>
        <w:t>万元，其中：公务用车购置费0万元</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因为是无公务用车，所以无公务用车购置费支出。</w:t>
      </w:r>
      <w:r>
        <w:rPr>
          <w:rFonts w:hint="eastAsia" w:ascii="Times New Roman" w:hAnsi="Times New Roman" w:eastAsia="仿宋_GB2312"/>
          <w:sz w:val="32"/>
          <w:szCs w:val="32"/>
          <w:lang w:eastAsia="zh-CN"/>
        </w:rPr>
        <w:t>更新公务用车</w:t>
      </w:r>
      <w:r>
        <w:rPr>
          <w:rFonts w:hint="eastAsia" w:ascii="Times New Roman" w:hAnsi="Times New Roman" w:eastAsia="仿宋_GB2312"/>
          <w:sz w:val="32"/>
          <w:szCs w:val="32"/>
          <w:lang w:val="en-US" w:eastAsia="zh-CN"/>
        </w:rPr>
        <w:t>0辆。</w:t>
      </w:r>
      <w:r>
        <w:rPr>
          <w:rFonts w:hint="eastAsia" w:ascii="Times New Roman" w:hAnsi="Times New Roman" w:eastAsia="仿宋_GB2312"/>
          <w:sz w:val="32"/>
          <w:szCs w:val="32"/>
        </w:rPr>
        <w:t>公务用车运行维护费0万元，主要是无公务用车，所以无公务用车运行维护费支出。截止2022年12月31日，我单位开支财政拨款的公务用车保有量为0辆。</w:t>
      </w:r>
    </w:p>
    <w:p>
      <w:pPr>
        <w:pStyle w:val="10"/>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10"/>
        <w:rPr>
          <w:rFonts w:ascii="楷体" w:hAnsi="楷体" w:eastAsia="楷体" w:cs="楷体"/>
          <w:b/>
          <w:bCs/>
          <w:i/>
          <w:color w:val="FF0000"/>
          <w:sz w:val="32"/>
          <w:szCs w:val="32"/>
        </w:rPr>
      </w:pPr>
      <w:r>
        <w:rPr>
          <w:rFonts w:hint="eastAsia" w:ascii="Times New Roman" w:hAnsi="Times New Roman" w:eastAsia="仿宋_GB2312"/>
          <w:sz w:val="32"/>
          <w:szCs w:val="32"/>
        </w:rPr>
        <w:t xml:space="preserve">     2022年度本单位无政府性基金预算收入支出</w:t>
      </w:r>
      <w:r>
        <w:rPr>
          <w:rFonts w:hint="eastAsia" w:asciiTheme="minorEastAsia" w:hAnsiTheme="minorEastAsia" w:eastAsiaTheme="minorEastAsia" w:cstheme="minorEastAsia"/>
          <w:sz w:val="28"/>
          <w:szCs w:val="28"/>
          <w:lang w:eastAsia="zh-CN"/>
        </w:rPr>
        <w:t>。</w:t>
      </w:r>
    </w:p>
    <w:p>
      <w:pPr>
        <w:pStyle w:val="10"/>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本部门2022年度机关运行经费支出108.38万元。与年初预算基本持平，主要原因是：严格遵照预算，合理安排各项开支。</w:t>
      </w:r>
    </w:p>
    <w:p>
      <w:pPr>
        <w:pStyle w:val="10"/>
        <w:spacing w:line="600" w:lineRule="exact"/>
        <w:ind w:firstLine="640" w:firstLineChars="200"/>
        <w:rPr>
          <w:rFonts w:hAnsi="黑体"/>
          <w:bCs/>
          <w:sz w:val="32"/>
          <w:szCs w:val="32"/>
        </w:rPr>
      </w:pPr>
      <w:r>
        <w:rPr>
          <w:rFonts w:hint="eastAsia" w:hAnsi="黑体"/>
          <w:bCs/>
          <w:sz w:val="32"/>
          <w:szCs w:val="32"/>
        </w:rPr>
        <w:t>十、一般性支出情况说明</w:t>
      </w:r>
    </w:p>
    <w:p>
      <w:pPr>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2022年本部门开支会议费0万元</w:t>
      </w:r>
      <w:r>
        <w:rPr>
          <w:rFonts w:hint="eastAsia" w:ascii="Times New Roman" w:hAnsi="Times New Roman" w:eastAsia="仿宋_GB2312"/>
          <w:sz w:val="32"/>
          <w:szCs w:val="32"/>
          <w:lang w:eastAsia="zh-CN"/>
        </w:rPr>
        <w:t>，人数</w:t>
      </w:r>
      <w:r>
        <w:rPr>
          <w:rFonts w:hint="eastAsia" w:ascii="Times New Roman" w:hAnsi="Times New Roman" w:eastAsia="仿宋_GB2312"/>
          <w:sz w:val="32"/>
          <w:szCs w:val="32"/>
          <w:lang w:val="en-US" w:eastAsia="zh-CN"/>
        </w:rPr>
        <w:t>0人</w:t>
      </w:r>
      <w:r>
        <w:rPr>
          <w:rFonts w:hint="eastAsia" w:ascii="Times New Roman" w:hAnsi="Times New Roman" w:eastAsia="仿宋_GB2312"/>
          <w:sz w:val="32"/>
          <w:szCs w:val="32"/>
        </w:rPr>
        <w:t>；开支培训费8.60万元，</w:t>
      </w:r>
      <w:r>
        <w:rPr>
          <w:rFonts w:hint="eastAsia" w:ascii="Times New Roman" w:hAnsi="Times New Roman" w:eastAsia="仿宋_GB2312" w:cs="黑体"/>
          <w:color w:val="000000"/>
          <w:kern w:val="0"/>
          <w:sz w:val="32"/>
          <w:szCs w:val="32"/>
        </w:rPr>
        <w:t>用于开展老师培训，教学研究、文体活动的开支。培训教师人数72人，内容为教师教学能力、专业水平的提升、以及教改教研的交流等各方面的培训。</w:t>
      </w:r>
      <w:bookmarkStart w:id="3" w:name="_GoBack"/>
      <w:bookmarkEnd w:id="3"/>
      <w:r>
        <w:rPr>
          <w:rFonts w:hint="eastAsia" w:ascii="Times New Roman" w:hAnsi="Times New Roman" w:eastAsia="仿宋_GB2312"/>
          <w:sz w:val="32"/>
          <w:szCs w:val="32"/>
        </w:rPr>
        <w:t>举办节庆、晚会、论坛、赛事活动，开支0万元。</w:t>
      </w:r>
    </w:p>
    <w:p>
      <w:pPr>
        <w:pStyle w:val="10"/>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10"/>
        <w:spacing w:line="60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本部门2022年度政府采购支出总额0万元，其中：政府采购货物支出0 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pPr>
        <w:pStyle w:val="10"/>
        <w:spacing w:line="600" w:lineRule="exact"/>
        <w:ind w:firstLine="640" w:firstLineChars="200"/>
        <w:rPr>
          <w:rFonts w:hAnsi="黑体"/>
          <w:bCs/>
          <w:sz w:val="32"/>
          <w:szCs w:val="32"/>
        </w:rPr>
      </w:pPr>
      <w:r>
        <w:rPr>
          <w:rFonts w:hint="eastAsia" w:hAnsi="黑体"/>
          <w:bCs/>
          <w:sz w:val="32"/>
          <w:szCs w:val="32"/>
        </w:rPr>
        <w:t>十二、关于国有资产占用情况说明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2022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0"/>
        <w:spacing w:line="600" w:lineRule="exact"/>
        <w:ind w:firstLine="640" w:firstLineChars="200"/>
        <w:rPr>
          <w:rFonts w:hAnsi="黑体"/>
          <w:bCs/>
          <w:sz w:val="32"/>
          <w:szCs w:val="32"/>
        </w:rPr>
      </w:pPr>
      <w:r>
        <w:rPr>
          <w:rFonts w:hint="eastAsia" w:hAnsi="黑体"/>
          <w:bCs/>
          <w:sz w:val="32"/>
          <w:szCs w:val="32"/>
        </w:rPr>
        <w:t>十三、关于</w:t>
      </w:r>
      <w:r>
        <w:rPr>
          <w:rFonts w:hint="eastAsia" w:ascii="Times New Roman" w:hAnsi="Times New Roman" w:eastAsia="仿宋_GB2312"/>
          <w:sz w:val="32"/>
          <w:szCs w:val="32"/>
        </w:rPr>
        <w:t>2022</w:t>
      </w:r>
      <w:r>
        <w:rPr>
          <w:rFonts w:hint="eastAsia" w:hAnsi="黑体"/>
          <w:bCs/>
          <w:sz w:val="32"/>
          <w:szCs w:val="32"/>
        </w:rPr>
        <w:t>年度预算绩效情况的说明</w:t>
      </w:r>
    </w:p>
    <w:p>
      <w:pPr>
        <w:pStyle w:val="10"/>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（一）部门整体支出绩效情况</w:t>
      </w:r>
    </w:p>
    <w:p>
      <w:pPr>
        <w:autoSpaceDE w:val="0"/>
        <w:autoSpaceDN w:val="0"/>
        <w:adjustRightInd w:val="0"/>
        <w:ind w:firstLine="640" w:firstLineChars="200"/>
        <w:jc w:val="left"/>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2022年我单位整体支出资金使用符合政策要求，合理合法，使用有效，管理较规范，绩效管理工作开展情况良好，共涉及一般公共预算财政资金 1302.91万元。本单位</w:t>
      </w:r>
      <w:r>
        <w:rPr>
          <w:rFonts w:ascii="Times New Roman" w:hAnsi="Times New Roman" w:eastAsia="仿宋_GB2312" w:cs="黑体"/>
          <w:color w:val="000000"/>
          <w:kern w:val="0"/>
          <w:sz w:val="32"/>
          <w:szCs w:val="32"/>
        </w:rPr>
        <w:t>无所属二级单位，</w:t>
      </w:r>
      <w:r>
        <w:rPr>
          <w:rFonts w:hint="eastAsia" w:ascii="Times New Roman" w:hAnsi="Times New Roman" w:eastAsia="仿宋_GB2312" w:cs="黑体"/>
          <w:color w:val="000000"/>
          <w:kern w:val="0"/>
          <w:sz w:val="32"/>
          <w:szCs w:val="32"/>
        </w:rPr>
        <w:t>虽有项目支出，但年度绩效目标也全面完成，并取得了一定经济和社会效益。单位财务制度健全，管理规范，得到了有效执行。</w:t>
      </w:r>
    </w:p>
    <w:p>
      <w:pPr>
        <w:pStyle w:val="10"/>
        <w:spacing w:line="600" w:lineRule="exact"/>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（二）存在的问题及原因分析</w:t>
      </w:r>
    </w:p>
    <w:p>
      <w:pPr>
        <w:pStyle w:val="5"/>
        <w:widowControl/>
        <w:spacing w:before="0" w:beforeAutospacing="0" w:after="0" w:afterAutospacing="0" w:line="560" w:lineRule="exact"/>
        <w:ind w:firstLine="640"/>
        <w:jc w:val="both"/>
        <w:rPr>
          <w:rFonts w:ascii="Times New Roman" w:hAnsi="Times New Roman" w:eastAsia="仿宋_GB2312" w:cs="黑体"/>
          <w:color w:val="000000"/>
          <w:sz w:val="32"/>
          <w:szCs w:val="32"/>
        </w:rPr>
      </w:pPr>
      <w:r>
        <w:rPr>
          <w:rFonts w:ascii="Times New Roman" w:hAnsi="Times New Roman" w:eastAsia="仿宋_GB2312" w:cs="黑体"/>
          <w:color w:val="000000"/>
          <w:sz w:val="32"/>
          <w:szCs w:val="32"/>
        </w:rPr>
        <w:t>1.整体支出绩效目标与</w:t>
      </w:r>
      <w:r>
        <w:rPr>
          <w:rFonts w:hint="eastAsia" w:ascii="Times New Roman" w:hAnsi="Times New Roman" w:eastAsia="仿宋_GB2312" w:cs="黑体"/>
          <w:color w:val="000000"/>
          <w:sz w:val="32"/>
          <w:szCs w:val="32"/>
        </w:rPr>
        <w:t>部分</w:t>
      </w:r>
      <w:r>
        <w:rPr>
          <w:rFonts w:ascii="Times New Roman" w:hAnsi="Times New Roman" w:eastAsia="仿宋_GB2312" w:cs="黑体"/>
          <w:color w:val="000000"/>
          <w:sz w:val="32"/>
          <w:szCs w:val="32"/>
        </w:rPr>
        <w:t>产出的数量指标、质量指标缺乏对应性，关联性和可操作性不强。</w:t>
      </w:r>
    </w:p>
    <w:p>
      <w:pPr>
        <w:pStyle w:val="5"/>
        <w:widowControl/>
        <w:spacing w:before="0" w:beforeAutospacing="0" w:after="0" w:afterAutospacing="0" w:line="560" w:lineRule="exact"/>
        <w:ind w:firstLine="640"/>
        <w:jc w:val="both"/>
        <w:rPr>
          <w:rFonts w:ascii="Times New Roman" w:hAnsi="Times New Roman" w:eastAsia="仿宋_GB2312" w:cs="黑体"/>
          <w:color w:val="000000"/>
          <w:sz w:val="32"/>
          <w:szCs w:val="32"/>
        </w:rPr>
      </w:pPr>
      <w:r>
        <w:rPr>
          <w:rFonts w:ascii="Times New Roman" w:hAnsi="Times New Roman" w:eastAsia="仿宋_GB2312" w:cs="黑体"/>
          <w:color w:val="000000"/>
          <w:sz w:val="32"/>
          <w:szCs w:val="32"/>
        </w:rPr>
        <w:t>2.对整体支出目标的设定和各项指标的理解、认识不到位，导致整体支出目标不够明确、不够细化、不够量化，缺乏可衡量性和可实现性。</w:t>
      </w:r>
    </w:p>
    <w:p>
      <w:pPr>
        <w:snapToGrid w:val="0"/>
        <w:spacing w:line="520" w:lineRule="exact"/>
        <w:ind w:firstLine="640" w:firstLineChars="200"/>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3.在预算绩效管理上存在不足</w:t>
      </w:r>
    </w:p>
    <w:p>
      <w:pPr>
        <w:snapToGrid w:val="0"/>
        <w:spacing w:line="520" w:lineRule="exact"/>
        <w:ind w:firstLine="640" w:firstLineChars="200"/>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在行政事业单位中比较常规的考核方式就是年度考核，不过这种方式或多或少的也存在着一些不足，比如一些单位的管理不到位，缺乏一些考核标准，绩效考核的指标缺乏科学性、合理性，且考核标准人为主观因素比较多，绩效考核只注重结果，缺少预算实施过程中的管理，缺少对预算项目的前期的考察和分析，这样在很大程度上也会使得单位的财务状况出现一些问题，从而无法实现整个预算绩效管理应达到的效果。</w:t>
      </w:r>
    </w:p>
    <w:p>
      <w:pPr>
        <w:pStyle w:val="10"/>
        <w:spacing w:line="600" w:lineRule="exact"/>
        <w:ind w:firstLine="640" w:firstLineChars="200"/>
        <w:rPr>
          <w:rFonts w:ascii="Times New Roman" w:hAnsi="Times New Roman" w:eastAsia="仿宋_GB2312"/>
          <w:sz w:val="32"/>
          <w:szCs w:val="32"/>
        </w:rPr>
      </w:pPr>
    </w:p>
    <w:p>
      <w:pPr>
        <w:pStyle w:val="10"/>
        <w:jc w:val="center"/>
        <w:rPr>
          <w:rFonts w:ascii="Times New Roman" w:hAnsi="Times New Roman" w:eastAsia="仿宋_GB2312"/>
          <w:sz w:val="32"/>
          <w:szCs w:val="32"/>
        </w:rPr>
      </w:pPr>
    </w:p>
    <w:p>
      <w:pPr>
        <w:widowControl/>
        <w:jc w:val="left"/>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br w:type="page"/>
      </w:r>
    </w:p>
    <w:p>
      <w:pPr>
        <w:pStyle w:val="10"/>
        <w:jc w:val="both"/>
        <w:rPr>
          <w:rFonts w:hAnsi="黑体"/>
          <w:b/>
          <w:bCs/>
          <w:sz w:val="32"/>
          <w:szCs w:val="32"/>
        </w:rPr>
      </w:pPr>
      <w:r>
        <w:rPr>
          <w:rFonts w:hint="eastAsia" w:hAnsi="黑体"/>
          <w:b/>
          <w:bCs/>
          <w:sz w:val="32"/>
          <w:szCs w:val="32"/>
        </w:rPr>
        <w:t>第四部分 名词解释</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一、收入科目</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财政拨款收入：指财政当年拨付的资金。</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二、支出科目</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1.基本支出：指为保障机构正常运转、完成日常工作任务而发生的人员支出和公用支出。</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2.项目支出：指在基本支出之外为完成特定行政任务和事业发展目标所发生的支出。</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3.年末结转和结余：指本年度或以前年度预算安排、因客观条件发生变化无法按原计划实施，需延迟到以后年度按有关规定继续使用的资金。</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三、“三公”经费</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四、机关运行经费</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0"/>
        <w:ind w:firstLine="640" w:firstLineChars="200"/>
        <w:jc w:val="both"/>
        <w:rPr>
          <w:rFonts w:hAnsi="黑体"/>
          <w:b/>
          <w:bCs/>
          <w:sz w:val="32"/>
          <w:szCs w:val="32"/>
        </w:rPr>
      </w:pPr>
      <w:r>
        <w:rPr>
          <w:rFonts w:hint="eastAsia" w:hAnsi="黑体"/>
          <w:b/>
          <w:bCs/>
          <w:sz w:val="32"/>
          <w:szCs w:val="32"/>
        </w:rPr>
        <w:t>第五部分 附件</w:t>
      </w:r>
    </w:p>
    <w:p>
      <w:pPr>
        <w:ind w:firstLine="560" w:firstLineChars="200"/>
        <w:jc w:val="center"/>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2022年度部门整体支出绩效评价报告</w:t>
      </w:r>
    </w:p>
    <w:p>
      <w:pPr>
        <w:pStyle w:val="10"/>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666C"/>
    <w:rsid w:val="00017D31"/>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A447A"/>
    <w:rsid w:val="002E0A30"/>
    <w:rsid w:val="002E5F51"/>
    <w:rsid w:val="003130C4"/>
    <w:rsid w:val="00316C4B"/>
    <w:rsid w:val="0032192B"/>
    <w:rsid w:val="00343355"/>
    <w:rsid w:val="003479BD"/>
    <w:rsid w:val="0037197D"/>
    <w:rsid w:val="003768D5"/>
    <w:rsid w:val="003926B9"/>
    <w:rsid w:val="003C47E6"/>
    <w:rsid w:val="003C4FC2"/>
    <w:rsid w:val="003D4153"/>
    <w:rsid w:val="004103D9"/>
    <w:rsid w:val="00416E61"/>
    <w:rsid w:val="0042790C"/>
    <w:rsid w:val="00446836"/>
    <w:rsid w:val="004506F9"/>
    <w:rsid w:val="004717A2"/>
    <w:rsid w:val="00473DF3"/>
    <w:rsid w:val="00487911"/>
    <w:rsid w:val="00491741"/>
    <w:rsid w:val="004B0CEE"/>
    <w:rsid w:val="004C206A"/>
    <w:rsid w:val="00500E5F"/>
    <w:rsid w:val="005122EF"/>
    <w:rsid w:val="0051441A"/>
    <w:rsid w:val="00517C33"/>
    <w:rsid w:val="00517D5F"/>
    <w:rsid w:val="00523644"/>
    <w:rsid w:val="00537FFE"/>
    <w:rsid w:val="0054069E"/>
    <w:rsid w:val="00544866"/>
    <w:rsid w:val="005767CC"/>
    <w:rsid w:val="00590D9F"/>
    <w:rsid w:val="00595D26"/>
    <w:rsid w:val="00596318"/>
    <w:rsid w:val="005A74E6"/>
    <w:rsid w:val="005B404E"/>
    <w:rsid w:val="005D4D55"/>
    <w:rsid w:val="005E2CFB"/>
    <w:rsid w:val="005F2103"/>
    <w:rsid w:val="005F3D1C"/>
    <w:rsid w:val="00612E82"/>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35799"/>
    <w:rsid w:val="0084478C"/>
    <w:rsid w:val="0086638C"/>
    <w:rsid w:val="00873B5C"/>
    <w:rsid w:val="008A3E8D"/>
    <w:rsid w:val="008A575F"/>
    <w:rsid w:val="008D0357"/>
    <w:rsid w:val="009237C4"/>
    <w:rsid w:val="009311AA"/>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AC28C2"/>
    <w:rsid w:val="00AD4241"/>
    <w:rsid w:val="00AE4523"/>
    <w:rsid w:val="00B33BEA"/>
    <w:rsid w:val="00B57C9F"/>
    <w:rsid w:val="00B63572"/>
    <w:rsid w:val="00B845B3"/>
    <w:rsid w:val="00B85D8B"/>
    <w:rsid w:val="00BB4A40"/>
    <w:rsid w:val="00BC11D0"/>
    <w:rsid w:val="00BD6C3E"/>
    <w:rsid w:val="00BE3674"/>
    <w:rsid w:val="00BF2F41"/>
    <w:rsid w:val="00C10681"/>
    <w:rsid w:val="00C247FA"/>
    <w:rsid w:val="00C3049A"/>
    <w:rsid w:val="00C31B1E"/>
    <w:rsid w:val="00C77645"/>
    <w:rsid w:val="00CD33AF"/>
    <w:rsid w:val="00CE04C3"/>
    <w:rsid w:val="00CE667D"/>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476DA"/>
    <w:rsid w:val="00F74360"/>
    <w:rsid w:val="00FB0A37"/>
    <w:rsid w:val="00FB462F"/>
    <w:rsid w:val="00FC11B0"/>
    <w:rsid w:val="00FC1775"/>
    <w:rsid w:val="00FE16FA"/>
    <w:rsid w:val="00FE328A"/>
    <w:rsid w:val="00FE3AEF"/>
    <w:rsid w:val="00FE6269"/>
    <w:rsid w:val="00FF5CD6"/>
    <w:rsid w:val="09AA26F7"/>
    <w:rsid w:val="0C230306"/>
    <w:rsid w:val="1DE97596"/>
    <w:rsid w:val="1ECC422C"/>
    <w:rsid w:val="1F4F0EF6"/>
    <w:rsid w:val="3A6A6228"/>
    <w:rsid w:val="3FE457A9"/>
    <w:rsid w:val="5777D4F5"/>
    <w:rsid w:val="5F8F08CA"/>
    <w:rsid w:val="5FC6BB1E"/>
    <w:rsid w:val="5FF720F1"/>
    <w:rsid w:val="609B351E"/>
    <w:rsid w:val="64A54408"/>
    <w:rsid w:val="68EF1509"/>
    <w:rsid w:val="6EF96718"/>
    <w:rsid w:val="6F9B0B8C"/>
    <w:rsid w:val="737D59BA"/>
    <w:rsid w:val="77B06588"/>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A1C7E-0C30-48E0-A1F1-A2C19FBC7F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1454</Words>
  <Characters>8289</Characters>
  <Lines>69</Lines>
  <Paragraphs>19</Paragraphs>
  <TotalTime>1</TotalTime>
  <ScaleCrop>false</ScaleCrop>
  <LinksUpToDate>false</LinksUpToDate>
  <CharactersWithSpaces>9724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2023-09-08T01:46:00Z</dcterms:created>
  <dc:creator>李航 null</dc:creator>
  <cp:lastModifiedBy>Administrator</cp:lastModifiedBy>
  <cp:lastPrinted>2023-08-15T09:28:00Z</cp:lastPrinted>
  <dcterms:modified xsi:type="dcterms:W3CDTF">2023-10-07T08:38:18Z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