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54</w:t>
            </w:r>
          </w:p>
        </w:tc>
        <w:tc>
          <w:tcPr>
            <w:tcW w:w="2290" w:type="dxa"/>
            <w:gridSpan w:val="2"/>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45</w:t>
            </w:r>
          </w:p>
        </w:tc>
        <w:tc>
          <w:tcPr>
            <w:tcW w:w="2072" w:type="dxa"/>
            <w:gridSpan w:val="2"/>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1366.31</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1744.13</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1744.13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939</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1161.55</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1161.55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35.75</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26.73</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26.73</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31.59</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24.74</w:t>
            </w:r>
          </w:p>
        </w:tc>
        <w:tc>
          <w:tcPr>
            <w:tcW w:w="2072" w:type="dxa"/>
            <w:gridSpan w:val="2"/>
            <w:noWrap w:val="0"/>
            <w:vAlign w:val="center"/>
          </w:tcPr>
          <w:p>
            <w:pPr>
              <w:ind w:firstLine="800" w:firstLineChars="400"/>
              <w:jc w:val="both"/>
              <w:rPr>
                <w:rFonts w:hint="default" w:eastAsia="仿宋_GB2312"/>
                <w:sz w:val="20"/>
                <w:szCs w:val="20"/>
                <w:highlight w:val="none"/>
                <w:lang w:val="en-US" w:eastAsia="zh-CN"/>
              </w:rPr>
            </w:pPr>
            <w:r>
              <w:rPr>
                <w:rFonts w:hint="eastAsia" w:eastAsia="仿宋_GB2312"/>
                <w:sz w:val="20"/>
                <w:szCs w:val="20"/>
                <w:highlight w:val="none"/>
                <w:lang w:val="en-US" w:eastAsia="zh-CN"/>
              </w:rPr>
              <w:t>24.74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13.19</w:t>
            </w:r>
            <w:r>
              <w:rPr>
                <w:rFonts w:eastAsia="仿宋_GB2312"/>
                <w:sz w:val="20"/>
                <w:szCs w:val="20"/>
                <w:highlight w:val="none"/>
              </w:rPr>
              <w:t>　</w:t>
            </w:r>
          </w:p>
        </w:tc>
        <w:tc>
          <w:tcPr>
            <w:tcW w:w="2290" w:type="dxa"/>
            <w:gridSpan w:val="2"/>
            <w:noWrap w:val="0"/>
            <w:vAlign w:val="center"/>
          </w:tcPr>
          <w:p>
            <w:pPr>
              <w:ind w:firstLine="1000" w:firstLineChars="500"/>
              <w:jc w:val="both"/>
              <w:rPr>
                <w:rFonts w:hint="default" w:eastAsia="仿宋_GB2312"/>
                <w:sz w:val="20"/>
                <w:szCs w:val="20"/>
                <w:highlight w:val="none"/>
                <w:lang w:val="en-US" w:eastAsia="zh-CN"/>
              </w:rPr>
            </w:pPr>
            <w:r>
              <w:rPr>
                <w:rFonts w:hint="eastAsia" w:eastAsia="仿宋_GB2312"/>
                <w:sz w:val="20"/>
                <w:szCs w:val="20"/>
                <w:highlight w:val="none"/>
                <w:lang w:val="en-US" w:eastAsia="zh-CN"/>
              </w:rPr>
              <w:t>4.18</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4.18</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10.68</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11.06</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5.02</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5.38</w:t>
            </w:r>
          </w:p>
        </w:tc>
        <w:tc>
          <w:tcPr>
            <w:tcW w:w="2072"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290"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072" w:type="dxa"/>
            <w:gridSpan w:val="2"/>
            <w:noWrap w:val="0"/>
            <w:vAlign w:val="center"/>
          </w:tcPr>
          <w:p>
            <w:pPr>
              <w:ind w:firstLine="800" w:firstLineChars="400"/>
              <w:jc w:val="both"/>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5.02</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5.38</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290"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2072" w:type="dxa"/>
            <w:gridSpan w:val="2"/>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5.7</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5.68</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863</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1680.79</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1680.79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eastAsia" w:eastAsia="仿宋_GB2312"/>
                <w:sz w:val="20"/>
                <w:szCs w:val="20"/>
                <w:highlight w:val="none"/>
                <w:lang w:eastAsia="zh-CN"/>
              </w:rPr>
            </w:pPr>
            <w:r>
              <w:rPr>
                <w:rFonts w:eastAsia="仿宋_GB2312"/>
                <w:sz w:val="20"/>
                <w:szCs w:val="20"/>
                <w:highlight w:val="none"/>
              </w:rPr>
              <w:t xml:space="preserve">  1</w:t>
            </w:r>
            <w:r>
              <w:rPr>
                <w:rFonts w:hint="eastAsia" w:eastAsia="仿宋_GB2312"/>
                <w:sz w:val="20"/>
                <w:szCs w:val="20"/>
                <w:highlight w:val="none"/>
              </w:rPr>
              <w:t>.</w:t>
            </w:r>
            <w:r>
              <w:rPr>
                <w:rFonts w:hint="eastAsia" w:eastAsia="仿宋_GB2312"/>
                <w:sz w:val="20"/>
                <w:szCs w:val="20"/>
                <w:highlight w:val="none"/>
                <w:lang w:eastAsia="zh-CN"/>
              </w:rPr>
              <w:t>商品服务支出</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409.21</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323.03</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323.03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default" w:ascii="Times New Roman" w:hAnsi="Times New Roman" w:eastAsia="仿宋_GB2312" w:cs="Times New Roman"/>
                <w:kern w:val="2"/>
                <w:sz w:val="20"/>
                <w:szCs w:val="20"/>
                <w:highlight w:val="none"/>
                <w:lang w:val="en-US" w:eastAsia="zh-CN" w:bidi="ar-SA"/>
              </w:rPr>
            </w:pPr>
            <w:r>
              <w:rPr>
                <w:rFonts w:hint="eastAsia" w:eastAsia="仿宋_GB2312"/>
                <w:sz w:val="20"/>
                <w:szCs w:val="20"/>
                <w:highlight w:val="none"/>
                <w:lang w:val="en-US" w:eastAsia="zh-CN"/>
              </w:rPr>
              <w:t xml:space="preserve">  2.资本性支出（基本建设）</w:t>
            </w:r>
          </w:p>
        </w:tc>
        <w:tc>
          <w:tcPr>
            <w:tcW w:w="1846" w:type="dxa"/>
            <w:gridSpan w:val="2"/>
            <w:noWrap w:val="0"/>
            <w:vAlign w:val="center"/>
          </w:tcPr>
          <w:p>
            <w:pPr>
              <w:jc w:val="center"/>
              <w:rPr>
                <w:rFonts w:hint="default" w:ascii="Times New Roman" w:hAnsi="Times New Roman" w:eastAsia="仿宋_GB2312" w:cs="Times New Roman"/>
                <w:kern w:val="2"/>
                <w:sz w:val="20"/>
                <w:szCs w:val="20"/>
                <w:highlight w:val="none"/>
                <w:lang w:val="en-US" w:eastAsia="zh-CN" w:bidi="ar-SA"/>
              </w:rPr>
            </w:pPr>
            <w:r>
              <w:rPr>
                <w:rFonts w:hint="eastAsia" w:eastAsia="仿宋_GB2312"/>
                <w:sz w:val="20"/>
                <w:szCs w:val="20"/>
                <w:highlight w:val="none"/>
                <w:lang w:val="en-US" w:eastAsia="zh-CN"/>
              </w:rPr>
              <w:t>70.31</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279.86</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279.86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hint="default" w:ascii="Times New Roman" w:hAnsi="Times New Roman" w:eastAsia="仿宋_GB2312" w:cs="Times New Roman"/>
                <w:kern w:val="2"/>
                <w:sz w:val="20"/>
                <w:szCs w:val="20"/>
                <w:highlight w:val="none"/>
                <w:lang w:val="en-US" w:eastAsia="zh-CN" w:bidi="ar-SA"/>
              </w:rPr>
            </w:pPr>
            <w:r>
              <w:rPr>
                <w:rFonts w:hint="eastAsia" w:eastAsia="仿宋_GB2312"/>
                <w:sz w:val="20"/>
                <w:szCs w:val="20"/>
                <w:highlight w:val="none"/>
                <w:lang w:val="en-US" w:eastAsia="zh-CN"/>
              </w:rPr>
              <w:t xml:space="preserve">  3.资本性支出</w:t>
            </w:r>
          </w:p>
        </w:tc>
        <w:tc>
          <w:tcPr>
            <w:tcW w:w="1846" w:type="dxa"/>
            <w:gridSpan w:val="2"/>
            <w:noWrap w:val="0"/>
            <w:vAlign w:val="center"/>
          </w:tcPr>
          <w:p>
            <w:pPr>
              <w:jc w:val="center"/>
              <w:rPr>
                <w:rFonts w:hint="default" w:ascii="Times New Roman" w:hAnsi="Times New Roman" w:eastAsia="仿宋_GB2312" w:cs="Times New Roman"/>
                <w:kern w:val="2"/>
                <w:sz w:val="20"/>
                <w:szCs w:val="20"/>
                <w:highlight w:val="none"/>
                <w:lang w:val="en-US" w:eastAsia="zh-CN" w:bidi="ar-SA"/>
              </w:rPr>
            </w:pPr>
            <w:r>
              <w:rPr>
                <w:rFonts w:hint="eastAsia" w:eastAsia="仿宋_GB2312"/>
                <w:sz w:val="20"/>
                <w:szCs w:val="20"/>
                <w:highlight w:val="none"/>
                <w:lang w:val="en-US" w:eastAsia="zh-CN"/>
              </w:rPr>
              <w:t>383.52</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1077.90</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1077.90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356.29</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356.29</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1744.13</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1744.13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784" w:type="dxa"/>
            <w:noWrap w:val="0"/>
            <w:vAlign w:val="center"/>
          </w:tcPr>
          <w:p>
            <w:pPr>
              <w:jc w:val="left"/>
              <w:rPr>
                <w:rFonts w:hint="eastAsia" w:eastAsia="仿宋_GB2312"/>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0</w:t>
            </w:r>
          </w:p>
        </w:tc>
        <w:tc>
          <w:tcPr>
            <w:tcW w:w="1228" w:type="dxa"/>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1062" w:type="dxa"/>
            <w:noWrap w:val="0"/>
            <w:vAlign w:val="center"/>
          </w:tcPr>
          <w:p>
            <w:pPr>
              <w:jc w:val="center"/>
              <w:rPr>
                <w:rFonts w:hint="eastAsia" w:eastAsia="仿宋_GB2312"/>
                <w:highlight w:val="none"/>
                <w:lang w:val="en-US" w:eastAsia="zh-CN"/>
              </w:rPr>
            </w:pPr>
            <w:r>
              <w:rPr>
                <w:rFonts w:hint="eastAsia" w:eastAsia="仿宋_GB2312"/>
                <w:sz w:val="20"/>
                <w:szCs w:val="20"/>
                <w:highlight w:val="none"/>
                <w:lang w:val="en-US" w:eastAsia="zh-CN"/>
              </w:rPr>
              <w:t>0</w:t>
            </w:r>
          </w:p>
        </w:tc>
        <w:tc>
          <w:tcPr>
            <w:tcW w:w="1027" w:type="dxa"/>
            <w:noWrap w:val="0"/>
            <w:vAlign w:val="center"/>
          </w:tcPr>
          <w:p>
            <w:pPr>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0</w:t>
            </w:r>
          </w:p>
        </w:tc>
        <w:tc>
          <w:tcPr>
            <w:tcW w:w="1045" w:type="dxa"/>
            <w:noWrap w:val="0"/>
            <w:vAlign w:val="center"/>
          </w:tcPr>
          <w:p>
            <w:pPr>
              <w:jc w:val="center"/>
              <w:rPr>
                <w:rFonts w:hint="eastAsia" w:eastAsia="仿宋_GB2312"/>
                <w:highlight w:val="none"/>
                <w:lang w:val="en-US" w:eastAsia="zh-CN"/>
              </w:rPr>
            </w:pPr>
            <w:r>
              <w:rPr>
                <w:rFonts w:hint="eastAsia" w:eastAsia="仿宋_GB2312"/>
                <w:sz w:val="20"/>
                <w:szCs w:val="20"/>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hint="eastAsia" w:eastAsia="仿宋_GB2312"/>
                <w:sz w:val="20"/>
                <w:szCs w:val="20"/>
                <w:highlight w:val="none"/>
                <w:lang w:eastAsia="zh-CN"/>
              </w:rPr>
            </w:pPr>
            <w:r>
              <w:rPr>
                <w:rFonts w:hint="eastAsia" w:eastAsia="仿宋_GB2312"/>
                <w:sz w:val="20"/>
                <w:szCs w:val="20"/>
                <w:highlight w:val="none"/>
                <w:lang w:eastAsia="zh-CN"/>
              </w:rPr>
              <w:t>节省电能，外出及下班后及时关闭所有电器</w:t>
            </w:r>
          </w:p>
          <w:p>
            <w:pPr>
              <w:jc w:val="center"/>
              <w:rPr>
                <w:rFonts w:eastAsia="仿宋_GB2312"/>
                <w:sz w:val="20"/>
                <w:szCs w:val="20"/>
                <w:highlight w:val="none"/>
              </w:rPr>
            </w:pPr>
            <w:r>
              <w:rPr>
                <w:rFonts w:hint="eastAsia" w:eastAsia="仿宋_GB2312"/>
                <w:sz w:val="20"/>
                <w:szCs w:val="20"/>
                <w:highlight w:val="none"/>
                <w:lang w:eastAsia="zh-CN"/>
              </w:rPr>
              <w:t>加强车辆管理，所有外出公用车需经派车单及领导批准出行</w:t>
            </w: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eastAsia" w:eastAsia="黑体"/>
          <w:sz w:val="32"/>
          <w:szCs w:val="32"/>
          <w:highlight w:val="none"/>
          <w:lang w:val="en-US" w:eastAsia="zh-CN"/>
        </w:rPr>
      </w:pPr>
      <w:r>
        <w:rPr>
          <w:rFonts w:eastAsia="仿宋_GB2312"/>
          <w:sz w:val="22"/>
          <w:highlight w:val="none"/>
        </w:rPr>
        <w:t>填表人：</w:t>
      </w:r>
      <w:r>
        <w:rPr>
          <w:rFonts w:hint="eastAsia" w:eastAsia="仿宋_GB2312"/>
          <w:sz w:val="22"/>
          <w:highlight w:val="none"/>
          <w:lang w:eastAsia="zh-CN"/>
        </w:rPr>
        <w:t>雷艳</w:t>
      </w:r>
      <w:r>
        <w:rPr>
          <w:rFonts w:eastAsia="仿宋_GB2312"/>
          <w:sz w:val="22"/>
          <w:highlight w:val="none"/>
        </w:rPr>
        <w:t xml:space="preserve"> 填报日期：</w:t>
      </w:r>
      <w:r>
        <w:rPr>
          <w:rFonts w:hint="eastAsia" w:eastAsia="仿宋_GB2312"/>
          <w:sz w:val="22"/>
          <w:highlight w:val="none"/>
          <w:lang w:val="en-US" w:eastAsia="zh-CN"/>
        </w:rPr>
        <w:t>2023年6月29日</w:t>
      </w:r>
      <w:r>
        <w:rPr>
          <w:rFonts w:eastAsia="仿宋_GB2312"/>
          <w:sz w:val="22"/>
          <w:highlight w:val="none"/>
        </w:rPr>
        <w:t xml:space="preserve"> 联系电话：</w:t>
      </w:r>
      <w:r>
        <w:rPr>
          <w:rFonts w:hint="eastAsia" w:eastAsia="仿宋_GB2312"/>
          <w:sz w:val="22"/>
          <w:szCs w:val="22"/>
          <w:highlight w:val="none"/>
          <w:lang w:val="en-US" w:eastAsia="zh-CN"/>
        </w:rPr>
        <w:t>07464751298</w:t>
      </w:r>
      <w:r>
        <w:rPr>
          <w:rFonts w:eastAsia="仿宋_GB2312"/>
          <w:sz w:val="22"/>
          <w:highlight w:val="none"/>
        </w:rPr>
        <w:t>单位负责人签字：</w:t>
      </w:r>
      <w:r>
        <w:rPr>
          <w:rFonts w:eastAsia="仿宋_GB2312"/>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58"/>
        <w:gridCol w:w="945"/>
        <w:gridCol w:w="925"/>
        <w:gridCol w:w="1076"/>
        <w:gridCol w:w="68"/>
        <w:gridCol w:w="1106"/>
        <w:gridCol w:w="1201"/>
        <w:gridCol w:w="715"/>
        <w:gridCol w:w="881"/>
        <w:gridCol w:w="1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5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53"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eastAsia="zh-CN"/>
              </w:rPr>
              <w:t>新田县疾病预防控制中心</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5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0" w:type="dxa"/>
            <w:gridSpan w:val="2"/>
            <w:noWrap w:val="0"/>
            <w:vAlign w:val="center"/>
          </w:tcPr>
          <w:p>
            <w:pPr>
              <w:spacing w:line="240" w:lineRule="exact"/>
              <w:jc w:val="center"/>
              <w:rPr>
                <w:rFonts w:eastAsia="仿宋_GB2312"/>
                <w:sz w:val="20"/>
                <w:szCs w:val="20"/>
                <w:highlight w:val="none"/>
              </w:rPr>
            </w:pPr>
          </w:p>
        </w:tc>
        <w:tc>
          <w:tcPr>
            <w:tcW w:w="1144"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106"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1"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5"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1"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36"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1870"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4"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1295.08</w:t>
            </w:r>
          </w:p>
        </w:tc>
        <w:tc>
          <w:tcPr>
            <w:tcW w:w="1106"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3424.92</w:t>
            </w:r>
          </w:p>
        </w:tc>
        <w:tc>
          <w:tcPr>
            <w:tcW w:w="1201"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3424.92</w:t>
            </w:r>
          </w:p>
        </w:tc>
        <w:tc>
          <w:tcPr>
            <w:tcW w:w="715"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10</w:t>
            </w:r>
          </w:p>
        </w:tc>
        <w:tc>
          <w:tcPr>
            <w:tcW w:w="881"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36"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33"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2230.46</w:t>
            </w:r>
          </w:p>
        </w:tc>
        <w:tc>
          <w:tcPr>
            <w:tcW w:w="4233"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1744.13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ind w:firstLine="800" w:firstLineChars="400"/>
              <w:jc w:val="left"/>
              <w:rPr>
                <w:rFonts w:hint="eastAsia" w:eastAsia="仿宋_GB2312"/>
                <w:color w:val="000000"/>
                <w:sz w:val="20"/>
                <w:szCs w:val="20"/>
                <w:highlight w:val="none"/>
                <w:lang w:val="en-US" w:eastAsia="zh-CN"/>
              </w:rPr>
            </w:pPr>
            <w:r>
              <w:rPr>
                <w:rFonts w:eastAsia="仿宋_GB2312"/>
                <w:color w:val="000000"/>
                <w:sz w:val="20"/>
                <w:szCs w:val="20"/>
                <w:highlight w:val="none"/>
              </w:rPr>
              <w:t>政府性基金拨款：</w:t>
            </w:r>
            <w:r>
              <w:rPr>
                <w:rFonts w:hint="eastAsia" w:eastAsia="仿宋_GB2312"/>
                <w:color w:val="000000"/>
                <w:sz w:val="20"/>
                <w:szCs w:val="20"/>
                <w:highlight w:val="none"/>
                <w:lang w:val="en-US" w:eastAsia="zh-CN"/>
              </w:rPr>
              <w:t>0</w:t>
            </w:r>
          </w:p>
        </w:tc>
        <w:tc>
          <w:tcPr>
            <w:tcW w:w="4233" w:type="dxa"/>
            <w:gridSpan w:val="4"/>
            <w:noWrap w:val="0"/>
            <w:vAlign w:val="center"/>
          </w:tcPr>
          <w:p>
            <w:pPr>
              <w:spacing w:line="240" w:lineRule="exact"/>
              <w:ind w:firstLine="600" w:firstLineChars="300"/>
              <w:jc w:val="left"/>
              <w:rPr>
                <w:rFonts w:hint="default" w:eastAsia="仿宋_GB2312"/>
                <w:color w:val="000000"/>
                <w:sz w:val="20"/>
                <w:szCs w:val="20"/>
                <w:highlight w:val="none"/>
                <w:lang w:val="en-US" w:eastAsia="zh-CN"/>
              </w:rPr>
            </w:pPr>
            <w:r>
              <w:rPr>
                <w:rFonts w:eastAsia="仿宋_GB2312"/>
                <w:color w:val="000000"/>
                <w:sz w:val="20"/>
                <w:szCs w:val="20"/>
                <w:highlight w:val="none"/>
              </w:rPr>
              <w:t>项目支出：</w:t>
            </w:r>
            <w:r>
              <w:rPr>
                <w:rFonts w:hint="eastAsia" w:eastAsia="仿宋_GB2312"/>
                <w:color w:val="000000"/>
                <w:sz w:val="20"/>
                <w:szCs w:val="20"/>
                <w:highlight w:val="none"/>
                <w:lang w:val="en-US" w:eastAsia="zh-CN"/>
              </w:rPr>
              <w:t>1680.79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纳入专户管理的非税收入拨款：</w:t>
            </w:r>
            <w:r>
              <w:rPr>
                <w:rFonts w:hint="eastAsia" w:eastAsia="仿宋_GB2312"/>
                <w:color w:val="000000"/>
                <w:sz w:val="20"/>
                <w:szCs w:val="20"/>
                <w:highlight w:val="none"/>
                <w:lang w:val="en-US" w:eastAsia="zh-CN"/>
              </w:rPr>
              <w:t>1194.46</w:t>
            </w:r>
          </w:p>
        </w:tc>
        <w:tc>
          <w:tcPr>
            <w:tcW w:w="4233"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ind w:firstLine="1400" w:firstLineChars="700"/>
              <w:jc w:val="left"/>
              <w:rPr>
                <w:rFonts w:hint="eastAsia" w:eastAsia="仿宋_GB2312"/>
                <w:color w:val="000000"/>
                <w:sz w:val="20"/>
                <w:szCs w:val="20"/>
                <w:highlight w:val="none"/>
                <w:lang w:val="en-US" w:eastAsia="zh-CN"/>
              </w:rPr>
            </w:pPr>
            <w:r>
              <w:rPr>
                <w:rFonts w:eastAsia="仿宋_GB2312"/>
                <w:color w:val="000000"/>
                <w:sz w:val="20"/>
                <w:szCs w:val="20"/>
                <w:highlight w:val="none"/>
              </w:rPr>
              <w:t>其他资金：</w:t>
            </w:r>
            <w:r>
              <w:rPr>
                <w:rFonts w:hint="eastAsia" w:eastAsia="仿宋_GB2312"/>
                <w:color w:val="000000"/>
                <w:sz w:val="20"/>
                <w:szCs w:val="20"/>
                <w:highlight w:val="none"/>
                <w:lang w:val="en-US" w:eastAsia="zh-CN"/>
              </w:rPr>
              <w:t>0</w:t>
            </w:r>
          </w:p>
        </w:tc>
        <w:tc>
          <w:tcPr>
            <w:tcW w:w="4233"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5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20"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33"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center"/>
              <w:rPr>
                <w:rFonts w:eastAsia="仿宋_GB2312"/>
                <w:color w:val="000000"/>
                <w:sz w:val="20"/>
                <w:szCs w:val="20"/>
                <w:highlight w:val="none"/>
              </w:rPr>
            </w:pPr>
          </w:p>
        </w:tc>
        <w:tc>
          <w:tcPr>
            <w:tcW w:w="4120" w:type="dxa"/>
            <w:gridSpan w:val="5"/>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1295.08</w:t>
            </w:r>
            <w:r>
              <w:rPr>
                <w:rFonts w:eastAsia="仿宋_GB2312"/>
                <w:color w:val="000000"/>
                <w:sz w:val="20"/>
                <w:szCs w:val="20"/>
                <w:highlight w:val="none"/>
              </w:rPr>
              <w:t>　　</w:t>
            </w:r>
          </w:p>
        </w:tc>
        <w:tc>
          <w:tcPr>
            <w:tcW w:w="4233" w:type="dxa"/>
            <w:gridSpan w:val="4"/>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3424.92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5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2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1"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1"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3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(50分)</w:t>
            </w:r>
          </w:p>
        </w:tc>
        <w:tc>
          <w:tcPr>
            <w:tcW w:w="925"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6" w:type="dxa"/>
            <w:noWrap w:val="0"/>
            <w:vAlign w:val="center"/>
          </w:tcPr>
          <w:p>
            <w:pPr>
              <w:spacing w:line="240" w:lineRule="exact"/>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重大传染病处置率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436" w:type="dxa"/>
            <w:noWrap w:val="0"/>
            <w:vAlign w:val="center"/>
          </w:tcPr>
          <w:p>
            <w:pPr>
              <w:spacing w:line="240" w:lineRule="exact"/>
              <w:jc w:val="both"/>
              <w:rPr>
                <w:rFonts w:hint="eastAsia" w:eastAsia="仿宋_GB2312"/>
                <w:color w:val="000000"/>
                <w:sz w:val="20"/>
                <w:szCs w:val="20"/>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left"/>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重大公卫处置率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95%</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4.9</w:t>
            </w:r>
          </w:p>
        </w:tc>
        <w:tc>
          <w:tcPr>
            <w:tcW w:w="143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加强部门协调能力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both"/>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疾病预防处置率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95%</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4.9</w:t>
            </w:r>
          </w:p>
        </w:tc>
        <w:tc>
          <w:tcPr>
            <w:tcW w:w="143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加强疾病预防重要性宣传力度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全县公共卫生健康管理率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95%</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4.9</w:t>
            </w:r>
          </w:p>
        </w:tc>
        <w:tc>
          <w:tcPr>
            <w:tcW w:w="143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加强管理范围的细化工作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新冠疫情防控</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436" w:type="dxa"/>
            <w:noWrap w:val="0"/>
            <w:vAlign w:val="center"/>
          </w:tcPr>
          <w:p>
            <w:pPr>
              <w:spacing w:line="240" w:lineRule="exact"/>
              <w:jc w:val="both"/>
              <w:rPr>
                <w:rFonts w:hint="eastAsia" w:eastAsia="仿宋_GB2312"/>
                <w:color w:val="000000"/>
                <w:sz w:val="20"/>
                <w:szCs w:val="20"/>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全县新生儿建卡建证率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3</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儿童常规疫苗接种率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eastAsia="zh-CN"/>
              </w:rPr>
              <w:t>全县艾滋病患者随访检测比例</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94.99%</w:t>
            </w:r>
          </w:p>
        </w:tc>
        <w:tc>
          <w:tcPr>
            <w:tcW w:w="715" w:type="dxa"/>
            <w:noWrap w:val="0"/>
            <w:vAlign w:val="center"/>
          </w:tcPr>
          <w:p>
            <w:pPr>
              <w:spacing w:line="240" w:lineRule="exact"/>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4.8</w:t>
            </w:r>
          </w:p>
        </w:tc>
        <w:tc>
          <w:tcPr>
            <w:tcW w:w="143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及时将数据录入系统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结核病首诊查痰率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436" w:type="dxa"/>
            <w:noWrap w:val="0"/>
            <w:vAlign w:val="center"/>
          </w:tcPr>
          <w:p>
            <w:pPr>
              <w:spacing w:line="240" w:lineRule="exact"/>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left"/>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严重精神障碍患者管理率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99%</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436" w:type="dxa"/>
            <w:noWrap w:val="0"/>
            <w:vAlign w:val="center"/>
          </w:tcPr>
          <w:p>
            <w:pPr>
              <w:spacing w:line="240" w:lineRule="exact"/>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left"/>
              <w:rPr>
                <w:rFonts w:eastAsia="仿宋_GB2312"/>
                <w:color w:val="000000"/>
                <w:sz w:val="20"/>
                <w:szCs w:val="20"/>
                <w:highlight w:val="none"/>
              </w:rPr>
            </w:pP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新冠管控涉外人员及冷链食品监测采集率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436" w:type="dxa"/>
            <w:noWrap w:val="0"/>
            <w:vAlign w:val="center"/>
          </w:tcPr>
          <w:p>
            <w:pPr>
              <w:spacing w:line="240" w:lineRule="exact"/>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eastAsia="仿宋_GB2312"/>
                <w:color w:val="000000"/>
                <w:sz w:val="20"/>
                <w:szCs w:val="20"/>
                <w:highlight w:val="none"/>
                <w:lang w:val="en"/>
              </w:rPr>
              <w:t>4</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25"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经济效益指标</w:t>
            </w:r>
          </w:p>
        </w:tc>
        <w:tc>
          <w:tcPr>
            <w:tcW w:w="1174" w:type="dxa"/>
            <w:gridSpan w:val="2"/>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pStyle w:val="5"/>
              <w:widowControl/>
              <w:spacing w:before="0" w:beforeAutospacing="0" w:after="0" w:afterAutospacing="0"/>
              <w:jc w:val="center"/>
              <w:rPr>
                <w:rFonts w:ascii="Calibri" w:hAnsi="Calibri" w:cs="Calibri"/>
                <w:sz w:val="21"/>
                <w:szCs w:val="21"/>
              </w:rPr>
            </w:pPr>
            <w:r>
              <w:rPr>
                <w:rFonts w:hint="eastAsia" w:ascii="仿宋" w:hAnsi="仿宋" w:eastAsia="仿宋" w:cs="仿宋"/>
                <w:color w:val="000000"/>
                <w:sz w:val="21"/>
                <w:szCs w:val="21"/>
              </w:rPr>
              <w:t>社会效</w:t>
            </w:r>
          </w:p>
          <w:p>
            <w:pPr>
              <w:spacing w:line="240" w:lineRule="exact"/>
              <w:jc w:val="center"/>
              <w:rPr>
                <w:rFonts w:eastAsia="仿宋_GB2312"/>
                <w:color w:val="000000"/>
                <w:sz w:val="20"/>
                <w:szCs w:val="20"/>
                <w:highlight w:val="none"/>
              </w:rPr>
            </w:pPr>
            <w:r>
              <w:rPr>
                <w:rFonts w:hint="eastAsia" w:ascii="仿宋" w:hAnsi="仿宋" w:eastAsia="仿宋" w:cs="仿宋"/>
                <w:color w:val="000000"/>
                <w:sz w:val="21"/>
                <w:szCs w:val="21"/>
              </w:rPr>
              <w:t>益指标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left"/>
              <w:rPr>
                <w:rFonts w:eastAsia="仿宋_GB2312"/>
                <w:color w:val="000000"/>
                <w:sz w:val="20"/>
                <w:szCs w:val="20"/>
                <w:highlight w:val="none"/>
              </w:rPr>
            </w:pPr>
          </w:p>
        </w:tc>
        <w:tc>
          <w:tcPr>
            <w:tcW w:w="925" w:type="dxa"/>
            <w:vMerge w:val="continue"/>
            <w:noWrap w:val="0"/>
            <w:vAlign w:val="center"/>
          </w:tcPr>
          <w:p>
            <w:pPr>
              <w:spacing w:line="240" w:lineRule="exact"/>
              <w:jc w:val="center"/>
              <w:rPr>
                <w:rFonts w:eastAsia="仿宋_GB2312"/>
                <w:color w:val="000000"/>
                <w:sz w:val="20"/>
                <w:szCs w:val="20"/>
                <w:highlight w:val="none"/>
              </w:rPr>
            </w:pPr>
          </w:p>
        </w:tc>
        <w:tc>
          <w:tcPr>
            <w:tcW w:w="1076" w:type="dxa"/>
            <w:noWrap w:val="0"/>
            <w:vAlign w:val="center"/>
          </w:tcPr>
          <w:p>
            <w:pPr>
              <w:spacing w:line="240" w:lineRule="exact"/>
              <w:jc w:val="center"/>
              <w:rPr>
                <w:rFonts w:eastAsia="仿宋_GB2312"/>
                <w:color w:val="000000"/>
                <w:sz w:val="20"/>
                <w:szCs w:val="20"/>
                <w:highlight w:val="none"/>
              </w:rPr>
            </w:pPr>
            <w:r>
              <w:rPr>
                <w:rFonts w:hint="eastAsia" w:ascii="仿宋" w:hAnsi="仿宋" w:eastAsia="仿宋" w:cs="仿宋"/>
                <w:color w:val="000000"/>
                <w:sz w:val="21"/>
                <w:szCs w:val="21"/>
              </w:rPr>
              <w:t>可持续影响指标</w:t>
            </w:r>
          </w:p>
        </w:tc>
        <w:tc>
          <w:tcPr>
            <w:tcW w:w="1174" w:type="dxa"/>
            <w:gridSpan w:val="2"/>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58" w:type="dxa"/>
            <w:vMerge w:val="continue"/>
            <w:noWrap w:val="0"/>
            <w:vAlign w:val="center"/>
          </w:tcPr>
          <w:p>
            <w:pPr>
              <w:spacing w:line="240" w:lineRule="exact"/>
              <w:jc w:val="left"/>
              <w:rPr>
                <w:rFonts w:eastAsia="仿宋_GB2312"/>
                <w:color w:val="000000"/>
                <w:sz w:val="20"/>
                <w:szCs w:val="20"/>
                <w:highlight w:val="none"/>
              </w:rPr>
            </w:pPr>
          </w:p>
        </w:tc>
        <w:tc>
          <w:tcPr>
            <w:tcW w:w="945" w:type="dxa"/>
            <w:vMerge w:val="continue"/>
            <w:noWrap w:val="0"/>
            <w:vAlign w:val="center"/>
          </w:tcPr>
          <w:p>
            <w:pPr>
              <w:spacing w:line="240" w:lineRule="exact"/>
              <w:jc w:val="center"/>
              <w:rPr>
                <w:rFonts w:eastAsia="仿宋_GB2312"/>
                <w:color w:val="000000"/>
                <w:sz w:val="20"/>
                <w:szCs w:val="20"/>
                <w:highlight w:val="none"/>
              </w:rPr>
            </w:pPr>
          </w:p>
        </w:tc>
        <w:tc>
          <w:tcPr>
            <w:tcW w:w="92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6" w:type="dxa"/>
            <w:noWrap w:val="0"/>
            <w:vAlign w:val="center"/>
          </w:tcPr>
          <w:p>
            <w:pPr>
              <w:spacing w:line="240" w:lineRule="exact"/>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服务对象满意度指标</w:t>
            </w:r>
          </w:p>
        </w:tc>
        <w:tc>
          <w:tcPr>
            <w:tcW w:w="1174"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201"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715"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1" w:type="dxa"/>
            <w:noWrap w:val="0"/>
            <w:vAlign w:val="center"/>
          </w:tcPr>
          <w:p>
            <w:pPr>
              <w:spacing w:line="240" w:lineRule="exact"/>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9</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79"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1"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98.5</w:t>
            </w:r>
          </w:p>
        </w:tc>
        <w:tc>
          <w:tcPr>
            <w:tcW w:w="1436"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spacing w:line="600" w:lineRule="exact"/>
        <w:jc w:val="left"/>
        <w:rPr>
          <w:rFonts w:hint="eastAsia" w:eastAsia="黑体"/>
          <w:color w:val="000000"/>
          <w:sz w:val="32"/>
          <w:szCs w:val="32"/>
          <w:highlight w:val="none"/>
          <w:lang w:val="en-US" w:eastAsia="zh-CN"/>
        </w:rPr>
      </w:pPr>
      <w:r>
        <w:rPr>
          <w:rFonts w:eastAsia="仿宋_GB2312"/>
          <w:sz w:val="22"/>
          <w:szCs w:val="22"/>
          <w:highlight w:val="none"/>
        </w:rPr>
        <w:t>填表人：</w:t>
      </w:r>
      <w:r>
        <w:rPr>
          <w:rFonts w:hint="eastAsia" w:eastAsia="仿宋_GB2312"/>
          <w:sz w:val="22"/>
          <w:szCs w:val="22"/>
          <w:highlight w:val="none"/>
          <w:lang w:eastAsia="zh-CN"/>
        </w:rPr>
        <w:t>雷艳</w:t>
      </w:r>
      <w:r>
        <w:rPr>
          <w:rFonts w:hint="eastAsia" w:eastAsia="仿宋_GB2312"/>
          <w:sz w:val="22"/>
          <w:szCs w:val="22"/>
          <w:highlight w:val="none"/>
          <w:lang w:val="en-US" w:eastAsia="zh-CN"/>
        </w:rPr>
        <w:t xml:space="preserve"> </w:t>
      </w:r>
      <w:r>
        <w:rPr>
          <w:rFonts w:eastAsia="仿宋_GB2312"/>
          <w:sz w:val="22"/>
          <w:szCs w:val="22"/>
          <w:highlight w:val="none"/>
        </w:rPr>
        <w:t>填报日期：</w:t>
      </w:r>
      <w:r>
        <w:rPr>
          <w:rFonts w:hint="eastAsia" w:eastAsia="仿宋_GB2312"/>
          <w:sz w:val="22"/>
          <w:szCs w:val="22"/>
          <w:highlight w:val="none"/>
          <w:lang w:val="en-US" w:eastAsia="zh-CN"/>
        </w:rPr>
        <w:t>2023年6月29日</w:t>
      </w:r>
      <w:r>
        <w:rPr>
          <w:rFonts w:eastAsia="仿宋_GB2312"/>
          <w:sz w:val="22"/>
          <w:szCs w:val="22"/>
          <w:highlight w:val="none"/>
        </w:rPr>
        <w:t xml:space="preserve"> 联系电话：</w:t>
      </w:r>
      <w:r>
        <w:rPr>
          <w:rFonts w:hint="eastAsia" w:eastAsia="仿宋_GB2312"/>
          <w:sz w:val="22"/>
          <w:szCs w:val="22"/>
          <w:highlight w:val="none"/>
          <w:lang w:val="en-US" w:eastAsia="zh-CN"/>
        </w:rPr>
        <w:t>07464751298</w:t>
      </w:r>
      <w:r>
        <w:rPr>
          <w:rFonts w:eastAsia="仿宋_GB2312"/>
          <w:sz w:val="22"/>
          <w:szCs w:val="22"/>
          <w:highlight w:val="none"/>
        </w:rPr>
        <w:t>单位负责人签字：</w:t>
      </w:r>
      <w:r>
        <w:rPr>
          <w:rFonts w:eastAsia="仿宋_GB2312"/>
          <w:sz w:val="22"/>
          <w:szCs w:val="22"/>
          <w:highlight w:val="none"/>
        </w:rPr>
        <w:br w:type="page"/>
      </w: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中央补助重大传染病防控项目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97.18万元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卫计局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jc w:val="left"/>
              <w:rPr>
                <w:rFonts w:hint="eastAsia" w:eastAsia="宋体"/>
                <w:sz w:val="22"/>
                <w:szCs w:val="22"/>
                <w:highlight w:val="none"/>
                <w:lang w:eastAsia="zh-CN"/>
              </w:rPr>
            </w:pPr>
            <w:r>
              <w:rPr>
                <w:rFonts w:hint="eastAsia"/>
                <w:sz w:val="22"/>
                <w:szCs w:val="22"/>
                <w:highlight w:val="none"/>
                <w:lang w:eastAsia="zh-CN"/>
              </w:rPr>
              <w:t>结核病、艾滋病、计划免疫、慢性病等非传染性疾病、新冠肺炎等传染病的防控等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left"/>
              <w:rPr>
                <w:sz w:val="22"/>
                <w:szCs w:val="22"/>
                <w:highlight w:val="none"/>
              </w:rPr>
            </w:pPr>
            <w:r>
              <w:rPr>
                <w:rFonts w:hint="eastAsia"/>
                <w:sz w:val="22"/>
                <w:szCs w:val="22"/>
                <w:highlight w:val="none"/>
                <w:lang w:eastAsia="zh-CN"/>
              </w:rPr>
              <w:t>按照县政府对资金的管理规定，实行财务报帐制，即：项目工作完成后，将项目开支凭证到县财政局会计管理中心报帐，202</w:t>
            </w:r>
            <w:r>
              <w:rPr>
                <w:rFonts w:hint="eastAsia"/>
                <w:sz w:val="22"/>
                <w:szCs w:val="22"/>
                <w:highlight w:val="none"/>
                <w:lang w:val="en-US" w:eastAsia="zh-CN"/>
              </w:rPr>
              <w:t>2</w:t>
            </w:r>
            <w:r>
              <w:rPr>
                <w:rFonts w:hint="eastAsia"/>
                <w:sz w:val="22"/>
                <w:szCs w:val="22"/>
                <w:highlight w:val="none"/>
                <w:lang w:eastAsia="zh-CN"/>
              </w:rPr>
              <w:t>年，该项目资金拔付规范，并及时、足额到位。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left"/>
              <w:rPr>
                <w:sz w:val="22"/>
                <w:szCs w:val="22"/>
                <w:highlight w:val="none"/>
              </w:rPr>
            </w:pPr>
            <w:r>
              <w:rPr>
                <w:rFonts w:hint="eastAsia"/>
                <w:sz w:val="22"/>
                <w:szCs w:val="22"/>
                <w:highlight w:val="none"/>
                <w:lang w:val="en-US" w:eastAsia="zh-CN"/>
              </w:rPr>
              <w:t>2022年重大传染病项目经费主要用于传染病防治、计划免疫及检验检测等开支。具体为结核病16.6万元，艾滋病18万元，计划免疫51万元，慢性病等非传染性疾病8.58万元，新冠肺炎3万元。</w:t>
            </w:r>
          </w:p>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left"/>
              <w:rPr>
                <w:rFonts w:hint="eastAsia"/>
                <w:sz w:val="22"/>
                <w:szCs w:val="22"/>
                <w:highlight w:val="none"/>
                <w:lang w:val="en-US" w:eastAsia="zh-CN"/>
              </w:rPr>
            </w:pPr>
            <w:r>
              <w:rPr>
                <w:rFonts w:hint="eastAsia"/>
                <w:sz w:val="22"/>
                <w:szCs w:val="22"/>
                <w:highlight w:val="none"/>
                <w:lang w:val="en-US" w:eastAsia="zh-CN"/>
              </w:rPr>
              <w:t>疾病监测工作任务重，项目多，专项经费比较少，经费不够。</w:t>
            </w:r>
          </w:p>
          <w:p>
            <w:pPr>
              <w:spacing w:line="240" w:lineRule="auto"/>
              <w:ind w:right="0" w:rightChars="0"/>
              <w:jc w:val="both"/>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3"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left"/>
              <w:rPr>
                <w:sz w:val="22"/>
                <w:szCs w:val="22"/>
                <w:highlight w:val="none"/>
              </w:rPr>
            </w:pPr>
            <w:r>
              <w:rPr>
                <w:rFonts w:hint="eastAsia"/>
                <w:sz w:val="22"/>
                <w:szCs w:val="22"/>
                <w:highlight w:val="none"/>
                <w:lang w:val="en-US" w:eastAsia="zh-CN"/>
              </w:rPr>
              <w:t>增加项目经费投入，确保工作需要，促进工作质量进一步提高。同时提高疾控部门工作人员的绩效比重。项目经费使用范围规定太窄，人员劳务费用不明确。同时提高疾控部门工作人员的绩效比重。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jc w:val="center"/>
              <w:rPr>
                <w:rFonts w:hint="eastAsia"/>
                <w:sz w:val="22"/>
                <w:szCs w:val="22"/>
                <w:highlight w:val="none"/>
                <w:lang w:val="en-US" w:eastAsia="zh-CN"/>
              </w:rPr>
            </w:pPr>
          </w:p>
          <w:p>
            <w:pPr>
              <w:spacing w:line="240" w:lineRule="auto"/>
              <w:ind w:right="0" w:rightChars="0"/>
              <w:jc w:val="center"/>
              <w:rPr>
                <w:rFonts w:hint="eastAsia"/>
                <w:sz w:val="22"/>
                <w:szCs w:val="22"/>
                <w:highlight w:val="none"/>
                <w:lang w:val="en-US" w:eastAsia="zh-CN"/>
              </w:rPr>
            </w:pPr>
            <w:r>
              <w:rPr>
                <w:rFonts w:hint="eastAsia"/>
                <w:sz w:val="22"/>
                <w:szCs w:val="22"/>
                <w:highlight w:val="none"/>
                <w:lang w:val="en-US" w:eastAsia="zh-CN"/>
              </w:rPr>
              <w:t>无</w:t>
            </w: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sz w:val="32"/>
          <w:szCs w:val="32"/>
          <w:highlight w:val="none"/>
        </w:rPr>
      </w:pPr>
      <w:r>
        <w:rPr>
          <w:rFonts w:eastAsia="仿宋_GB2312"/>
          <w:sz w:val="22"/>
          <w:szCs w:val="22"/>
          <w:highlight w:val="none"/>
        </w:rPr>
        <w:t>填表人：</w:t>
      </w:r>
      <w:r>
        <w:rPr>
          <w:rFonts w:hint="eastAsia" w:eastAsia="仿宋_GB2312"/>
          <w:sz w:val="22"/>
          <w:szCs w:val="22"/>
          <w:highlight w:val="none"/>
          <w:lang w:eastAsia="zh-CN"/>
        </w:rPr>
        <w:t>雷艳</w:t>
      </w:r>
      <w:r>
        <w:rPr>
          <w:rFonts w:eastAsia="仿宋_GB2312"/>
          <w:sz w:val="22"/>
          <w:szCs w:val="22"/>
          <w:highlight w:val="none"/>
        </w:rPr>
        <w:t xml:space="preserve">  填报日期：</w:t>
      </w:r>
      <w:r>
        <w:rPr>
          <w:rFonts w:hint="eastAsia" w:eastAsia="仿宋_GB2312"/>
          <w:sz w:val="22"/>
          <w:szCs w:val="22"/>
          <w:highlight w:val="none"/>
          <w:lang w:val="en-US" w:eastAsia="zh-CN"/>
        </w:rPr>
        <w:t>2023年6月29日</w:t>
      </w:r>
      <w:r>
        <w:rPr>
          <w:rFonts w:eastAsia="仿宋_GB2312"/>
          <w:sz w:val="22"/>
          <w:szCs w:val="22"/>
          <w:highlight w:val="none"/>
        </w:rPr>
        <w:t xml:space="preserve"> 联系电话：</w:t>
      </w:r>
      <w:r>
        <w:rPr>
          <w:rFonts w:hint="eastAsia" w:eastAsia="仿宋_GB2312"/>
          <w:sz w:val="22"/>
          <w:szCs w:val="22"/>
          <w:highlight w:val="none"/>
          <w:lang w:val="en-US" w:eastAsia="zh-CN"/>
        </w:rPr>
        <w:t>07464751298</w:t>
      </w:r>
      <w:r>
        <w:rPr>
          <w:rFonts w:eastAsia="仿宋_GB2312"/>
          <w:sz w:val="22"/>
          <w:szCs w:val="22"/>
          <w:highlight w:val="none"/>
        </w:rPr>
        <w:t xml:space="preserve"> 单位负责人签字：</w:t>
      </w:r>
    </w:p>
    <w:p>
      <w:pPr>
        <w:spacing w:line="6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sz w:val="22"/>
                <w:szCs w:val="22"/>
                <w:highlight w:val="none"/>
                <w:lang w:eastAsia="zh-CN"/>
              </w:rPr>
              <w:t>中央补助重大传染病防控项目</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卫计局</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hint="eastAsia" w:eastAsia="仿宋_GB2312"/>
                <w:color w:val="000000"/>
                <w:sz w:val="20"/>
                <w:szCs w:val="20"/>
                <w:highlight w:val="none"/>
                <w:lang w:eastAsia="zh-CN"/>
              </w:rPr>
            </w:pPr>
            <w:r>
              <w:rPr>
                <w:rFonts w:eastAsia="仿宋_GB2312"/>
                <w:color w:val="000000"/>
                <w:sz w:val="20"/>
                <w:szCs w:val="20"/>
                <w:highlight w:val="none"/>
              </w:rPr>
              <w:t>　</w:t>
            </w:r>
            <w:r>
              <w:rPr>
                <w:rFonts w:hint="eastAsia" w:eastAsia="仿宋_GB2312"/>
                <w:color w:val="000000"/>
                <w:sz w:val="20"/>
                <w:szCs w:val="20"/>
                <w:highlight w:val="none"/>
                <w:lang w:eastAsia="zh-CN"/>
              </w:rPr>
              <w:t>新田县疾病预防控制中心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146"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97.18</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0</w:t>
            </w: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0</w:t>
            </w: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　　</w:t>
            </w:r>
          </w:p>
        </w:tc>
        <w:tc>
          <w:tcPr>
            <w:tcW w:w="3995"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lang w:val="en-US" w:eastAsia="zh-CN"/>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9</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99</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eastAsia="zh-CN"/>
        </w:rPr>
        <w:t>雷艳</w:t>
      </w:r>
      <w:r>
        <w:rPr>
          <w:rFonts w:eastAsia="仿宋_GB2312"/>
          <w:sz w:val="22"/>
          <w:szCs w:val="22"/>
          <w:highlight w:val="none"/>
        </w:rPr>
        <w:t xml:space="preserve">  填报日期：</w:t>
      </w:r>
      <w:r>
        <w:rPr>
          <w:rFonts w:hint="eastAsia" w:eastAsia="仿宋_GB2312"/>
          <w:sz w:val="22"/>
          <w:szCs w:val="22"/>
          <w:highlight w:val="none"/>
          <w:lang w:val="en-US" w:eastAsia="zh-CN"/>
        </w:rPr>
        <w:t>2023年6月29日</w:t>
      </w:r>
      <w:r>
        <w:rPr>
          <w:rFonts w:eastAsia="仿宋_GB2312"/>
          <w:sz w:val="22"/>
          <w:szCs w:val="22"/>
          <w:highlight w:val="none"/>
        </w:rPr>
        <w:t xml:space="preserve"> 联系电话：</w:t>
      </w:r>
      <w:r>
        <w:rPr>
          <w:rFonts w:hint="eastAsia" w:eastAsia="仿宋_GB2312"/>
          <w:sz w:val="22"/>
          <w:szCs w:val="22"/>
          <w:highlight w:val="none"/>
          <w:lang w:val="en-US" w:eastAsia="zh-CN"/>
        </w:rPr>
        <w:t>07464751298</w:t>
      </w:r>
      <w:r>
        <w:rPr>
          <w:rFonts w:eastAsia="仿宋_GB2312"/>
          <w:sz w:val="22"/>
          <w:szCs w:val="22"/>
          <w:highlight w:val="none"/>
        </w:rPr>
        <w:t xml:space="preserve">  单位负责人签字：</w:t>
      </w:r>
    </w:p>
    <w:p>
      <w:pPr>
        <w:spacing w:line="600" w:lineRule="exact"/>
        <w:jc w:val="left"/>
        <w:rPr>
          <w:rFonts w:hint="eastAsia" w:eastAsia="黑体"/>
          <w:color w:val="000000"/>
          <w:sz w:val="32"/>
          <w:szCs w:val="32"/>
          <w:highlight w:val="none"/>
          <w:lang w:val="en-US" w:eastAsia="zh-CN"/>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中央补助重大公共卫生项目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72万元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rFonts w:hint="eastAsia" w:eastAsia="宋体"/>
                <w:sz w:val="22"/>
                <w:szCs w:val="22"/>
                <w:highlight w:val="none"/>
                <w:lang w:eastAsia="zh-CN"/>
              </w:rPr>
            </w:pPr>
            <w:r>
              <w:rPr>
                <w:rFonts w:hint="eastAsia"/>
                <w:sz w:val="22"/>
                <w:szCs w:val="22"/>
                <w:highlight w:val="none"/>
                <w:lang w:eastAsia="zh-CN"/>
              </w:rPr>
              <w:t>卫计局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jc w:val="left"/>
              <w:rPr>
                <w:rFonts w:hint="default" w:eastAsia="宋体"/>
                <w:sz w:val="22"/>
                <w:szCs w:val="22"/>
                <w:highlight w:val="none"/>
                <w:lang w:val="en-US" w:eastAsia="zh-CN"/>
              </w:rPr>
            </w:pPr>
            <w:r>
              <w:rPr>
                <w:rFonts w:hint="eastAsia"/>
                <w:sz w:val="22"/>
                <w:szCs w:val="22"/>
                <w:highlight w:val="none"/>
                <w:lang w:eastAsia="zh-CN"/>
              </w:rPr>
              <w:t>地方病、职业病、重大疾病与健康危害监测工作、人禽流感、</w:t>
            </w:r>
            <w:r>
              <w:rPr>
                <w:rFonts w:hint="eastAsia"/>
                <w:sz w:val="22"/>
                <w:szCs w:val="22"/>
                <w:highlight w:val="none"/>
                <w:lang w:val="en-US" w:eastAsia="zh-CN"/>
              </w:rPr>
              <w:t>SARS、鼠疫防控等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left"/>
              <w:rPr>
                <w:sz w:val="22"/>
                <w:szCs w:val="22"/>
                <w:highlight w:val="none"/>
              </w:rPr>
            </w:pPr>
            <w:r>
              <w:rPr>
                <w:rFonts w:hint="eastAsia"/>
                <w:sz w:val="22"/>
                <w:szCs w:val="22"/>
                <w:highlight w:val="none"/>
                <w:lang w:eastAsia="zh-CN"/>
              </w:rPr>
              <w:t>按照县政府对资金的管理规定，实行财务报帐制，即：项目工作完成后，将项目开支凭证到县财政局会计管理中心报帐，202</w:t>
            </w:r>
            <w:r>
              <w:rPr>
                <w:rFonts w:hint="eastAsia"/>
                <w:sz w:val="22"/>
                <w:szCs w:val="22"/>
                <w:highlight w:val="none"/>
                <w:lang w:val="en-US" w:eastAsia="zh-CN"/>
              </w:rPr>
              <w:t>2</w:t>
            </w:r>
            <w:r>
              <w:rPr>
                <w:rFonts w:hint="eastAsia"/>
                <w:sz w:val="22"/>
                <w:szCs w:val="22"/>
                <w:highlight w:val="none"/>
                <w:lang w:eastAsia="zh-CN"/>
              </w:rPr>
              <w:t>年，该项目资金拔付规范，并及时、足额到位。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left"/>
              <w:rPr>
                <w:sz w:val="22"/>
                <w:szCs w:val="22"/>
                <w:highlight w:val="none"/>
              </w:rPr>
            </w:pPr>
          </w:p>
          <w:p>
            <w:pPr>
              <w:spacing w:line="240" w:lineRule="auto"/>
              <w:ind w:right="0" w:rightChars="0"/>
              <w:jc w:val="left"/>
              <w:rPr>
                <w:sz w:val="22"/>
                <w:szCs w:val="22"/>
                <w:highlight w:val="none"/>
              </w:rPr>
            </w:pPr>
            <w:r>
              <w:rPr>
                <w:rFonts w:hint="eastAsia"/>
                <w:sz w:val="22"/>
                <w:szCs w:val="22"/>
                <w:highlight w:val="none"/>
                <w:lang w:val="en-US" w:eastAsia="zh-CN"/>
              </w:rPr>
              <w:t>2022年9元公卫项目72万元，主要用于地方病防治、职业病、人禽流感、SARS、鼠疫防控及重大疾病及健康危害因素监测。其中地方病及职业病39万，重大疾病与健康危害因素监测27万，人禽流感、SARS、鼠疫防控等6万。资金使用过程采取专项资金管理办法，报销审核票据是否齐全，领导审核批字，出纳制单，财政审核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p>
            <w:pPr>
              <w:spacing w:line="240" w:lineRule="auto"/>
              <w:ind w:right="0" w:rightChars="0"/>
              <w:jc w:val="left"/>
              <w:rPr>
                <w:rFonts w:hint="eastAsia"/>
                <w:sz w:val="22"/>
                <w:szCs w:val="22"/>
                <w:highlight w:val="none"/>
                <w:lang w:val="en-US" w:eastAsia="zh-CN"/>
              </w:rPr>
            </w:pPr>
            <w:r>
              <w:rPr>
                <w:rFonts w:hint="eastAsia"/>
                <w:sz w:val="22"/>
                <w:szCs w:val="22"/>
                <w:highlight w:val="none"/>
                <w:lang w:val="en-US" w:eastAsia="zh-CN"/>
              </w:rPr>
              <w:t>疾病监测工作任务重，项目多，专项经费比较少，经费不够。</w:t>
            </w:r>
          </w:p>
          <w:p>
            <w:pPr>
              <w:spacing w:line="240" w:lineRule="auto"/>
              <w:ind w:right="0" w:rightChars="0"/>
              <w:jc w:val="both"/>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3"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left"/>
              <w:rPr>
                <w:sz w:val="22"/>
                <w:szCs w:val="22"/>
                <w:highlight w:val="none"/>
              </w:rPr>
            </w:pPr>
            <w:r>
              <w:rPr>
                <w:rFonts w:hint="eastAsia"/>
                <w:sz w:val="22"/>
                <w:szCs w:val="22"/>
                <w:highlight w:val="none"/>
                <w:lang w:val="en-US" w:eastAsia="zh-CN"/>
              </w:rPr>
              <w:t>增加项目经费投入，确保工作需要，促进工作质量进一步提高。同时提高疾控部门工作人员的绩效比重。项目经费使用范围规定太窄，人员劳务费用不明确。同时提高疾控部门工作人员的绩效比重。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jc w:val="center"/>
              <w:rPr>
                <w:rFonts w:hint="eastAsia"/>
                <w:sz w:val="22"/>
                <w:szCs w:val="22"/>
                <w:highlight w:val="none"/>
                <w:lang w:val="en-US" w:eastAsia="zh-CN"/>
              </w:rPr>
            </w:pPr>
          </w:p>
          <w:p>
            <w:pPr>
              <w:spacing w:line="240" w:lineRule="auto"/>
              <w:ind w:right="0" w:rightChars="0"/>
              <w:jc w:val="center"/>
              <w:rPr>
                <w:rFonts w:hint="eastAsia"/>
                <w:sz w:val="22"/>
                <w:szCs w:val="22"/>
                <w:highlight w:val="none"/>
                <w:lang w:val="en-US" w:eastAsia="zh-CN"/>
              </w:rPr>
            </w:pPr>
            <w:r>
              <w:rPr>
                <w:rFonts w:hint="eastAsia"/>
                <w:sz w:val="22"/>
                <w:szCs w:val="22"/>
                <w:highlight w:val="none"/>
                <w:lang w:val="en-US" w:eastAsia="zh-CN"/>
              </w:rPr>
              <w:t>无</w:t>
            </w: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sz w:val="32"/>
          <w:szCs w:val="32"/>
          <w:highlight w:val="none"/>
        </w:rPr>
      </w:pPr>
      <w:r>
        <w:rPr>
          <w:rFonts w:eastAsia="仿宋_GB2312"/>
          <w:sz w:val="22"/>
          <w:szCs w:val="22"/>
          <w:highlight w:val="none"/>
        </w:rPr>
        <w:t>填表人：</w:t>
      </w:r>
      <w:r>
        <w:rPr>
          <w:rFonts w:hint="eastAsia" w:eastAsia="仿宋_GB2312"/>
          <w:sz w:val="22"/>
          <w:szCs w:val="22"/>
          <w:highlight w:val="none"/>
          <w:lang w:eastAsia="zh-CN"/>
        </w:rPr>
        <w:t>雷艳</w:t>
      </w:r>
      <w:r>
        <w:rPr>
          <w:rFonts w:eastAsia="仿宋_GB2312"/>
          <w:sz w:val="22"/>
          <w:szCs w:val="22"/>
          <w:highlight w:val="none"/>
        </w:rPr>
        <w:t xml:space="preserve">  填报日期：</w:t>
      </w:r>
      <w:r>
        <w:rPr>
          <w:rFonts w:hint="eastAsia" w:eastAsia="仿宋_GB2312"/>
          <w:sz w:val="22"/>
          <w:szCs w:val="22"/>
          <w:highlight w:val="none"/>
          <w:lang w:val="en-US" w:eastAsia="zh-CN"/>
        </w:rPr>
        <w:t>2023年6月29日</w:t>
      </w:r>
      <w:r>
        <w:rPr>
          <w:rFonts w:eastAsia="仿宋_GB2312"/>
          <w:sz w:val="22"/>
          <w:szCs w:val="22"/>
          <w:highlight w:val="none"/>
        </w:rPr>
        <w:t xml:space="preserve"> 联系电话：</w:t>
      </w:r>
      <w:r>
        <w:rPr>
          <w:rFonts w:hint="eastAsia" w:eastAsia="仿宋_GB2312"/>
          <w:sz w:val="22"/>
          <w:szCs w:val="22"/>
          <w:highlight w:val="none"/>
          <w:lang w:val="en-US" w:eastAsia="zh-CN"/>
        </w:rPr>
        <w:t>07464751298</w:t>
      </w:r>
      <w:r>
        <w:rPr>
          <w:rFonts w:eastAsia="仿宋_GB2312"/>
          <w:sz w:val="22"/>
          <w:szCs w:val="22"/>
          <w:highlight w:val="none"/>
        </w:rPr>
        <w:t xml:space="preserve"> 单位负责人签字：</w:t>
      </w:r>
    </w:p>
    <w:p>
      <w:pPr>
        <w:spacing w:line="6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eastAsia="仿宋_GB2312"/>
                <w:color w:val="000000"/>
                <w:sz w:val="20"/>
                <w:szCs w:val="20"/>
                <w:highlight w:val="none"/>
              </w:rPr>
            </w:pPr>
            <w:r>
              <w:rPr>
                <w:rFonts w:hint="eastAsia"/>
                <w:sz w:val="22"/>
                <w:szCs w:val="22"/>
                <w:highlight w:val="none"/>
                <w:lang w:eastAsia="zh-CN"/>
              </w:rPr>
              <w:t>中央补助重大公共卫生项目</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center"/>
              <w:rPr>
                <w:rFonts w:hint="eastAsia" w:eastAsia="仿宋_GB2312"/>
                <w:color w:val="000000"/>
                <w:sz w:val="20"/>
                <w:szCs w:val="20"/>
                <w:highlight w:val="none"/>
                <w:lang w:eastAsia="zh-CN"/>
              </w:rPr>
            </w:pPr>
            <w:r>
              <w:rPr>
                <w:rFonts w:hint="eastAsia" w:eastAsia="仿宋_GB2312"/>
                <w:color w:val="000000"/>
                <w:sz w:val="20"/>
                <w:szCs w:val="20"/>
                <w:highlight w:val="none"/>
                <w:lang w:eastAsia="zh-CN"/>
              </w:rPr>
              <w:t>卫计局</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hint="eastAsia" w:eastAsia="仿宋_GB2312"/>
                <w:color w:val="000000"/>
                <w:sz w:val="20"/>
                <w:szCs w:val="20"/>
                <w:highlight w:val="none"/>
                <w:lang w:eastAsia="zh-CN"/>
              </w:rPr>
            </w:pPr>
            <w:r>
              <w:rPr>
                <w:rFonts w:eastAsia="仿宋_GB2312"/>
                <w:color w:val="000000"/>
                <w:sz w:val="20"/>
                <w:szCs w:val="20"/>
                <w:highlight w:val="none"/>
              </w:rPr>
              <w:t>　</w:t>
            </w:r>
            <w:r>
              <w:rPr>
                <w:rFonts w:hint="eastAsia" w:eastAsia="仿宋_GB2312"/>
                <w:color w:val="000000"/>
                <w:sz w:val="20"/>
                <w:szCs w:val="20"/>
                <w:highlight w:val="none"/>
                <w:lang w:eastAsia="zh-CN"/>
              </w:rPr>
              <w:t>新田县疾病预防控制中心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100%</w:t>
            </w:r>
          </w:p>
        </w:tc>
        <w:tc>
          <w:tcPr>
            <w:tcW w:w="1146"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1140"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72</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0</w:t>
            </w: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0</w:t>
            </w: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　　</w:t>
            </w:r>
          </w:p>
        </w:tc>
        <w:tc>
          <w:tcPr>
            <w:tcW w:w="3995"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lang w:val="en-US" w:eastAsia="zh-CN"/>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5</w:t>
            </w: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77" w:type="dxa"/>
            <w:noWrap w:val="0"/>
            <w:vAlign w:val="center"/>
          </w:tcPr>
          <w:p>
            <w:pPr>
              <w:jc w:val="center"/>
              <w:rPr>
                <w:rFonts w:hint="eastAsia" w:eastAsia="仿宋_GB2312"/>
                <w:color w:val="000000"/>
                <w:sz w:val="20"/>
                <w:szCs w:val="20"/>
                <w:highlight w:val="none"/>
                <w:lang w:val="en-US" w:eastAsia="zh-CN"/>
              </w:rPr>
            </w:pPr>
            <w:r>
              <w:rPr>
                <w:rFonts w:hint="eastAsia" w:eastAsia="仿宋_GB2312"/>
                <w:color w:val="000000"/>
                <w:sz w:val="20"/>
                <w:szCs w:val="20"/>
                <w:highlight w:val="none"/>
                <w:lang w:val="en-US" w:eastAsia="zh-CN"/>
              </w:rPr>
              <w:t>9</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eastAsia="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100</w:t>
            </w:r>
          </w:p>
        </w:tc>
        <w:tc>
          <w:tcPr>
            <w:tcW w:w="877" w:type="dxa"/>
            <w:noWrap w:val="0"/>
            <w:vAlign w:val="center"/>
          </w:tcPr>
          <w:p>
            <w:pPr>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99</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Style w:val="8"/>
          <w:rFonts w:hint="eastAsia" w:eastAsia="仿宋_GB2312"/>
          <w:lang w:eastAsia="zh-CN"/>
        </w:rPr>
        <w:sectPr>
          <w:footerReference r:id="rId5" w:type="default"/>
          <w:pgSz w:w="11905" w:h="16837"/>
          <w:pgMar w:top="1701" w:right="1588" w:bottom="1701" w:left="1588" w:header="851" w:footer="1474" w:gutter="0"/>
          <w:pgNumType w:fmt="decimal"/>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eastAsia="zh-CN"/>
        </w:rPr>
        <w:t>雷艳</w:t>
      </w:r>
      <w:r>
        <w:rPr>
          <w:rFonts w:eastAsia="仿宋_GB2312"/>
          <w:sz w:val="22"/>
          <w:szCs w:val="22"/>
          <w:highlight w:val="none"/>
        </w:rPr>
        <w:t xml:space="preserve">  填报日期：</w:t>
      </w:r>
      <w:r>
        <w:rPr>
          <w:rFonts w:hint="eastAsia" w:eastAsia="仿宋_GB2312"/>
          <w:sz w:val="22"/>
          <w:szCs w:val="22"/>
          <w:highlight w:val="none"/>
          <w:lang w:val="en-US" w:eastAsia="zh-CN"/>
        </w:rPr>
        <w:t>2023年6月29日</w:t>
      </w:r>
      <w:r>
        <w:rPr>
          <w:rFonts w:eastAsia="仿宋_GB2312"/>
          <w:sz w:val="22"/>
          <w:szCs w:val="22"/>
          <w:highlight w:val="none"/>
        </w:rPr>
        <w:t xml:space="preserve"> 联系电话：</w:t>
      </w:r>
      <w:r>
        <w:rPr>
          <w:rFonts w:hint="eastAsia" w:eastAsia="仿宋_GB2312"/>
          <w:sz w:val="22"/>
          <w:szCs w:val="22"/>
          <w:highlight w:val="none"/>
          <w:lang w:val="en-US" w:eastAsia="zh-CN"/>
        </w:rPr>
        <w:t>07464751298</w:t>
      </w:r>
      <w:r>
        <w:rPr>
          <w:rFonts w:eastAsia="仿宋_GB2312"/>
          <w:sz w:val="22"/>
          <w:szCs w:val="22"/>
          <w:highlight w:val="none"/>
        </w:rPr>
        <w:t xml:space="preserve">  单位负责人签字</w:t>
      </w:r>
      <w:r>
        <w:rPr>
          <w:rFonts w:hint="eastAsia" w:eastAsia="仿宋_GB2312"/>
          <w:sz w:val="22"/>
          <w:szCs w:val="22"/>
          <w:highlight w:val="none"/>
          <w:lang w:eastAsia="zh-CN"/>
        </w:rPr>
        <w:t>：</w:t>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lang w:eastAsia="zh-CN"/>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eastAsia="zh-CN"/>
        </w:rPr>
        <w:t>新田县疾病预防控制中心</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hint="eastAsia" w:eastAsia="仿宋_GB2312"/>
          <w:sz w:val="32"/>
          <w:szCs w:val="32"/>
          <w:highlight w:val="none"/>
          <w:u w:val="single"/>
          <w:lang w:eastAsia="zh-CN"/>
        </w:rPr>
        <w:t>新田县疾病预防控制中心</w:t>
      </w:r>
      <w:r>
        <w:rPr>
          <w:rFonts w:eastAsia="仿宋_GB2312"/>
          <w:sz w:val="32"/>
          <w:szCs w:val="32"/>
          <w:highlight w:val="none"/>
          <w:u w:val="single"/>
        </w:rPr>
        <w:t xml:space="preserve">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 xml:space="preserve">年 </w:t>
      </w:r>
      <w:r>
        <w:rPr>
          <w:rFonts w:hint="eastAsia" w:eastAsia="楷体_GB2312"/>
          <w:sz w:val="32"/>
          <w:szCs w:val="32"/>
          <w:highlight w:val="none"/>
          <w:lang w:val="en-US" w:eastAsia="zh-CN"/>
        </w:rPr>
        <w:t>6</w:t>
      </w:r>
      <w:r>
        <w:rPr>
          <w:rFonts w:eastAsia="楷体_GB2312"/>
          <w:sz w:val="32"/>
          <w:szCs w:val="32"/>
          <w:highlight w:val="none"/>
        </w:rPr>
        <w:t xml:space="preserve"> 月 </w:t>
      </w:r>
      <w:r>
        <w:rPr>
          <w:rFonts w:hint="eastAsia" w:eastAsia="楷体_GB2312"/>
          <w:sz w:val="32"/>
          <w:szCs w:val="32"/>
          <w:highlight w:val="none"/>
          <w:lang w:val="en-US" w:eastAsia="zh-CN"/>
        </w:rPr>
        <w:t>29</w:t>
      </w:r>
      <w:r>
        <w:rPr>
          <w:rFonts w:eastAsia="楷体_GB2312"/>
          <w:sz w:val="32"/>
          <w:szCs w:val="32"/>
          <w:highlight w:val="none"/>
        </w:rPr>
        <w:t xml:space="preserve"> 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hint="eastAsia" w:eastAsia="黑体"/>
          <w:sz w:val="32"/>
          <w:szCs w:val="32"/>
          <w:highlight w:val="none"/>
          <w:lang w:eastAsia="zh-CN"/>
        </w:rPr>
        <w:t>新田县疾病预防控制中心</w:t>
      </w:r>
      <w:r>
        <w:rPr>
          <w:rFonts w:eastAsia="黑体"/>
          <w:sz w:val="32"/>
          <w:szCs w:val="32"/>
          <w:highlight w:val="none"/>
        </w:rPr>
        <w:t>基本情况</w:t>
      </w:r>
    </w:p>
    <w:p>
      <w:pPr>
        <w:snapToGrid w:val="0"/>
        <w:spacing w:line="52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（一）1．主要职能</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中心的主要职责是负责全县传染病、慢性非传染性疾病预防控制技术规划的拟定、组织实施与效果评价；相关疾病预测及评估；公共卫生检验检测、卫生学评价及预防性健康检查；实施免疫接种规划；职业卫生、放射卫生技术服务、职业健康监护；突发公共卫生事件的应急处理；疫情信息管理等预防控制工作。</w:t>
      </w:r>
    </w:p>
    <w:p>
      <w:pPr>
        <w:snapToGrid w:val="0"/>
        <w:spacing w:line="520" w:lineRule="exact"/>
        <w:ind w:firstLine="640" w:firstLineChars="200"/>
        <w:rPr>
          <w:rFonts w:hint="eastAsia" w:ascii="宋体" w:hAnsi="宋体" w:eastAsia="宋体" w:cs="宋体"/>
          <w:kern w:val="2"/>
          <w:sz w:val="32"/>
          <w:szCs w:val="32"/>
          <w:highlight w:val="none"/>
          <w:lang w:val="en-US" w:eastAsia="zh-CN" w:bidi="ar-SA"/>
        </w:rPr>
      </w:pPr>
      <w:r>
        <w:rPr>
          <w:rFonts w:hint="eastAsia" w:ascii="宋体" w:hAnsi="宋体" w:eastAsia="宋体" w:cs="宋体"/>
          <w:kern w:val="2"/>
          <w:sz w:val="32"/>
          <w:szCs w:val="32"/>
          <w:highlight w:val="none"/>
          <w:lang w:val="en-US" w:eastAsia="zh-CN" w:bidi="ar-SA"/>
        </w:rPr>
        <w:t>2．机构情况</w:t>
      </w:r>
    </w:p>
    <w:p>
      <w:pPr>
        <w:snapToGrid w:val="0"/>
        <w:spacing w:line="520" w:lineRule="exact"/>
        <w:ind w:firstLine="516" w:firstLineChars="200"/>
        <w:rPr>
          <w:rFonts w:hint="eastAsia" w:ascii="仿宋_GB2312" w:hAnsi="仿宋" w:eastAsia="仿宋_GB2312"/>
          <w:sz w:val="32"/>
          <w:szCs w:val="32"/>
          <w:lang w:eastAsia="zh-CN"/>
        </w:rPr>
      </w:pPr>
      <w:r>
        <w:rPr>
          <w:rFonts w:hint="eastAsia" w:ascii="宋体" w:hAnsi="宋体" w:eastAsia="宋体" w:cs="宋体"/>
          <w:spacing w:val="-11"/>
          <w:kern w:val="2"/>
          <w:sz w:val="28"/>
          <w:szCs w:val="28"/>
          <w:lang w:val="en-US" w:eastAsia="zh-CN" w:bidi="ar-SA"/>
        </w:rPr>
        <w:t xml:space="preserve"> 2022年中心机构内设办公室、财务科、质管科、公卫科、计免科、疾控科、检验科、结防科、性艾科、健教办、党建办等11个科室。</w:t>
      </w:r>
    </w:p>
    <w:p>
      <w:pPr>
        <w:snapToGrid w:val="0"/>
        <w:spacing w:line="520" w:lineRule="exact"/>
        <w:ind w:firstLine="640" w:firstLineChars="200"/>
        <w:rPr>
          <w:rFonts w:hint="eastAsia" w:ascii="仿宋_GB2312" w:hAnsi="仿宋" w:eastAsia="仿宋_GB2312"/>
          <w:sz w:val="32"/>
          <w:szCs w:val="32"/>
        </w:rPr>
      </w:pPr>
      <w:r>
        <w:rPr>
          <w:rFonts w:hint="eastAsia" w:ascii="宋体" w:hAnsi="宋体" w:eastAsia="宋体" w:cs="宋体"/>
          <w:kern w:val="2"/>
          <w:sz w:val="32"/>
          <w:szCs w:val="32"/>
          <w:highlight w:val="none"/>
          <w:lang w:val="en-US" w:eastAsia="zh-CN" w:bidi="ar-SA"/>
        </w:rPr>
        <w:t>3．人员情况</w:t>
      </w:r>
    </w:p>
    <w:p>
      <w:pPr>
        <w:snapToGrid w:val="0"/>
        <w:spacing w:line="520" w:lineRule="exact"/>
        <w:ind w:firstLine="516" w:firstLineChars="20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中心2022年年末在职事业编45人（实际编制数54人），长期临聘5人，本年退休3人，新增4人，调离2人，辞职1人。</w:t>
      </w:r>
    </w:p>
    <w:p>
      <w:pPr>
        <w:pStyle w:val="9"/>
        <w:spacing w:line="570" w:lineRule="exact"/>
        <w:ind w:left="0" w:leftChars="0" w:firstLine="320" w:firstLineChars="100"/>
        <w:outlineLvl w:val="1"/>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（二）新田县疾病预防控制中心</w:t>
      </w:r>
      <w:r>
        <w:rPr>
          <w:rFonts w:hint="eastAsia" w:ascii="宋体" w:hAnsi="宋体" w:eastAsia="宋体" w:cs="宋体"/>
          <w:sz w:val="32"/>
          <w:szCs w:val="32"/>
          <w:highlight w:val="none"/>
        </w:rPr>
        <w:t>整体支出规模</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我中心2022年度实际总支出为3424.92万元，其中：</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cs="宋体"/>
          <w:spacing w:val="-11"/>
          <w:kern w:val="2"/>
          <w:sz w:val="28"/>
          <w:szCs w:val="28"/>
          <w:lang w:val="en-US" w:eastAsia="zh-CN" w:bidi="ar-SA"/>
        </w:rPr>
        <w:t>（1）</w:t>
      </w:r>
      <w:r>
        <w:rPr>
          <w:rFonts w:hint="eastAsia" w:ascii="宋体" w:hAnsi="宋体" w:eastAsia="宋体" w:cs="宋体"/>
          <w:spacing w:val="-11"/>
          <w:kern w:val="2"/>
          <w:sz w:val="28"/>
          <w:szCs w:val="28"/>
          <w:lang w:val="en-US" w:eastAsia="zh-CN" w:bidi="ar-SA"/>
        </w:rPr>
        <w:t>财政补助收入为2230.46万元，占总收入的65.12%</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（2）、事业收入为1194.46万元，占总收入的34.88%。</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我中心2022年度实际总收入为3424.92万元，与预算1295.08万元相比增加了2129.84万元。</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“三公”经费支出情况：三公经费严格地控制开支，实际支出公务接待费支出为5.</w:t>
      </w:r>
      <w:r>
        <w:rPr>
          <w:rFonts w:hint="eastAsia" w:ascii="宋体" w:hAnsi="宋体" w:cs="宋体"/>
          <w:spacing w:val="-11"/>
          <w:kern w:val="2"/>
          <w:sz w:val="28"/>
          <w:szCs w:val="28"/>
          <w:lang w:val="en-US" w:eastAsia="zh-CN" w:bidi="ar-SA"/>
        </w:rPr>
        <w:t>68</w:t>
      </w:r>
      <w:r>
        <w:rPr>
          <w:rFonts w:hint="eastAsia" w:ascii="宋体" w:hAnsi="宋体" w:eastAsia="宋体" w:cs="宋体"/>
          <w:spacing w:val="-11"/>
          <w:kern w:val="2"/>
          <w:sz w:val="28"/>
          <w:szCs w:val="28"/>
          <w:lang w:val="en-US" w:eastAsia="zh-CN" w:bidi="ar-SA"/>
        </w:rPr>
        <w:t>万元；公车运行维护费5.</w:t>
      </w:r>
      <w:r>
        <w:rPr>
          <w:rFonts w:hint="eastAsia" w:ascii="宋体" w:hAnsi="宋体" w:cs="宋体"/>
          <w:spacing w:val="-11"/>
          <w:kern w:val="2"/>
          <w:sz w:val="28"/>
          <w:szCs w:val="28"/>
          <w:lang w:val="en-US" w:eastAsia="zh-CN" w:bidi="ar-SA"/>
        </w:rPr>
        <w:t>38</w:t>
      </w:r>
      <w:r>
        <w:rPr>
          <w:rFonts w:hint="eastAsia" w:ascii="宋体" w:hAnsi="宋体" w:eastAsia="宋体" w:cs="宋体"/>
          <w:spacing w:val="-11"/>
          <w:kern w:val="2"/>
          <w:sz w:val="28"/>
          <w:szCs w:val="28"/>
          <w:lang w:val="en-US" w:eastAsia="zh-CN" w:bidi="ar-SA"/>
        </w:rPr>
        <w:t>万元，两项合计11.</w:t>
      </w:r>
      <w:r>
        <w:rPr>
          <w:rFonts w:hint="eastAsia" w:ascii="宋体" w:hAnsi="宋体" w:cs="宋体"/>
          <w:spacing w:val="-11"/>
          <w:kern w:val="2"/>
          <w:sz w:val="28"/>
          <w:szCs w:val="28"/>
          <w:lang w:val="en-US" w:eastAsia="zh-CN" w:bidi="ar-SA"/>
        </w:rPr>
        <w:t>06</w:t>
      </w:r>
      <w:r>
        <w:rPr>
          <w:rFonts w:hint="eastAsia" w:ascii="宋体" w:hAnsi="宋体" w:eastAsia="宋体" w:cs="宋体"/>
          <w:spacing w:val="-11"/>
          <w:kern w:val="2"/>
          <w:sz w:val="28"/>
          <w:szCs w:val="28"/>
          <w:lang w:val="en-US" w:eastAsia="zh-CN" w:bidi="ar-SA"/>
        </w:rPr>
        <w:t>万元，与2021年实际支出10.68万元（公务接待费5.66万元;公车运行维护费5.02万元）相比增加</w:t>
      </w:r>
      <w:r>
        <w:rPr>
          <w:rFonts w:hint="eastAsia" w:ascii="宋体" w:hAnsi="宋体" w:cs="宋体"/>
          <w:spacing w:val="-11"/>
          <w:kern w:val="2"/>
          <w:sz w:val="28"/>
          <w:szCs w:val="28"/>
          <w:lang w:val="en-US" w:eastAsia="zh-CN" w:bidi="ar-SA"/>
        </w:rPr>
        <w:t>0.38</w:t>
      </w:r>
      <w:r>
        <w:rPr>
          <w:rFonts w:hint="eastAsia" w:ascii="宋体" w:hAnsi="宋体" w:eastAsia="宋体" w:cs="宋体"/>
          <w:spacing w:val="-11"/>
          <w:kern w:val="2"/>
          <w:sz w:val="28"/>
          <w:szCs w:val="28"/>
          <w:lang w:val="en-US" w:eastAsia="zh-CN" w:bidi="ar-SA"/>
        </w:rPr>
        <w:t>万元。</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会议费支出情况：实际支出会议费1.3万元,与2021年预算支出3.1万相比节约1.8万元。</w:t>
      </w:r>
      <w:bookmarkStart w:id="0" w:name="_GoBack"/>
      <w:bookmarkEnd w:id="0"/>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培训费支出情况：实际支出会议费2.8万元，与2021年预算支出10.07万相比节约7.27万元。</w:t>
      </w:r>
    </w:p>
    <w:p>
      <w:pPr>
        <w:pStyle w:val="2"/>
        <w:rPr>
          <w:rFonts w:hint="eastAsia"/>
        </w:rPr>
      </w:pPr>
    </w:p>
    <w:p>
      <w:pPr>
        <w:pStyle w:val="9"/>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9"/>
        <w:spacing w:line="570" w:lineRule="exact"/>
        <w:ind w:firstLine="640"/>
        <w:outlineLvl w:val="1"/>
        <w:rPr>
          <w:rFonts w:hint="eastAsia" w:ascii="宋体" w:hAnsi="宋体" w:eastAsia="宋体" w:cs="宋体"/>
          <w:sz w:val="32"/>
          <w:szCs w:val="32"/>
          <w:highlight w:val="none"/>
        </w:rPr>
      </w:pPr>
      <w:r>
        <w:rPr>
          <w:rFonts w:hint="eastAsia" w:ascii="宋体" w:hAnsi="宋体" w:eastAsia="宋体" w:cs="宋体"/>
          <w:sz w:val="32"/>
          <w:szCs w:val="32"/>
          <w:highlight w:val="none"/>
        </w:rPr>
        <w:t>（一）基本支出情况</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2022年度财政拨款收入为2230.46万元，财政拨款基本支出为1744.13万元，占总支出的50.92%，其中工资福利支出为577.94万元，商品和服务支出为1161.05万元，对个人和家庭的补助4.64万元，资本性支出0.5万元；</w:t>
      </w:r>
    </w:p>
    <w:p>
      <w:pPr>
        <w:pStyle w:val="9"/>
        <w:spacing w:line="570" w:lineRule="exact"/>
        <w:ind w:firstLine="640"/>
        <w:outlineLvl w:val="1"/>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项目支出情况</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项目支出为1680.79万元，占总支出的49.07%，其中疾病防控项目支出1277.62万元，疾病控制（基建）项目支出279.86万元，新冠肺炎重点人群监测项目支出64.39万元，疫情防控物资储备项目58.92万元。</w:t>
      </w:r>
    </w:p>
    <w:p>
      <w:pPr>
        <w:pStyle w:val="9"/>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我单位无政府性基金预算支出情况</w:t>
      </w:r>
    </w:p>
    <w:p>
      <w:pPr>
        <w:pStyle w:val="9"/>
        <w:numPr>
          <w:ilvl w:val="0"/>
          <w:numId w:val="2"/>
        </w:numPr>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国有资本经营预算支出情况</w:t>
      </w:r>
    </w:p>
    <w:p>
      <w:pPr>
        <w:pStyle w:val="9"/>
        <w:numPr>
          <w:ilvl w:val="0"/>
          <w:numId w:val="0"/>
        </w:numPr>
        <w:spacing w:line="570" w:lineRule="exact"/>
        <w:ind w:firstLine="516" w:firstLineChars="200"/>
        <w:jc w:val="left"/>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我单位无国有资本经营预算支出情况</w:t>
      </w:r>
    </w:p>
    <w:p>
      <w:pPr>
        <w:pStyle w:val="9"/>
        <w:numPr>
          <w:ilvl w:val="0"/>
          <w:numId w:val="2"/>
        </w:numPr>
        <w:spacing w:line="570" w:lineRule="exact"/>
        <w:ind w:left="0" w:leftChars="0" w:firstLine="640" w:firstLineChars="20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p>
    <w:p>
      <w:pPr>
        <w:pStyle w:val="9"/>
        <w:numPr>
          <w:ilvl w:val="0"/>
          <w:numId w:val="0"/>
        </w:numPr>
        <w:spacing w:line="570" w:lineRule="exact"/>
        <w:ind w:firstLine="516" w:firstLineChars="200"/>
        <w:jc w:val="left"/>
        <w:outlineLvl w:val="0"/>
        <w:rPr>
          <w:rFonts w:hint="eastAsia" w:ascii="Times New Roman" w:hAnsi="Times New Roman" w:eastAsia="黑体"/>
          <w:sz w:val="32"/>
          <w:szCs w:val="32"/>
          <w:highlight w:val="none"/>
        </w:rPr>
      </w:pPr>
      <w:r>
        <w:rPr>
          <w:rFonts w:hint="eastAsia" w:ascii="宋体" w:hAnsi="宋体" w:eastAsia="宋体" w:cs="宋体"/>
          <w:spacing w:val="-11"/>
          <w:kern w:val="2"/>
          <w:sz w:val="28"/>
          <w:szCs w:val="28"/>
          <w:lang w:val="en-US" w:eastAsia="zh-CN" w:bidi="ar-SA"/>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pStyle w:val="10"/>
        <w:keepNext w:val="0"/>
        <w:keepLines w:val="0"/>
        <w:pageBreakBefore w:val="0"/>
        <w:widowControl w:val="0"/>
        <w:kinsoku/>
        <w:wordWrap/>
        <w:overflowPunct/>
        <w:topLinePunct w:val="0"/>
        <w:autoSpaceDE/>
        <w:autoSpaceDN/>
        <w:bidi w:val="0"/>
        <w:adjustRightInd/>
        <w:snapToGrid/>
        <w:spacing w:line="360" w:lineRule="auto"/>
        <w:ind w:firstLine="516" w:firstLineChars="200"/>
        <w:jc w:val="left"/>
        <w:textAlignment w:val="auto"/>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中心基本支出为1744.13万元；项目支出为1680.79万元。中心就本部门职责的开展做了如下工作：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1、免疫规划评估工作。2022年截止到12月份为止，全县新出生儿童2655人，建卡、建证率100%。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儿童常规免疫工作：1-12月份一类苗接种情况统计：接种卡介苗 2151针次；接种乙肝疫苗8100针次，脊髓灰质疫苗10920剂次，接种百白破疫苗8335针次，接种白破疫苗4832针次，接种麻腮风疫苗5235针次，接种乙脑疫苗5909针次，接种A群流脑4075针次，接种流脑A+C疫苗6262 针次，接种甲肝疫苗3064针次。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 xml:space="preserve"> 儿童免疫规划报告接种率：截止到12月为止，乙肝疫苗接种率100%;卡介苗接种率99.3%;IPV接种率100%;BOPV接种率100％；百白破疫苗接种率100%;麻腮风疫苗接种率99.6%；A群流脑疫苗接种率100%;乙脑疫苗接种率100%;甲肝疫苗接种率100%；白破疫苗接种率99.9%;A+C群流脑疫苗接种率99.9%。</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2、艾滋病评估工作。2022年全县艾滋病患者随访检测比例94.99%（因系统录入超时）；配偶检测比例为100%；结核检查比例为100%。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截至2022年底，本县累计存活病人为364人，正在治疗病人为347人，我县抗病毒治疗比例为95.33%，病毒载量检测率因系统录入超时至未达标（89.56%）。</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3、结核病评估工作：载止2022年12月31日，共接诊可疑肺结核病人1118例，首诊免费查痰1118人，首诊查痰率100%。免费摄胸片981人，自带胸片137人，共确诊183例肺结核病人。其中新发痰涂阳病例99例，复治痰涂阳病例8例，新发痰涂阴病例76例。痰涂片阳性率58.4％。</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183例(其中2例患者不愿接受管理，3例非结核原因死亡，其余178例患者都已接受国家结核病网络系统管理）</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4、精神病等慢性病评估工作。截止到12月，国家严重精神障碍信息系统在册患者人数2065人，管理率99.71%，规范管理率为96.32%，服药率99.71%，规律服药率93.90%；二是2022年对基层医疗卫生机构严重精神障碍患者管理人员进行了业务培训，并且完成了每年2次对基层医疗机构业务的督导工作； 三是开展《新田县十三五精神卫工作落实情况评估》工作。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5、新冠防控评估工作：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eastAsia="宋体" w:cs="宋体"/>
          <w:spacing w:val="-11"/>
          <w:sz w:val="28"/>
          <w:szCs w:val="28"/>
        </w:rPr>
        <w:t>积极参与新田高考、中考、小学毕业考试，人社招聘考试等新冠肺炎现场防控。按照县委、政府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6、</w:t>
      </w:r>
      <w:r>
        <w:rPr>
          <w:rFonts w:hint="eastAsia" w:ascii="宋体" w:hAnsi="宋体" w:eastAsia="宋体" w:cs="宋体"/>
          <w:spacing w:val="-11"/>
          <w:sz w:val="28"/>
          <w:szCs w:val="28"/>
        </w:rPr>
        <w:t>地方病：2022年居民户碘盐随机抽样监测结果显示：全县5个乡镇，20个行政村，300个样品，实验室检测有51个样品碘含量低于合格碘盐的判定标准，1个样品碘含量高于合格碘盐的判定标准，中位数为28.45㎎/㎏,合格碘盐248份，碘盐合格率82.67%，食用碘盐覆盖率100%，合格碘盐食用率82.67%。</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尿碘监测：全县尿碘最低为36.3μg/L,最高为&gt;1200μg/L，中位数为243.75μg/L，尿碘＜100μg/L的25人，占采样总数的12.5%；尿碘100-200μg/L的51人，占采样总数的25.5%；尿碘200-500μg/L的101人，占采样总数的50.5%；500μg/L以上的23人，占采样总数的11.5%。从此次检测结果可见，我县的学龄儿童尿碘＜100μg/L占12.5%，与世界卫生组推荐的尿碘最适范围100-300μg/L比较，我县儿童尿碘水平出现偏高趋势。</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孕妇尿碘监测结果：我县对100名孕妇进行尿碘检测，早中晚孕妇=14:39:47，孕早、中、晚期孕妇尿碘中位数分别是31μg/L、88.2μg/L、183.7μg/L；孕早、中、晚期孕妇尿碘平均数分别是28.99μg/L、89.15μg/L、296.53μg/L。100名孕妇尿碘检测的中位数是127.95μg/L，其中尿碘＜100μg/L的36人，占监测总人数的比率为36%，与孕妇尿碘最适范围≥150μg/L比较，我县孕妇尿碘水平稍有偏低。本次监测结果显示，孕早期、孕中期尿碘含量较高，提示孕晚期要加强碘营养的摄入，孕妇碘的需求也应随个体不同的碘营养状况而调整。</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儿童甲状腺B超检查情况：查200名学生，甲状腺肿大6名，甲状腺肿大率3%。</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加强碘缺乏病防治知识宣传。2022年5月15日是我国第29个“防治碘缺乏病日”，县疾控中心、盐业公司在新圩镇卫生院门口设立固定咨询宣传台，开展了“科学补碘 健康一生”碘缺乏病防治宣传活动。共设置3个咨询台，悬挂横幅1条，展板3块，发放宣传单、宣传手册1100余份。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7、</w:t>
      </w:r>
      <w:r>
        <w:rPr>
          <w:rFonts w:hint="eastAsia" w:ascii="宋体" w:hAnsi="宋体" w:eastAsia="宋体" w:cs="宋体"/>
          <w:spacing w:val="-11"/>
          <w:sz w:val="28"/>
          <w:szCs w:val="28"/>
        </w:rPr>
        <w:t>职业健康监测工作：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lang w:val="zh-CN"/>
        </w:rPr>
        <w:t>职业性尘肺病随访。</w:t>
      </w:r>
      <w:r>
        <w:rPr>
          <w:rFonts w:hint="eastAsia" w:ascii="宋体" w:hAnsi="宋体" w:eastAsia="宋体" w:cs="宋体"/>
          <w:spacing w:val="-11"/>
          <w:sz w:val="28"/>
          <w:szCs w:val="28"/>
        </w:rPr>
        <w:t>2022年随访调查存活的职业性尘肺病例为10例，随访调查的内容主要包括尘肺病人的存活情况，存活病例合并症情况及保障情况，随访率为100%。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）职业病危</w:t>
      </w:r>
      <w:r>
        <w:rPr>
          <w:rFonts w:hint="eastAsia" w:ascii="宋体" w:hAnsi="宋体" w:eastAsia="宋体" w:cs="宋体"/>
          <w:spacing w:val="-11"/>
          <w:sz w:val="28"/>
          <w:szCs w:val="28"/>
        </w:rPr>
        <w:t>害因素监测。共完成8家重点行业的工作场职业危害因素监测，检测项目为粉尘、噪声、苯、甲苯等危害因素。存在不同程度的粉尘、噪声、空气中有毒有害物质等指标超标情况。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3</w:t>
      </w:r>
      <w:r>
        <w:rPr>
          <w:rFonts w:hint="eastAsia" w:ascii="宋体" w:hAnsi="宋体" w:cs="宋体"/>
          <w:spacing w:val="-11"/>
          <w:sz w:val="28"/>
          <w:szCs w:val="28"/>
          <w:lang w:eastAsia="zh-CN"/>
        </w:rPr>
        <w:t>）</w:t>
      </w:r>
      <w:r>
        <w:rPr>
          <w:rFonts w:hint="eastAsia" w:ascii="宋体" w:hAnsi="宋体" w:eastAsia="宋体" w:cs="宋体"/>
          <w:spacing w:val="-11"/>
          <w:sz w:val="28"/>
          <w:szCs w:val="28"/>
        </w:rPr>
        <w:t>职业卫生宣传。于2022年4月25日-5月1日《职业病防治法》宣传周，深入工业园8多家企业开展宣传工作，指导企业劳动者学习《职业病防治法》，共培训劳动者1000余人，发放职业病防治宣传材料2500余份，在厂区明显位置悬挂横幅、标语30条，张贴发放宣传画160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8</w:t>
      </w:r>
      <w:r>
        <w:rPr>
          <w:rFonts w:hint="eastAsia" w:ascii="宋体" w:hAnsi="宋体" w:eastAsia="宋体" w:cs="宋体"/>
          <w:spacing w:val="-11"/>
          <w:sz w:val="28"/>
          <w:szCs w:val="28"/>
        </w:rPr>
        <w:t>、重大疾病与健康危害监测评估工作：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2022年，全年共处理112次传染病预警信息，根据初步分析判断排除78次起件疑似事件，调查处置了34次疑似事件（包括10次麻疹、6次肺结核，14次新型冠状病毒肺炎未分级突发事件）。</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rPr>
        <w:t>、坚持每天不少于4次的网络巡查，及时审查各医疗机构上报的网络报告卡，同时督促、指导各医疗机构及时、规范上报疫情信息：截至12月31日24时，传染病网络疫情监测情况周分析52 份；网络疫情监测情况月分析12份；传染病和死亡病例网络直报质量信息通报月分析12份。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w:t>
      </w:r>
      <w:r>
        <w:rPr>
          <w:rFonts w:hint="eastAsia" w:ascii="宋体" w:hAnsi="宋体" w:eastAsia="宋体" w:cs="宋体"/>
          <w:spacing w:val="-11"/>
          <w:sz w:val="28"/>
          <w:szCs w:val="28"/>
        </w:rPr>
        <w:t>、新冠肺炎常态化防控工作：县疾控中心按照国家《新型冠状病毒肺炎常态化防控方案》要求，县防控办组建了公安、工信和疾控溯源流调队，强化各项措施的落实，及时协查追踪密接、次密接、中高风险地区返乡重点人员，狠抓管控措施的落实，防止病源输入和疫情发生。通过强化新冠肺炎疫情的监测，强化责任、强化纪律、扎扎实实将管控措施不拆不扣落实到位，全县新冠肺炎疫情稳定，处于低风险状态，现正按常态化管控要求，有条不紊地开展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坚持24小时应急值守。县疾控中心领导带队值班，坚守工作岗位，坚持24小时应急值守制，应急办负责新冠肺炎等重点传染病疫情监测、巡查，一旦发现异常情况，第一时间组织应急机动队处置疫情。进入常态化防控后，上班期间主要由应急办、急传科、办公室负责，双休日及夜间，中心组建的5个机动队轮流不间断待命，随时应对可能出现的突发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积极参与新田高考、中考、小学毕业考试，人社招聘考试等新冠肺炎现场防控。按照县委、政府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扶贫检查、招商引资等人员聚集的活动现场新冠防控工作。按照县委、政府及有关部门的要求，为入驻酒店、宾馆检查人员进行健康监测工作，对场所、车辆等交通工具开展消毒，指导卫生大扫除、督导落实通风措施，配备500多人新冠肺炎防控物资、防暑物资，坚守岗位，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加强集中隔离点消毒、通风，预防交叉感染。安排专人对各集中隔离点消毒、通风指导，防范集中点交叉感染的发生。</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新冠肺炎防控健康宣教。针对节日期间，人群聚集量大、时间长、流行人员健康状况不清晰等特点，中心制定温馨提示展板30余块，分别放置在人员流动量大的广场、景点、超市、酒店、宾馆等入口附近，对新冠肺炎防控进行大力宣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深入县直医院及各乡镇卫生院开展传染病报告质量与管理的主动监测，每季度对县级3家医疗机构（人民医院、中医院、妇幼保健院）及6家乡镇卫生院（枧头镇中心卫生院、石羊镇中心卫生院、金陵镇中心卫生院、新圩镇中心卫生院、新隆镇卫生院和陶岭卫生院）进行法定传染病报告质量与管理的主动监测及督导,本年度共计督导4次，由县卫健局行文将《传染病报告质量和漏报情况》进行了通报。</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9</w:t>
      </w:r>
      <w:r>
        <w:rPr>
          <w:rFonts w:hint="eastAsia" w:ascii="宋体" w:hAnsi="宋体" w:eastAsia="宋体" w:cs="宋体"/>
          <w:spacing w:val="-11"/>
          <w:sz w:val="28"/>
          <w:szCs w:val="28"/>
        </w:rPr>
        <w:t>、手足口病防治。2022年12月31日24时止，全县共报告手足口病254例，采样送检45例，其中临床诊断245例。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10</w:t>
      </w:r>
      <w:r>
        <w:rPr>
          <w:rFonts w:hint="eastAsia" w:ascii="宋体" w:hAnsi="宋体" w:eastAsia="宋体" w:cs="宋体"/>
          <w:spacing w:val="-11"/>
          <w:sz w:val="28"/>
          <w:szCs w:val="28"/>
        </w:rPr>
        <w:t>、登革热防控。6月份开展蚊媒监测工作1次。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11</w:t>
      </w:r>
      <w:r>
        <w:rPr>
          <w:rFonts w:hint="eastAsia" w:ascii="宋体" w:hAnsi="宋体" w:eastAsia="宋体" w:cs="宋体"/>
          <w:spacing w:val="-11"/>
          <w:sz w:val="28"/>
          <w:szCs w:val="28"/>
        </w:rPr>
        <w:t xml:space="preserve">、禽流感防控。活禽交易市场职业暴露人群血清标本采样12份，结果阴性；采集9份活禽粪便、活禽市场环境样，结果显示9份甲型流感病毒阴性；9禽流感病毒H9亚型核酸阴性。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12</w:t>
      </w:r>
      <w:r>
        <w:rPr>
          <w:rFonts w:hint="eastAsia" w:ascii="宋体" w:hAnsi="宋体" w:eastAsia="宋体" w:cs="宋体"/>
          <w:spacing w:val="-11"/>
          <w:sz w:val="28"/>
          <w:szCs w:val="28"/>
        </w:rPr>
        <w:t>、加强了对狂犬病防治。2022年至今，全县共报告狂犬病病例1例，死亡1例，进行了流行病学调查，并对发病地周边犬只带毒情况进行了采样送检。继续争取将狂犬疫苗预防接种列入农村合作医疗补偿范围，悬挂宣传横幅1条、发放宣传手册800册及宣传单3000份、观众现场解答问题200余次、电子显示屏滚动播放、展板2块。</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13</w:t>
      </w:r>
      <w:r>
        <w:rPr>
          <w:rFonts w:hint="eastAsia" w:ascii="宋体" w:hAnsi="宋体" w:eastAsia="宋体" w:cs="宋体"/>
          <w:spacing w:val="-11"/>
          <w:sz w:val="28"/>
          <w:szCs w:val="28"/>
        </w:rPr>
        <w:t>、霍乱防控。夏秋季是肠道传染病高发季节，开展了以霍乱为重点的肠道传染病防治工作。一是制定了《新田县2022霍乱防控工作方案》、《关于加强肠道传染病防治工作的通知》等文件，同时对县直医疗卫生单位单位、各乡镇卫生院腹泻门诊进行了专项指导。4月份启动霍乱内外环采样检验监测工作，4-10月份，采集霍乱内环样189份，采集外环样120份（水体样60份，鱼表面涂抹样30份，甲鱼涂抹样30份），经检测均未检测出霍乱弧菌。二是进入汛期后，召开了乡镇卫生院院长、防疫专干救灾防病工作会议，要求各乡镇防疫专干、村级防疫员积极主动搜索灾情、疫情。三是中心坚持24小时疫情值班制，加强肠道传染病监测及时排除可疑霍乱疫情。对中医院报告的一例可疑霍乱病例进行了排查，通过流调、结合临床症状、实验室检测结果等，排出霍乱病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cs="宋体"/>
          <w:spacing w:val="-11"/>
          <w:sz w:val="28"/>
          <w:szCs w:val="28"/>
          <w:lang w:val="en-US" w:eastAsia="zh-CN"/>
        </w:rPr>
        <w:t>14</w:t>
      </w:r>
      <w:r>
        <w:rPr>
          <w:rFonts w:hint="eastAsia" w:ascii="宋体" w:hAnsi="宋体" w:eastAsia="宋体" w:cs="宋体"/>
          <w:spacing w:val="-11"/>
          <w:sz w:val="28"/>
          <w:szCs w:val="28"/>
        </w:rPr>
        <w:t xml:space="preserve">、人感染禽流感、SARS、鼠疫防控工作评估：禽流感防控。活禽交易市场职业暴露人群血清标本采样12份，结果阴性；采集9份活禽粪便、活禽市场环境样，结果显示9份甲型流感病毒阴性；9禽流感病毒H9亚型核酸阴性。全县医疗开展SARS、鼠疫防控监测，没有发现SARS、鼠疫病例发生，开展SARS、鼠疫健康宣教，印发宣传单各10000份，宣传折页6000份。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报告统计乙类及丙类传染病4739例，发病率为1075/10万，没有甲类传染病的发生。（较去年的乙类及丙类传染病2907例，发病率为651/10万有所增加；较全省的302/10万低）11月报告二起新型冠状病毒肺炎突发事件（未分级）外省输入病例，累计报告阳性感染者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全年共处理112次传染病预警信息，根据初步分析判断排除78次起件疑似事件，调查处置了34次疑似事件（包括10次麻疹、6次肺结核，14次新型冠状病毒肺炎未分级突发事件）。</w:t>
      </w:r>
    </w:p>
    <w:p>
      <w:pPr>
        <w:pStyle w:val="9"/>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2022年度中心经费管理使用合规。单位财务制度健全，手续完善，无浪费和套取专项资金行为。</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 xml:space="preserve"> 存在的主要问题：1.项目少，公用经费严重不足，难以维持正常的工作运转。2.大多数项目配套资金不足。</w:t>
      </w:r>
      <w:r>
        <w:rPr>
          <w:rFonts w:hint="eastAsia" w:ascii="宋体" w:hAnsi="宋体" w:eastAsia="宋体" w:cs="宋体"/>
          <w:spacing w:val="-11"/>
          <w:sz w:val="28"/>
          <w:szCs w:val="28"/>
        </w:rPr>
        <w:t>疾病监测工作任务重，项目多，专项经费比较少，经费不够。</w:t>
      </w:r>
    </w:p>
    <w:p>
      <w:pPr>
        <w:pStyle w:val="10"/>
        <w:rPr>
          <w:rFonts w:hint="eastAsia" w:ascii="宋体" w:hAnsi="宋体" w:eastAsia="宋体" w:cs="宋体"/>
          <w:spacing w:val="-11"/>
          <w:sz w:val="28"/>
          <w:szCs w:val="28"/>
        </w:rPr>
      </w:pPr>
    </w:p>
    <w:p>
      <w:pPr>
        <w:pStyle w:val="10"/>
        <w:rPr>
          <w:rFonts w:hint="eastAsia" w:ascii="宋体" w:hAnsi="宋体" w:eastAsia="宋体" w:cs="宋体"/>
          <w:spacing w:val="-11"/>
          <w:sz w:val="28"/>
          <w:szCs w:val="28"/>
        </w:rPr>
      </w:pPr>
    </w:p>
    <w:p>
      <w:pPr>
        <w:numPr>
          <w:ilvl w:val="0"/>
          <w:numId w:val="3"/>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widowControl/>
        <w:spacing w:line="560" w:lineRule="atLeast"/>
        <w:ind w:firstLine="516" w:firstLineChars="200"/>
        <w:outlineLvl w:val="1"/>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加大对疾控工作的经费投入，保持工作运转。</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eastAsia="宋体" w:cs="宋体"/>
          <w:spacing w:val="-11"/>
          <w:sz w:val="28"/>
          <w:szCs w:val="28"/>
        </w:rPr>
        <w:t>增加项目经费投入，确保工作需要，促进工作质量进一步提高。同时提高疾控部门工作人员的绩效比重。</w:t>
      </w:r>
    </w:p>
    <w:p>
      <w:pPr>
        <w:numPr>
          <w:ilvl w:val="0"/>
          <w:numId w:val="3"/>
        </w:numPr>
        <w:spacing w:line="570" w:lineRule="exact"/>
        <w:ind w:left="0" w:leftChars="0" w:firstLine="640" w:firstLineChars="200"/>
        <w:jc w:val="left"/>
        <w:outlineLvl w:val="0"/>
        <w:rPr>
          <w:rFonts w:eastAsia="黑体"/>
          <w:sz w:val="32"/>
          <w:szCs w:val="32"/>
          <w:highlight w:val="none"/>
        </w:rPr>
      </w:pPr>
      <w:r>
        <w:rPr>
          <w:rFonts w:eastAsia="黑体"/>
          <w:sz w:val="32"/>
          <w:szCs w:val="32"/>
          <w:highlight w:val="none"/>
        </w:rPr>
        <w:t>部门整体支出绩效自评结果拟应用和公开情况</w:t>
      </w:r>
    </w:p>
    <w:p>
      <w:pPr>
        <w:widowControl/>
        <w:numPr>
          <w:ilvl w:val="0"/>
          <w:numId w:val="0"/>
        </w:numPr>
        <w:spacing w:line="240" w:lineRule="auto"/>
        <w:ind w:firstLine="544" w:firstLineChars="200"/>
        <w:jc w:val="both"/>
      </w:pPr>
      <w:r>
        <w:rPr>
          <w:rFonts w:hint="eastAsia" w:ascii="宋体" w:hAnsi="宋体" w:cs="宋体"/>
          <w:color w:val="000000"/>
          <w:spacing w:val="-4"/>
          <w:sz w:val="28"/>
          <w:szCs w:val="28"/>
          <w:lang w:val="en-US" w:eastAsia="zh-CN"/>
        </w:rPr>
        <w:t>部门整体支出绩效自评</w:t>
      </w:r>
      <w:r>
        <w:rPr>
          <w:rFonts w:hint="eastAsia" w:ascii="宋体" w:hAnsi="宋体" w:eastAsia="宋体" w:cs="宋体"/>
          <w:color w:val="000000"/>
          <w:spacing w:val="-4"/>
          <w:sz w:val="28"/>
          <w:szCs w:val="28"/>
          <w:lang w:val="en-US" w:eastAsia="zh-CN"/>
        </w:rPr>
        <w:t>已经按期完成，产生了良好的社会效应。已经按期进行了公开。</w:t>
      </w:r>
    </w:p>
    <w:p>
      <w:pPr>
        <w:spacing w:line="570" w:lineRule="exact"/>
        <w:ind w:firstLine="645"/>
        <w:jc w:val="left"/>
        <w:rPr>
          <w:rFonts w:eastAsia="黑体"/>
          <w:sz w:val="32"/>
          <w:szCs w:val="32"/>
          <w:highlight w:val="none"/>
        </w:rPr>
      </w:pPr>
      <w:r>
        <w:rPr>
          <w:rFonts w:eastAsia="黑体"/>
          <w:sz w:val="32"/>
          <w:szCs w:val="32"/>
          <w:highlight w:val="none"/>
        </w:rPr>
        <w:t>其他需要说明的情况</w:t>
      </w:r>
    </w:p>
    <w:p>
      <w:pPr>
        <w:pStyle w:val="2"/>
        <w:ind w:firstLine="544" w:firstLineChars="200"/>
        <w:rPr>
          <w:rFonts w:hint="eastAsia" w:ascii="宋体" w:hAnsi="宋体" w:eastAsia="宋体" w:cs="宋体"/>
          <w:color w:val="000000"/>
          <w:spacing w:val="-4"/>
          <w:kern w:val="2"/>
          <w:sz w:val="28"/>
          <w:szCs w:val="28"/>
          <w:lang w:val="en-US" w:eastAsia="zh-CN" w:bidi="ar-SA"/>
        </w:rPr>
      </w:pPr>
      <w:r>
        <w:rPr>
          <w:rFonts w:hint="eastAsia" w:ascii="宋体" w:hAnsi="宋体" w:eastAsia="宋体" w:cs="宋体"/>
          <w:color w:val="000000"/>
          <w:spacing w:val="-4"/>
          <w:kern w:val="2"/>
          <w:sz w:val="28"/>
          <w:szCs w:val="28"/>
          <w:lang w:val="en-US" w:eastAsia="zh-CN" w:bidi="ar-SA"/>
        </w:rPr>
        <w:t>无</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sectPr>
      <w:headerReference r:id="rId7" w:type="first"/>
      <w:footerReference r:id="rId10" w:type="first"/>
      <w:footerReference r:id="rId8" w:type="default"/>
      <w:headerReference r:id="rId6" w:type="even"/>
      <w:footerReference r:id="rId9"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E15F0"/>
    <w:multiLevelType w:val="singleLevel"/>
    <w:tmpl w:val="EBCE15F0"/>
    <w:lvl w:ilvl="0" w:tentative="0">
      <w:start w:val="8"/>
      <w:numFmt w:val="chineseCounting"/>
      <w:suff w:val="nothing"/>
      <w:lvlText w:val="%1、"/>
      <w:lvlJc w:val="left"/>
      <w:rPr>
        <w:rFonts w:hint="eastAsia"/>
      </w:rPr>
    </w:lvl>
  </w:abstractNum>
  <w:abstractNum w:abstractNumId="1">
    <w:nsid w:val="0286DC29"/>
    <w:multiLevelType w:val="singleLevel"/>
    <w:tmpl w:val="0286DC29"/>
    <w:lvl w:ilvl="0" w:tentative="0">
      <w:start w:val="4"/>
      <w:numFmt w:val="chineseCounting"/>
      <w:suff w:val="nothing"/>
      <w:lvlText w:val="%1、"/>
      <w:lvlJc w:val="left"/>
      <w:rPr>
        <w:rFonts w:hint="eastAsia"/>
      </w:rPr>
    </w:lvl>
  </w:abstractNum>
  <w:abstractNum w:abstractNumId="2">
    <w:nsid w:val="57EB91F6"/>
    <w:multiLevelType w:val="singleLevel"/>
    <w:tmpl w:val="57EB91F6"/>
    <w:lvl w:ilvl="0" w:tentative="0">
      <w:start w:val="1"/>
      <w:numFmt w:val="chineseCounting"/>
      <w:suff w:val="nothing"/>
      <w:lvlText w:val="%1、"/>
      <w:lvlJc w:val="left"/>
      <w:pPr>
        <w:ind w:left="64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2NjOGViYWMxYzFjMDM1ZWMzZjM5ODdhYzNjMGEifQ=="/>
  </w:docVars>
  <w:rsids>
    <w:rsidRoot w:val="00000000"/>
    <w:rsid w:val="016C7A60"/>
    <w:rsid w:val="017D6070"/>
    <w:rsid w:val="01EC5C3E"/>
    <w:rsid w:val="02056D00"/>
    <w:rsid w:val="030B5E51"/>
    <w:rsid w:val="032B09E8"/>
    <w:rsid w:val="03D64DF8"/>
    <w:rsid w:val="03EC63C9"/>
    <w:rsid w:val="03FB485E"/>
    <w:rsid w:val="05B42F17"/>
    <w:rsid w:val="05D3689A"/>
    <w:rsid w:val="06872D56"/>
    <w:rsid w:val="071F6AB6"/>
    <w:rsid w:val="09954E0D"/>
    <w:rsid w:val="0B725406"/>
    <w:rsid w:val="0B9D61FB"/>
    <w:rsid w:val="0BC11C5D"/>
    <w:rsid w:val="0BE04A65"/>
    <w:rsid w:val="0D0D2931"/>
    <w:rsid w:val="0E601E8E"/>
    <w:rsid w:val="0ED3259D"/>
    <w:rsid w:val="11FF2D21"/>
    <w:rsid w:val="136A730B"/>
    <w:rsid w:val="13727E11"/>
    <w:rsid w:val="13C609E5"/>
    <w:rsid w:val="14101C60"/>
    <w:rsid w:val="189620CE"/>
    <w:rsid w:val="1909045B"/>
    <w:rsid w:val="199944A6"/>
    <w:rsid w:val="19E04864"/>
    <w:rsid w:val="1A017019"/>
    <w:rsid w:val="1A0D715C"/>
    <w:rsid w:val="1A5E06F0"/>
    <w:rsid w:val="1AB23A71"/>
    <w:rsid w:val="1AD734D7"/>
    <w:rsid w:val="1B910A48"/>
    <w:rsid w:val="1BD21EF1"/>
    <w:rsid w:val="1CD0593E"/>
    <w:rsid w:val="212E7DAD"/>
    <w:rsid w:val="215154DC"/>
    <w:rsid w:val="23E97DD8"/>
    <w:rsid w:val="2523427D"/>
    <w:rsid w:val="255A1CC8"/>
    <w:rsid w:val="256F3859"/>
    <w:rsid w:val="25A20B86"/>
    <w:rsid w:val="26CA2D5A"/>
    <w:rsid w:val="279D33BA"/>
    <w:rsid w:val="292C17DD"/>
    <w:rsid w:val="2CE83322"/>
    <w:rsid w:val="2E385A23"/>
    <w:rsid w:val="322275BB"/>
    <w:rsid w:val="336E3E55"/>
    <w:rsid w:val="35BA15D4"/>
    <w:rsid w:val="35C60971"/>
    <w:rsid w:val="35EF5721"/>
    <w:rsid w:val="39EB26A4"/>
    <w:rsid w:val="39F03949"/>
    <w:rsid w:val="3A735CBA"/>
    <w:rsid w:val="3B5D137F"/>
    <w:rsid w:val="3C3A6C50"/>
    <w:rsid w:val="3DA45043"/>
    <w:rsid w:val="3E7F5A47"/>
    <w:rsid w:val="3ECA0DF7"/>
    <w:rsid w:val="3FB3156E"/>
    <w:rsid w:val="40BC4452"/>
    <w:rsid w:val="40C72178"/>
    <w:rsid w:val="40D16282"/>
    <w:rsid w:val="410E05B2"/>
    <w:rsid w:val="41BD0482"/>
    <w:rsid w:val="41EE11AC"/>
    <w:rsid w:val="42FF4A2B"/>
    <w:rsid w:val="43DA42A5"/>
    <w:rsid w:val="44D04970"/>
    <w:rsid w:val="452D6B44"/>
    <w:rsid w:val="46FB750F"/>
    <w:rsid w:val="48EA3B26"/>
    <w:rsid w:val="49F17862"/>
    <w:rsid w:val="4A767D68"/>
    <w:rsid w:val="4C130BDE"/>
    <w:rsid w:val="4DD41C6C"/>
    <w:rsid w:val="4E435A2F"/>
    <w:rsid w:val="51432163"/>
    <w:rsid w:val="519F79CC"/>
    <w:rsid w:val="51A0317F"/>
    <w:rsid w:val="525F10E1"/>
    <w:rsid w:val="52B72E94"/>
    <w:rsid w:val="52FC7128"/>
    <w:rsid w:val="53170146"/>
    <w:rsid w:val="537A579F"/>
    <w:rsid w:val="55A07478"/>
    <w:rsid w:val="56645479"/>
    <w:rsid w:val="58BA7233"/>
    <w:rsid w:val="58C47EF0"/>
    <w:rsid w:val="594430E6"/>
    <w:rsid w:val="5A9B3C83"/>
    <w:rsid w:val="5AAA2EA7"/>
    <w:rsid w:val="5AF820D3"/>
    <w:rsid w:val="5AFF7905"/>
    <w:rsid w:val="5B8D6CBF"/>
    <w:rsid w:val="5BAE728A"/>
    <w:rsid w:val="5BDC2720"/>
    <w:rsid w:val="5C5F68AD"/>
    <w:rsid w:val="5C6A0DAE"/>
    <w:rsid w:val="5CB55591"/>
    <w:rsid w:val="5EA20CD3"/>
    <w:rsid w:val="5F4973A1"/>
    <w:rsid w:val="5FF620A1"/>
    <w:rsid w:val="5FFC6281"/>
    <w:rsid w:val="60600E46"/>
    <w:rsid w:val="61F070B6"/>
    <w:rsid w:val="65464399"/>
    <w:rsid w:val="675F3C06"/>
    <w:rsid w:val="678C1E9D"/>
    <w:rsid w:val="68A37B22"/>
    <w:rsid w:val="694766FF"/>
    <w:rsid w:val="6A0D5312"/>
    <w:rsid w:val="6A411797"/>
    <w:rsid w:val="6E805FE3"/>
    <w:rsid w:val="6EBA6E02"/>
    <w:rsid w:val="726516B6"/>
    <w:rsid w:val="73D258F2"/>
    <w:rsid w:val="75267B11"/>
    <w:rsid w:val="75E65661"/>
    <w:rsid w:val="76257E1A"/>
    <w:rsid w:val="76320737"/>
    <w:rsid w:val="76D65566"/>
    <w:rsid w:val="77753BCB"/>
    <w:rsid w:val="7A815E36"/>
    <w:rsid w:val="7CF356F1"/>
    <w:rsid w:val="7E682F48"/>
    <w:rsid w:val="7FE3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paragraph" w:customStyle="1" w:styleId="9">
    <w:name w:val="List Paragraph"/>
    <w:basedOn w:val="1"/>
    <w:qFormat/>
    <w:uiPriority w:val="0"/>
    <w:pPr>
      <w:ind w:firstLine="420" w:firstLineChars="200"/>
    </w:pPr>
    <w:rPr>
      <w:rFonts w:ascii="Calibri" w:hAnsi="Calibri"/>
    </w:rPr>
  </w:style>
  <w:style w:type="paragraph" w:customStyle="1" w:styleId="10">
    <w:name w:val="BodyText"/>
    <w:basedOn w:val="1"/>
    <w:qFormat/>
    <w:uiPriority w:val="0"/>
    <w:pPr>
      <w:spacing w:line="320" w:lineRule="exact"/>
      <w:jc w:val="center"/>
    </w:pPr>
  </w:style>
  <w:style w:type="character" w:customStyle="1" w:styleId="11">
    <w:name w:val="NormalCharacter"/>
    <w:semiHidden/>
    <w:qFormat/>
    <w:uiPriority w:val="0"/>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8358</Words>
  <Characters>9701</Characters>
  <Lines>0</Lines>
  <Paragraphs>0</Paragraphs>
  <TotalTime>82</TotalTime>
  <ScaleCrop>false</ScaleCrop>
  <LinksUpToDate>false</LinksUpToDate>
  <CharactersWithSpaces>9935</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2023-06-28T00:22:00Z</dcterms:created>
  <dc:creator>Administrator</dc:creator>
  <cp:lastModifiedBy>Administrator</cp:lastModifiedBy>
  <dcterms:modified xsi:type="dcterms:W3CDTF">2023-09-14T08:53:07Z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85D4A1EA1121411394592203A18B217D_12</vt:lpwstr>
  </property>
</Properties>
</file>