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jc w:val="center"/>
        <w:rPr>
          <w:rFonts w:hint="eastAsia"/>
          <w:sz w:val="48"/>
          <w:szCs w:val="48"/>
          <w:lang w:eastAsia="zh-CN"/>
        </w:rPr>
      </w:pPr>
      <w:r>
        <w:rPr>
          <w:rFonts w:hint="eastAsia"/>
          <w:sz w:val="48"/>
          <w:szCs w:val="48"/>
        </w:rPr>
        <w:t>新田县卫生计生综合监督执法局</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XX</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b/>
          <w:bCs w:val="0"/>
          <w:sz w:val="32"/>
          <w:szCs w:val="32"/>
        </w:rPr>
      </w:pP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sz w:val="32"/>
          <w:szCs w:val="32"/>
        </w:rPr>
        <w:t>新田县卫生计生综合监督执法局</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atLeast"/>
        <w:ind w:firstLine="627"/>
        <w:jc w:val="left"/>
        <w:rPr>
          <w:sz w:val="28"/>
          <w:szCs w:val="28"/>
        </w:rPr>
      </w:pPr>
      <w:r>
        <w:rPr>
          <w:rFonts w:hint="eastAsia" w:asciiTheme="minorEastAsia" w:hAnsiTheme="minorEastAsia" w:cstheme="minorEastAsia"/>
          <w:sz w:val="28"/>
          <w:szCs w:val="28"/>
        </w:rPr>
        <w:t>（一）</w:t>
      </w:r>
      <w:r>
        <w:rPr>
          <w:rFonts w:hint="eastAsia"/>
          <w:sz w:val="28"/>
          <w:szCs w:val="28"/>
        </w:rPr>
        <w:t>负责组织实施行政区域或内卫生计生专项整治和日常监督检查工作；</w:t>
      </w:r>
    </w:p>
    <w:p>
      <w:pPr>
        <w:widowControl/>
        <w:spacing w:line="600" w:lineRule="atLeast"/>
        <w:ind w:firstLine="627"/>
        <w:jc w:val="left"/>
        <w:rPr>
          <w:sz w:val="28"/>
          <w:szCs w:val="28"/>
        </w:rPr>
      </w:pPr>
      <w:r>
        <w:rPr>
          <w:rFonts w:hint="eastAsia"/>
          <w:sz w:val="28"/>
          <w:szCs w:val="28"/>
        </w:rPr>
        <w:t>（二）负责对全县生活饮用水卫生、公共场所卫生、学校卫生、职业放谢卫生、传染病防治、医疗机构、采供血机构的监管；</w:t>
      </w:r>
    </w:p>
    <w:p>
      <w:pPr>
        <w:widowControl/>
        <w:spacing w:line="600" w:lineRule="atLeast"/>
        <w:ind w:firstLine="627"/>
        <w:jc w:val="left"/>
        <w:rPr>
          <w:sz w:val="28"/>
          <w:szCs w:val="28"/>
        </w:rPr>
      </w:pPr>
      <w:r>
        <w:rPr>
          <w:rFonts w:hint="eastAsia"/>
          <w:sz w:val="28"/>
          <w:szCs w:val="28"/>
        </w:rPr>
        <w:t>（三）承办卫生行政许可的审核、报批、发证等具体工作；</w:t>
      </w:r>
    </w:p>
    <w:p>
      <w:pPr>
        <w:widowControl/>
        <w:spacing w:line="600" w:lineRule="atLeast"/>
        <w:ind w:firstLine="627"/>
        <w:jc w:val="left"/>
        <w:rPr>
          <w:sz w:val="28"/>
          <w:szCs w:val="28"/>
        </w:rPr>
      </w:pPr>
      <w:r>
        <w:rPr>
          <w:rFonts w:hint="eastAsia"/>
          <w:sz w:val="28"/>
          <w:szCs w:val="28"/>
        </w:rPr>
        <w:t>（四）审查健康相关产品广告、医疗广告内容；</w:t>
      </w:r>
    </w:p>
    <w:p>
      <w:pPr>
        <w:widowControl/>
        <w:spacing w:line="600" w:lineRule="atLeast"/>
        <w:ind w:firstLine="627"/>
        <w:jc w:val="left"/>
        <w:rPr>
          <w:sz w:val="28"/>
          <w:szCs w:val="28"/>
        </w:rPr>
      </w:pPr>
      <w:r>
        <w:rPr>
          <w:rFonts w:hint="eastAsia"/>
          <w:sz w:val="28"/>
          <w:szCs w:val="28"/>
        </w:rPr>
        <w:t>（五）承担对违反卫生法律法规行为的调查取证，提出处理意见；</w:t>
      </w:r>
    </w:p>
    <w:p>
      <w:pPr>
        <w:widowControl/>
        <w:spacing w:line="600" w:lineRule="atLeast"/>
        <w:ind w:firstLine="627"/>
        <w:jc w:val="left"/>
        <w:rPr>
          <w:sz w:val="28"/>
          <w:szCs w:val="28"/>
        </w:rPr>
      </w:pPr>
      <w:r>
        <w:rPr>
          <w:rFonts w:hint="eastAsia"/>
          <w:sz w:val="28"/>
          <w:szCs w:val="28"/>
        </w:rPr>
        <w:t>（六）执行卫生行政控制措施与处罚决定；</w:t>
      </w:r>
    </w:p>
    <w:p>
      <w:pPr>
        <w:widowControl/>
        <w:spacing w:line="600" w:lineRule="atLeast"/>
        <w:ind w:firstLine="627"/>
        <w:jc w:val="left"/>
        <w:rPr>
          <w:sz w:val="28"/>
          <w:szCs w:val="28"/>
        </w:rPr>
      </w:pPr>
      <w:r>
        <w:rPr>
          <w:rFonts w:hint="eastAsia"/>
          <w:sz w:val="28"/>
          <w:szCs w:val="28"/>
        </w:rPr>
        <w:t>（七）参与对危害公共卫生、医疗事故、重大疫情和突发性公共卫生事件违法行为的调查处理；</w:t>
      </w:r>
    </w:p>
    <w:p>
      <w:pPr>
        <w:widowControl/>
        <w:spacing w:line="600" w:lineRule="atLeast"/>
        <w:ind w:firstLine="627"/>
        <w:jc w:val="left"/>
        <w:rPr>
          <w:sz w:val="28"/>
          <w:szCs w:val="28"/>
        </w:rPr>
      </w:pPr>
      <w:r>
        <w:rPr>
          <w:rFonts w:hint="eastAsia"/>
          <w:sz w:val="28"/>
          <w:szCs w:val="28"/>
        </w:rPr>
        <w:t>（八）负责对母婴保健机构、计划生育技术服务机构和从业人员的行为规范进行监督，依法打击“非医学需要的胎儿性别鉴定和非医学需要选择性别的人工终止妊娠”行为；</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asciiTheme="minorEastAsia" w:hAnsiTheme="minorEastAsia" w:cstheme="minorEastAsia"/>
          <w:bCs/>
          <w:sz w:val="28"/>
          <w:szCs w:val="28"/>
        </w:rPr>
      </w:pPr>
      <w:r>
        <w:rPr>
          <w:rFonts w:hint="eastAsia" w:ascii="Times New Roman" w:hAnsi="Times New Roman" w:eastAsia="仿宋_GB2312" w:cs="仿宋_GB2312"/>
          <w:bCs/>
          <w:kern w:val="0"/>
          <w:sz w:val="32"/>
          <w:szCs w:val="32"/>
        </w:rPr>
        <w:t>（一）内设机构设置。</w:t>
      </w:r>
      <w:r>
        <w:rPr>
          <w:rFonts w:hint="eastAsia" w:asciiTheme="minorEastAsia" w:hAnsiTheme="minorEastAsia" w:cstheme="minorEastAsia"/>
          <w:bCs/>
          <w:kern w:val="0"/>
          <w:sz w:val="28"/>
          <w:szCs w:val="28"/>
        </w:rPr>
        <w:t>新田县卫生计生综合监督执法局内设机构为</w:t>
      </w:r>
      <w:r>
        <w:rPr>
          <w:rFonts w:ascii="仿宋_GB2312" w:hAnsi="仿宋_GB2312" w:cs="仿宋_GB2312"/>
          <w:color w:val="000000"/>
          <w:sz w:val="28"/>
          <w:szCs w:val="28"/>
        </w:rPr>
        <w:t>内设</w:t>
      </w:r>
      <w:r>
        <w:rPr>
          <w:rFonts w:hint="eastAsia" w:ascii="仿宋_GB2312" w:hAnsi="仿宋_GB2312" w:cs="仿宋_GB2312"/>
          <w:color w:val="000000"/>
          <w:sz w:val="28"/>
          <w:szCs w:val="28"/>
        </w:rPr>
        <w:t>股室5</w:t>
      </w:r>
      <w:r>
        <w:rPr>
          <w:rFonts w:ascii="仿宋_GB2312" w:hAnsi="仿宋_GB2312" w:cs="仿宋_GB2312"/>
          <w:color w:val="000000"/>
          <w:sz w:val="28"/>
          <w:szCs w:val="28"/>
        </w:rPr>
        <w:t>个</w:t>
      </w:r>
      <w:r>
        <w:rPr>
          <w:rFonts w:hint="eastAsia" w:ascii="仿宋_GB2312" w:hAnsi="仿宋_GB2312" w:cs="仿宋_GB2312"/>
          <w:color w:val="000000"/>
          <w:sz w:val="28"/>
          <w:szCs w:val="28"/>
        </w:rPr>
        <w:t>。</w:t>
      </w:r>
      <w:r>
        <w:rPr>
          <w:rFonts w:asciiTheme="minorEastAsia" w:hAnsiTheme="minorEastAsia" w:cstheme="minorEastAsia"/>
          <w:bCs/>
          <w:sz w:val="28"/>
          <w:szCs w:val="28"/>
        </w:rPr>
        <w:t>内设</w:t>
      </w:r>
      <w:r>
        <w:rPr>
          <w:rFonts w:hint="eastAsia" w:asciiTheme="minorEastAsia" w:hAnsiTheme="minorEastAsia" w:cstheme="minorEastAsia"/>
          <w:bCs/>
          <w:sz w:val="28"/>
          <w:szCs w:val="28"/>
        </w:rPr>
        <w:t>股</w:t>
      </w:r>
      <w:r>
        <w:rPr>
          <w:rFonts w:asciiTheme="minorEastAsia" w:hAnsiTheme="minorEastAsia" w:cstheme="minorEastAsia"/>
          <w:bCs/>
          <w:sz w:val="28"/>
          <w:szCs w:val="28"/>
        </w:rPr>
        <w:t>室分别是</w:t>
      </w:r>
      <w:r>
        <w:rPr>
          <w:rFonts w:hint="eastAsia" w:asciiTheme="minorEastAsia" w:hAnsiTheme="minorEastAsia" w:cstheme="minorEastAsia"/>
          <w:bCs/>
          <w:sz w:val="28"/>
          <w:szCs w:val="28"/>
        </w:rPr>
        <w:t>办公室、稽查股、公共场所卫生监督股、计划生育监督股、医疗机构卫生监督股</w:t>
      </w:r>
      <w:r>
        <w:rPr>
          <w:rFonts w:asciiTheme="minorEastAsia" w:hAnsiTheme="minorEastAsia" w:cstheme="minorEastAsia"/>
          <w:bCs/>
          <w:sz w:val="28"/>
          <w:szCs w:val="28"/>
        </w:rPr>
        <w:t>。</w:t>
      </w:r>
    </w:p>
    <w:p>
      <w:pPr>
        <w:widowControl/>
        <w:spacing w:line="600" w:lineRule="exact"/>
        <w:rPr>
          <w:rFonts w:hint="eastAsia" w:asciiTheme="minorEastAsia" w:hAnsiTheme="minorEastAsia" w:cstheme="minorEastAsia"/>
          <w:bCs/>
          <w:kern w:val="0"/>
          <w:sz w:val="28"/>
          <w:szCs w:val="28"/>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cstheme="minorEastAsia"/>
          <w:bCs/>
          <w:kern w:val="0"/>
          <w:sz w:val="28"/>
          <w:szCs w:val="28"/>
        </w:rPr>
        <w:t>新田县卫生计生综合监督执法局单位202</w:t>
      </w:r>
      <w:r>
        <w:rPr>
          <w:rFonts w:hint="eastAsia" w:asciiTheme="minorEastAsia" w:hAnsiTheme="minorEastAsia" w:cstheme="minorEastAsia"/>
          <w:bCs/>
          <w:kern w:val="0"/>
          <w:sz w:val="28"/>
          <w:szCs w:val="28"/>
          <w:lang w:val="en-US" w:eastAsia="zh-CN"/>
        </w:rPr>
        <w:t>2</w:t>
      </w:r>
      <w:r>
        <w:rPr>
          <w:rFonts w:hint="eastAsia" w:asciiTheme="minorEastAsia" w:hAnsiTheme="minorEastAsia" w:cstheme="minorEastAsia"/>
          <w:bCs/>
          <w:kern w:val="0"/>
          <w:sz w:val="28"/>
          <w:szCs w:val="28"/>
        </w:rPr>
        <w:t>年部门决算汇总公开单位构成包括：新田县卫生计生综合监督执法局本级。</w:t>
      </w:r>
    </w:p>
    <w:p>
      <w:pPr>
        <w:widowControl/>
        <w:spacing w:line="600" w:lineRule="exact"/>
        <w:rPr>
          <w:rFonts w:hint="eastAsia" w:asciiTheme="minorEastAsia" w:hAnsiTheme="minorEastAsia" w:cstheme="minorEastAsia"/>
          <w:bCs/>
          <w:kern w:val="0"/>
          <w:sz w:val="28"/>
          <w:szCs w:val="28"/>
        </w:rPr>
      </w:pPr>
    </w:p>
    <w:tbl>
      <w:tblPr>
        <w:tblStyle w:val="6"/>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90"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8"/>
              <w:gridCol w:w="629"/>
              <w:gridCol w:w="1401"/>
              <w:gridCol w:w="5083"/>
              <w:gridCol w:w="1162"/>
              <w:gridCol w:w="477"/>
              <w:gridCol w:w="483"/>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8"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51"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8"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1"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部门：新田县卫生计生综合监督执法局</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1"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209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336.13</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九、卫生健康支出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336.13</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6" w:type="pct"/>
                <w:trHeight w:val="397" w:hRule="atLeast"/>
              </w:trPr>
              <w:tc>
                <w:tcPr>
                  <w:tcW w:w="1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336.13</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新田县卫生计生综合监督执法局</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35"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336.13</w:t>
            </w:r>
            <w:r>
              <w:rPr>
                <w:rFonts w:hint="eastAsia" w:ascii="华文中宋" w:hAnsi="华文中宋" w:eastAsia="华文中宋"/>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2100199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336.13</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210001</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336.13</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2100199</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195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336.13</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新田县卫生计生综合监督执法局</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336.13</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336.13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新田县卫生计生综合监督执法局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卫生健康管理事务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2100199</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其他卫生健康管理事务支出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336.13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003"/>
        <w:gridCol w:w="240"/>
        <w:gridCol w:w="95"/>
        <w:gridCol w:w="1307"/>
        <w:gridCol w:w="1517"/>
        <w:gridCol w:w="602"/>
        <w:gridCol w:w="688"/>
        <w:gridCol w:w="1121"/>
        <w:gridCol w:w="310"/>
        <w:gridCol w:w="2006"/>
        <w:gridCol w:w="113"/>
        <w:gridCol w:w="950"/>
        <w:gridCol w:w="1065"/>
        <w:gridCol w:w="104"/>
        <w:gridCol w:w="2119"/>
        <w:gridCol w:w="1302"/>
        <w:gridCol w:w="818"/>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新田县卫生计生综合监督执法局</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tabs>
                <w:tab w:val="left" w:pos="447"/>
              </w:tabs>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220.19</w:t>
            </w:r>
            <w:r>
              <w:rPr>
                <w:rFonts w:hint="eastAsia" w:ascii="宋体" w:hAnsi="宋体" w:eastAsia="宋体" w:cs="宋体"/>
                <w:color w:val="000000"/>
                <w:kern w:val="0"/>
                <w:szCs w:val="20"/>
                <w:lang w:eastAsia="zh-CN"/>
              </w:rPr>
              <w:tab/>
            </w:r>
            <w:r>
              <w:rPr>
                <w:rFonts w:hint="eastAsia" w:ascii="宋体" w:hAnsi="宋体" w:eastAsia="宋体" w:cs="宋体"/>
                <w:color w:val="000000"/>
                <w:kern w:val="0"/>
                <w:szCs w:val="20"/>
                <w:lang w:val="en-US" w:eastAsia="zh-CN"/>
              </w:rPr>
              <w:t>220.19</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101.69</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71.59</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33.03</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34.77</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26.63</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6.56</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36.76</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26.28</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3.19</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2.84</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12.33</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0.35</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1.37</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2.06</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23.53</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0.58</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3.46</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0.14</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14.25</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0.10</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1.31</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3.1</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10.48</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12.35</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9.54</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2.25</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7.58</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w:t>
            </w: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6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2.07</w:t>
            </w: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16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9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234.44</w:t>
            </w:r>
            <w:r>
              <w:rPr>
                <w:rFonts w:hint="eastAsia" w:ascii="宋体" w:hAnsi="宋体" w:eastAsia="宋体" w:cs="宋体"/>
                <w:color w:val="000000"/>
                <w:kern w:val="0"/>
                <w:szCs w:val="20"/>
              </w:rPr>
              <w:t>　</w:t>
            </w:r>
          </w:p>
        </w:tc>
        <w:tc>
          <w:tcPr>
            <w:tcW w:w="909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101.69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689"/>
        <w:gridCol w:w="2248"/>
        <w:gridCol w:w="3246"/>
        <w:gridCol w:w="3246"/>
        <w:gridCol w:w="4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2"/>
        <w:gridCol w:w="1222"/>
        <w:gridCol w:w="1222"/>
        <w:gridCol w:w="1222"/>
        <w:gridCol w:w="1232"/>
        <w:gridCol w:w="1232"/>
        <w:gridCol w:w="1243"/>
        <w:gridCol w:w="1222"/>
        <w:gridCol w:w="1222"/>
        <w:gridCol w:w="1222"/>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年度收入总计</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万元、支出总计</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大学生见习生增加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人，人员经费</w:t>
      </w:r>
      <w:r>
        <w:rPr>
          <w:rFonts w:hint="eastAsia" w:ascii="Times New Roman" w:hAnsi="Times New Roman" w:eastAsia="仿宋_GB2312"/>
          <w:sz w:val="32"/>
          <w:szCs w:val="32"/>
          <w:lang w:eastAsia="zh-CN"/>
        </w:rPr>
        <w:t>增加及工资普调</w:t>
      </w:r>
      <w:r>
        <w:rPr>
          <w:rFonts w:hint="eastAsia" w:ascii="Times New Roman" w:hAnsi="Times New Roman" w:eastAsia="仿宋_GB2312"/>
          <w:sz w:val="32"/>
          <w:szCs w:val="32"/>
        </w:rPr>
        <w:t>导致。</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年度财政拨款收入</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万元、支出总计</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大学生见习生增加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人，人员经费</w:t>
      </w:r>
      <w:r>
        <w:rPr>
          <w:rFonts w:hint="eastAsia" w:ascii="Times New Roman" w:hAnsi="Times New Roman" w:eastAsia="仿宋_GB2312"/>
          <w:sz w:val="32"/>
          <w:szCs w:val="32"/>
          <w:lang w:eastAsia="zh-CN"/>
        </w:rPr>
        <w:t>增加及工资普调</w:t>
      </w:r>
      <w:r>
        <w:rPr>
          <w:rFonts w:hint="eastAsia" w:ascii="Times New Roman" w:hAnsi="Times New Roman" w:eastAsia="仿宋_GB2312"/>
          <w:sz w:val="32"/>
          <w:szCs w:val="32"/>
        </w:rPr>
        <w:t>导致。</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17.86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5.61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大学生见习生增加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人，人员经费</w:t>
      </w:r>
      <w:r>
        <w:rPr>
          <w:rFonts w:hint="eastAsia" w:ascii="Times New Roman" w:hAnsi="Times New Roman" w:eastAsia="仿宋_GB2312"/>
          <w:sz w:val="32"/>
          <w:szCs w:val="32"/>
          <w:lang w:eastAsia="zh-CN"/>
        </w:rPr>
        <w:t>增加及工资普调</w:t>
      </w:r>
      <w:r>
        <w:rPr>
          <w:rFonts w:hint="eastAsia" w:ascii="Times New Roman" w:hAnsi="Times New Roman" w:eastAsia="仿宋_GB2312"/>
          <w:sz w:val="32"/>
          <w:szCs w:val="32"/>
        </w:rPr>
        <w:t>导致。</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%;其他卫生健康管理事务支出3</w:t>
      </w:r>
      <w:r>
        <w:rPr>
          <w:rFonts w:hint="eastAsia" w:ascii="Times New Roman" w:hAnsi="Times New Roman" w:eastAsia="仿宋_GB2312"/>
          <w:sz w:val="32"/>
          <w:szCs w:val="32"/>
          <w:lang w:val="en-US" w:eastAsia="zh-CN"/>
        </w:rPr>
        <w:t>36.13</w:t>
      </w:r>
      <w:r>
        <w:rPr>
          <w:rFonts w:hint="eastAsia" w:ascii="Times New Roman" w:hAnsi="Times New Roman" w:eastAsia="仿宋_GB2312"/>
          <w:sz w:val="32"/>
          <w:szCs w:val="32"/>
        </w:rPr>
        <w:t>万元，占100%。</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313.87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336.13万元，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1、卫生健康支出（类）卫生健康管理事务（款）其他卫生健康管理事务支出（项）。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年初预算数为</w:t>
      </w:r>
      <w:r>
        <w:rPr>
          <w:rFonts w:hint="eastAsia" w:ascii="Times New Roman" w:hAnsi="Times New Roman" w:eastAsia="仿宋_GB2312"/>
          <w:sz w:val="32"/>
          <w:szCs w:val="32"/>
          <w:lang w:val="en-US" w:eastAsia="zh-CN"/>
        </w:rPr>
        <w:t>313.87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336.13万元，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主要原因是：严格按年初预算开支。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336.13</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234.44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69.75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住房公积金等</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101.69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30.25</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电费、水费、工会经费、其他交通费等。</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%，决算数大于（小于）预算数的主要原因是本年无该项支出，与上年相比减少（增加）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%,减少（增长）的主要原因是本年无该项支出。</w:t>
      </w:r>
    </w:p>
    <w:p>
      <w:pPr>
        <w:pStyle w:val="11"/>
        <w:ind w:firstLine="800" w:firstLineChars="250"/>
        <w:rPr>
          <w:rFonts w:asciiTheme="minorEastAsia" w:hAnsiTheme="minorEastAsia" w:eastAsiaTheme="minorEastAsia" w:cstheme="minorEastAsia"/>
          <w:sz w:val="28"/>
          <w:szCs w:val="28"/>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%，决算数等于年初预算数，与上年相比减少0.0</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%,减少的主要原因是厉行节约，规范管理，进一步压缩公务接待费。</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%，决算数大于（小于）预算数的主要原因是本年无该项支出，与上年相比减少（增加）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%,减少（增长）的主要原因是本年无该项支出。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%，决算数大于（小于）预算数的主要原因是本年无该项支出，与上年相比减少（增加）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%,减少（增长）的主要原因是本年无该项支出。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本年无该项支出。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人次，主要是卫生计生综合执法及日常公务接待发生的接待支出。</w:t>
      </w:r>
    </w:p>
    <w:p>
      <w:pPr>
        <w:widowControl/>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heme="minorEastAsia" w:hAnsiTheme="minorEastAsia" w:cstheme="minorEastAsia"/>
          <w:bCs/>
          <w:kern w:val="0"/>
          <w:sz w:val="28"/>
          <w:szCs w:val="28"/>
        </w:rPr>
        <w:t>新田县卫生计生综合监督执法局本级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万元，该年度无该项支出，截止202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年12月31日，我单位开支财政拨款的公务用车保有量为0辆。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本单位无政府性基金支出。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101.69</w:t>
      </w:r>
      <w:r>
        <w:rPr>
          <w:rFonts w:hint="eastAsia" w:ascii="Times New Roman" w:hAnsi="Times New Roman" w:eastAsia="仿宋_GB2312"/>
          <w:sz w:val="32"/>
          <w:szCs w:val="32"/>
        </w:rPr>
        <w:t>万元，与年初预算数相等，</w:t>
      </w:r>
      <w:r>
        <w:rPr>
          <w:rFonts w:hint="eastAsia" w:ascii="Times New Roman" w:hAnsi="Times New Roman" w:eastAsia="仿宋_GB2312"/>
          <w:sz w:val="32"/>
          <w:szCs w:val="32"/>
          <w:lang w:eastAsia="zh-CN"/>
        </w:rPr>
        <w:t>比上年决算数减少</w:t>
      </w:r>
      <w:r>
        <w:rPr>
          <w:rFonts w:hint="eastAsia" w:ascii="Times New Roman" w:hAnsi="Times New Roman" w:eastAsia="仿宋_GB2312"/>
          <w:sz w:val="32"/>
          <w:szCs w:val="32"/>
          <w:lang w:val="en-US" w:eastAsia="zh-CN"/>
        </w:rPr>
        <w:t>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0.39</w:t>
      </w:r>
      <w:r>
        <w:rPr>
          <w:rFonts w:hint="eastAsia" w:ascii="Times New Roman" w:hAnsi="Times New Roman" w:eastAsia="仿宋_GB2312"/>
          <w:sz w:val="32"/>
          <w:szCs w:val="32"/>
        </w:rPr>
        <w:t>%。主要原因是：规范管理，切实降低行政运行成本。</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年本部门开支会议费0.1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万元，用于召开卫生计生综合执法监督会议，人数2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人，内容为卫生计生综合执法监督会；开支培训费1.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1万元，用于开展卫生计生</w:t>
      </w:r>
      <w:r>
        <w:rPr>
          <w:rFonts w:hint="eastAsia" w:ascii="Times New Roman" w:hAnsi="Times New Roman" w:eastAsia="仿宋_GB2312"/>
          <w:sz w:val="32"/>
          <w:szCs w:val="32"/>
          <w:lang w:eastAsia="zh-CN"/>
        </w:rPr>
        <w:t>执法</w:t>
      </w:r>
      <w:r>
        <w:rPr>
          <w:rFonts w:hint="eastAsia" w:ascii="Times New Roman" w:hAnsi="Times New Roman" w:eastAsia="仿宋_GB2312"/>
          <w:sz w:val="32"/>
          <w:szCs w:val="32"/>
        </w:rPr>
        <w:t>专项整治培训，人数1</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人，内容为卫生计生</w:t>
      </w:r>
      <w:r>
        <w:rPr>
          <w:rFonts w:hint="eastAsia" w:ascii="Times New Roman" w:hAnsi="Times New Roman" w:eastAsia="仿宋_GB2312"/>
          <w:sz w:val="32"/>
          <w:szCs w:val="32"/>
          <w:lang w:eastAsia="zh-CN"/>
        </w:rPr>
        <w:t>执法</w:t>
      </w:r>
      <w:r>
        <w:rPr>
          <w:rFonts w:hint="eastAsia" w:ascii="Times New Roman" w:hAnsi="Times New Roman" w:eastAsia="仿宋_GB2312"/>
          <w:sz w:val="32"/>
          <w:szCs w:val="32"/>
        </w:rPr>
        <w:t>专项整治；</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w:t>
      </w:r>
      <w:bookmarkStart w:id="3" w:name="_GoBack"/>
      <w:bookmarkEnd w:id="3"/>
      <w:r>
        <w:rPr>
          <w:rFonts w:hint="eastAsia" w:ascii="Times New Roman" w:hAnsi="Times New Roman" w:eastAsia="仿宋_GB2312"/>
          <w:sz w:val="32"/>
          <w:szCs w:val="32"/>
        </w:rPr>
        <w:t>节庆、晚会、论坛、赛事活动，开支0万元，主要是</w:t>
      </w:r>
      <w:r>
        <w:rPr>
          <w:rFonts w:hint="eastAsia" w:ascii="Times New Roman" w:hAnsi="Times New Roman" w:eastAsia="仿宋_GB2312"/>
          <w:sz w:val="32"/>
          <w:szCs w:val="32"/>
          <w:lang w:eastAsia="zh-CN"/>
        </w:rPr>
        <w:t>无此类活动支出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59.66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59.66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59.66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59.66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5"/>
        <w:widowControl/>
        <w:spacing w:beforeAutospacing="0" w:afterAutospacing="0" w:line="600" w:lineRule="atLeast"/>
        <w:ind w:firstLine="643"/>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单位能严格预算管理，充分按绩效管理各项措施和支出，用好财政支出的每一分钱，在保证本单位职能职责的全面履行前提下，保障人员经费和行政运行的基本支出及相关项目支出外，没有额外支出。严格“三公”经费的支出和管理。负责组织实施行政区域内卫生计生专项整治和日常监督检查工作，及时拨付执法监督工作经费, 促进了全县卫生计生事业健康发展。依法打击“非医学需要的胎儿性别鉴定和非医学需要选择性别的人工终止妊娠”行为，促进卫生计生健康发展。</w:t>
      </w:r>
      <w:r>
        <w:rPr>
          <w:rFonts w:hint="eastAsia" w:ascii="Times New Roman" w:hAnsi="Times New Roman" w:eastAsia="仿宋_GB2312" w:cs="黑体"/>
          <w:color w:val="000000"/>
          <w:kern w:val="0"/>
          <w:sz w:val="32"/>
          <w:szCs w:val="32"/>
          <w:lang w:val="zh-TW" w:eastAsia="zh-CN" w:bidi="ar-SA"/>
        </w:rPr>
        <w:t>保证专款专用，按时按质完成各项资金工作任务。</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5"/>
        <w:widowControl/>
        <w:spacing w:beforeAutospacing="0" w:afterAutospacing="0" w:line="600" w:lineRule="atLeast"/>
        <w:ind w:firstLine="643"/>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我局认真贯彻落实党中央、省、市关于厉行勤俭节约、反铺张浪费的各项规定，严格控制“三公”经费，加强会议费、培训费、差旅费的管理，切实降低行政运行成本，努力提高财政资金使用效益。</w:t>
      </w:r>
    </w:p>
    <w:p>
      <w:pPr>
        <w:pStyle w:val="5"/>
        <w:widowControl/>
        <w:spacing w:beforeAutospacing="0" w:afterAutospacing="0" w:line="600" w:lineRule="atLeast"/>
        <w:ind w:firstLine="643"/>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综合各项指标，我局财务管理健全规范，没有发生违法违规现象，2022年的部门整体支出绩效自我评价行到100分，自评结果：良好。我局将在以后的工作中加强预算管理，严格控制各项经费的开支，提高经费的使用效率。</w:t>
      </w:r>
    </w:p>
    <w:p>
      <w:pPr>
        <w:pStyle w:val="11"/>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numPr>
          <w:ilvl w:val="0"/>
          <w:numId w:val="3"/>
        </w:numPr>
        <w:spacing w:line="570" w:lineRule="exact"/>
        <w:outlineLvl w:val="0"/>
        <w:rPr>
          <w:rFonts w:eastAsia="黑体"/>
          <w:sz w:val="32"/>
          <w:szCs w:val="32"/>
        </w:rPr>
      </w:pPr>
      <w:r>
        <w:rPr>
          <w:rFonts w:eastAsia="黑体"/>
          <w:sz w:val="32"/>
          <w:szCs w:val="32"/>
        </w:rPr>
        <w:t>部门（单位）基本情况</w:t>
      </w:r>
    </w:p>
    <w:p>
      <w:pPr>
        <w:shd w:val="clear" w:color="auto" w:fill="FFFFFF"/>
        <w:spacing w:line="57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（一）部门（单位）职能职责、机构编制、人员构成等。</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widowControl/>
        <w:spacing w:line="600" w:lineRule="atLeast"/>
        <w:ind w:firstLine="627"/>
        <w:jc w:val="left"/>
        <w:rPr>
          <w:sz w:val="28"/>
          <w:szCs w:val="28"/>
        </w:rPr>
      </w:pPr>
      <w:r>
        <w:rPr>
          <w:rFonts w:hint="eastAsia" w:ascii="宋体" w:hAnsi="宋体" w:cs="宋体"/>
          <w:sz w:val="28"/>
          <w:szCs w:val="28"/>
        </w:rPr>
        <w:t>（一）</w:t>
      </w:r>
      <w:r>
        <w:rPr>
          <w:rFonts w:hint="eastAsia"/>
          <w:sz w:val="28"/>
          <w:szCs w:val="28"/>
        </w:rPr>
        <w:t>负责组织实施行政区域或内卫生计生专项整治和日常监督检查工作；</w:t>
      </w:r>
    </w:p>
    <w:p>
      <w:pPr>
        <w:widowControl/>
        <w:spacing w:line="600" w:lineRule="atLeast"/>
        <w:ind w:firstLine="627"/>
        <w:jc w:val="left"/>
        <w:rPr>
          <w:sz w:val="28"/>
          <w:szCs w:val="28"/>
        </w:rPr>
      </w:pPr>
      <w:r>
        <w:rPr>
          <w:rFonts w:hint="eastAsia"/>
          <w:sz w:val="28"/>
          <w:szCs w:val="28"/>
        </w:rPr>
        <w:t>（二）负责对全县生活饮用水卫生、公共场所卫生、学校卫生、职业放谢卫生、传染病防治、医疗机构、采供血机构的监管；</w:t>
      </w:r>
    </w:p>
    <w:p>
      <w:pPr>
        <w:widowControl/>
        <w:spacing w:line="600" w:lineRule="atLeast"/>
        <w:ind w:firstLine="627"/>
        <w:jc w:val="left"/>
        <w:rPr>
          <w:sz w:val="28"/>
          <w:szCs w:val="28"/>
        </w:rPr>
      </w:pPr>
      <w:r>
        <w:rPr>
          <w:rFonts w:hint="eastAsia"/>
          <w:sz w:val="28"/>
          <w:szCs w:val="28"/>
        </w:rPr>
        <w:t>（三）承办卫生行政许可的审核、报批、发证等具体工作；</w:t>
      </w:r>
    </w:p>
    <w:p>
      <w:pPr>
        <w:widowControl/>
        <w:spacing w:line="600" w:lineRule="atLeast"/>
        <w:ind w:firstLine="627"/>
        <w:jc w:val="left"/>
        <w:rPr>
          <w:sz w:val="28"/>
          <w:szCs w:val="28"/>
        </w:rPr>
      </w:pPr>
      <w:r>
        <w:rPr>
          <w:rFonts w:hint="eastAsia"/>
          <w:sz w:val="28"/>
          <w:szCs w:val="28"/>
        </w:rPr>
        <w:t>（四）审查健康相关产品广告、医疗广告内容；</w:t>
      </w:r>
    </w:p>
    <w:p>
      <w:pPr>
        <w:widowControl/>
        <w:spacing w:line="600" w:lineRule="atLeast"/>
        <w:ind w:firstLine="627"/>
        <w:jc w:val="left"/>
        <w:rPr>
          <w:sz w:val="28"/>
          <w:szCs w:val="28"/>
        </w:rPr>
      </w:pPr>
      <w:r>
        <w:rPr>
          <w:rFonts w:hint="eastAsia"/>
          <w:sz w:val="28"/>
          <w:szCs w:val="28"/>
        </w:rPr>
        <w:t>（五）承担对违反卫生法律法规行为的调查取证，提出处理意见；</w:t>
      </w:r>
    </w:p>
    <w:p>
      <w:pPr>
        <w:widowControl/>
        <w:spacing w:line="600" w:lineRule="atLeast"/>
        <w:ind w:firstLine="627"/>
        <w:jc w:val="left"/>
        <w:rPr>
          <w:sz w:val="28"/>
          <w:szCs w:val="28"/>
        </w:rPr>
      </w:pPr>
      <w:r>
        <w:rPr>
          <w:rFonts w:hint="eastAsia"/>
          <w:sz w:val="28"/>
          <w:szCs w:val="28"/>
        </w:rPr>
        <w:t>（六）执行卫生行政控制措施与处罚决定；</w:t>
      </w:r>
    </w:p>
    <w:p>
      <w:pPr>
        <w:widowControl/>
        <w:spacing w:line="600" w:lineRule="atLeast"/>
        <w:ind w:firstLine="627"/>
        <w:jc w:val="left"/>
        <w:rPr>
          <w:sz w:val="28"/>
          <w:szCs w:val="28"/>
        </w:rPr>
      </w:pPr>
      <w:r>
        <w:rPr>
          <w:rFonts w:hint="eastAsia"/>
          <w:sz w:val="28"/>
          <w:szCs w:val="28"/>
        </w:rPr>
        <w:t>（七）参与对危害公共卫生、医疗事故、重大疫情和突发性公共卫生事件违法行为的调查处理；</w:t>
      </w:r>
    </w:p>
    <w:p>
      <w:pPr>
        <w:widowControl/>
        <w:spacing w:line="600" w:lineRule="atLeast"/>
        <w:ind w:firstLine="627"/>
        <w:jc w:val="left"/>
        <w:rPr>
          <w:sz w:val="28"/>
          <w:szCs w:val="28"/>
        </w:rPr>
      </w:pPr>
      <w:r>
        <w:rPr>
          <w:rFonts w:hint="eastAsia"/>
          <w:sz w:val="28"/>
          <w:szCs w:val="28"/>
        </w:rPr>
        <w:t>（八）负责对母婴保健机构、计划生育技术服务机构和从业人员的行为规范进行监督，依法打击“非医学需要的胎儿性别鉴定和非医学需要选择性别的人工终止妊娠”行为；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snapToGrid w:val="0"/>
        <w:spacing w:line="520" w:lineRule="exact"/>
        <w:ind w:firstLine="560" w:firstLineChars="200"/>
        <w:rPr>
          <w:rFonts w:hint="eastAsia"/>
          <w:sz w:val="28"/>
          <w:szCs w:val="28"/>
        </w:rPr>
      </w:pPr>
      <w:r>
        <w:rPr>
          <w:rFonts w:hint="eastAsia"/>
          <w:sz w:val="28"/>
          <w:szCs w:val="28"/>
        </w:rPr>
        <w:t>新田县卫生计生综合监督执法局内设机构为</w:t>
      </w:r>
      <w:r>
        <w:rPr>
          <w:sz w:val="28"/>
          <w:szCs w:val="28"/>
        </w:rPr>
        <w:t>内设</w:t>
      </w:r>
      <w:r>
        <w:rPr>
          <w:rFonts w:hint="eastAsia"/>
          <w:sz w:val="28"/>
          <w:szCs w:val="28"/>
        </w:rPr>
        <w:t>股室5</w:t>
      </w:r>
      <w:r>
        <w:rPr>
          <w:sz w:val="28"/>
          <w:szCs w:val="28"/>
        </w:rPr>
        <w:t>个</w:t>
      </w:r>
      <w:r>
        <w:rPr>
          <w:rFonts w:hint="eastAsia"/>
          <w:sz w:val="28"/>
          <w:szCs w:val="28"/>
        </w:rPr>
        <w:t>。</w:t>
      </w:r>
      <w:r>
        <w:rPr>
          <w:sz w:val="28"/>
          <w:szCs w:val="28"/>
        </w:rPr>
        <w:t>内设</w:t>
      </w:r>
      <w:r>
        <w:rPr>
          <w:rFonts w:hint="eastAsia"/>
          <w:sz w:val="28"/>
          <w:szCs w:val="28"/>
        </w:rPr>
        <w:t>股</w:t>
      </w:r>
      <w:r>
        <w:rPr>
          <w:sz w:val="28"/>
          <w:szCs w:val="28"/>
        </w:rPr>
        <w:t>室分别是</w:t>
      </w:r>
      <w:r>
        <w:rPr>
          <w:rFonts w:hint="eastAsia"/>
          <w:sz w:val="28"/>
          <w:szCs w:val="28"/>
        </w:rPr>
        <w:t>办公室、稽查股、公共场所卫生监督股、计划生育监督股、医疗机构卫生监督股</w:t>
      </w:r>
      <w:r>
        <w:rPr>
          <w:sz w:val="28"/>
          <w:szCs w:val="28"/>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w:t>
      </w:r>
    </w:p>
    <w:p>
      <w:pPr>
        <w:snapToGrid w:val="0"/>
        <w:spacing w:line="520" w:lineRule="exact"/>
        <w:ind w:firstLine="560" w:firstLineChars="200"/>
        <w:rPr>
          <w:rFonts w:hint="eastAsia"/>
          <w:sz w:val="28"/>
          <w:szCs w:val="28"/>
        </w:rPr>
      </w:pPr>
      <w:r>
        <w:rPr>
          <w:rFonts w:hint="eastAsia"/>
          <w:sz w:val="28"/>
          <w:szCs w:val="28"/>
        </w:rPr>
        <w:t>2022年年末在编人数20人，实有人数2</w:t>
      </w:r>
      <w:r>
        <w:rPr>
          <w:rFonts w:hint="eastAsia"/>
          <w:sz w:val="28"/>
          <w:szCs w:val="28"/>
          <w:lang w:val="en-US" w:eastAsia="zh-CN"/>
        </w:rPr>
        <w:t>2</w:t>
      </w:r>
      <w:r>
        <w:rPr>
          <w:rFonts w:hint="eastAsia"/>
          <w:sz w:val="28"/>
          <w:szCs w:val="28"/>
        </w:rPr>
        <w:t>人。</w:t>
      </w:r>
    </w:p>
    <w:p>
      <w:pPr>
        <w:shd w:val="clear" w:color="auto" w:fill="FFFFFF"/>
        <w:spacing w:line="570" w:lineRule="exact"/>
        <w:ind w:firstLine="640" w:firstLineChars="200"/>
        <w:outlineLvl w:val="1"/>
        <w:rPr>
          <w:rFonts w:hint="eastAsia" w:ascii="仿宋_GB2312" w:eastAsia="仿宋_GB2312"/>
          <w:sz w:val="32"/>
          <w:szCs w:val="32"/>
        </w:rPr>
      </w:pPr>
    </w:p>
    <w:p>
      <w:pPr>
        <w:spacing w:line="570" w:lineRule="exact"/>
        <w:ind w:firstLine="640" w:firstLineChars="200"/>
        <w:outlineLvl w:val="1"/>
        <w:rPr>
          <w:rFonts w:hint="eastAsia" w:eastAsia="仿宋_GB2312"/>
          <w:color w:val="000000"/>
          <w:sz w:val="32"/>
          <w:szCs w:val="32"/>
        </w:rPr>
      </w:pPr>
      <w:r>
        <w:rPr>
          <w:rFonts w:hint="eastAsia" w:ascii="仿宋_GB2312" w:eastAsia="仿宋_GB2312"/>
          <w:sz w:val="32"/>
          <w:szCs w:val="32"/>
        </w:rPr>
        <w:t>（二）部门（单位）整体支出规模</w:t>
      </w:r>
      <w:r>
        <w:rPr>
          <w:rFonts w:hint="eastAsia" w:ascii="仿宋_GB2312" w:hAnsi="仿宋_GB2312" w:eastAsia="仿宋_GB2312" w:cs="仿宋_GB2312"/>
          <w:sz w:val="32"/>
          <w:szCs w:val="32"/>
        </w:rPr>
        <w:t>，</w:t>
      </w:r>
      <w:r>
        <w:rPr>
          <w:rFonts w:hint="eastAsia" w:eastAsia="仿宋_GB2312"/>
          <w:color w:val="000000"/>
          <w:sz w:val="32"/>
          <w:szCs w:val="32"/>
        </w:rPr>
        <w:t>包括但不限于部门整体支出情况、部门预算收支决算情况及“三公经费”支出使用和管理情况。</w:t>
      </w:r>
    </w:p>
    <w:p>
      <w:pPr>
        <w:snapToGrid w:val="0"/>
        <w:spacing w:line="520" w:lineRule="exact"/>
        <w:ind w:firstLine="560" w:firstLineChars="200"/>
        <w:rPr>
          <w:rFonts w:hint="eastAsia"/>
          <w:sz w:val="28"/>
          <w:szCs w:val="28"/>
        </w:rPr>
      </w:pPr>
      <w:r>
        <w:rPr>
          <w:rFonts w:hint="eastAsia"/>
          <w:sz w:val="28"/>
          <w:szCs w:val="28"/>
        </w:rPr>
        <w:t>2022</w:t>
      </w:r>
      <w:r>
        <w:rPr>
          <w:sz w:val="28"/>
          <w:szCs w:val="28"/>
        </w:rPr>
        <w:t>年</w:t>
      </w:r>
      <w:r>
        <w:rPr>
          <w:rFonts w:hint="eastAsia"/>
          <w:sz w:val="28"/>
          <w:szCs w:val="28"/>
        </w:rPr>
        <w:t>本部门的收入预算主要包括一般公共预算拨款收入，无政府性基金预算拨款收入、国有资本经营预算拨款收入、财政专户管理资金收入</w:t>
      </w:r>
      <w:r>
        <w:rPr>
          <w:sz w:val="28"/>
          <w:szCs w:val="28"/>
        </w:rPr>
        <w:t>等收入</w:t>
      </w:r>
      <w:r>
        <w:rPr>
          <w:rFonts w:hint="eastAsia"/>
          <w:sz w:val="28"/>
          <w:szCs w:val="28"/>
        </w:rPr>
        <w:t>；</w:t>
      </w:r>
      <w:r>
        <w:rPr>
          <w:sz w:val="28"/>
          <w:szCs w:val="28"/>
        </w:rPr>
        <w:t>支出</w:t>
      </w:r>
      <w:r>
        <w:rPr>
          <w:rFonts w:hint="eastAsia"/>
          <w:sz w:val="28"/>
          <w:szCs w:val="28"/>
        </w:rPr>
        <w:t>预算主要包括保障单位基本运行的经费和业务工作经费，具体情况如下：</w:t>
      </w:r>
    </w:p>
    <w:p>
      <w:pPr>
        <w:snapToGrid w:val="0"/>
        <w:spacing w:line="52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1.收入支出预算安排情况。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sz w:val="28"/>
          <w:szCs w:val="28"/>
        </w:rPr>
      </w:pPr>
      <w:r>
        <w:rPr>
          <w:rFonts w:hint="eastAsia"/>
          <w:sz w:val="28"/>
          <w:szCs w:val="28"/>
        </w:rPr>
        <w:t>2022年部门决算总收入336.13万元，2021年决算总收入为318.27万元，比上年增加17.86万元。增幅达5.61%。原因是</w:t>
      </w:r>
      <w:r>
        <w:rPr>
          <w:rFonts w:hint="eastAsia"/>
          <w:sz w:val="28"/>
          <w:szCs w:val="28"/>
          <w:lang w:eastAsia="zh-CN"/>
        </w:rPr>
        <w:t>大学生见习生增加</w:t>
      </w:r>
      <w:r>
        <w:rPr>
          <w:rFonts w:hint="eastAsia"/>
          <w:sz w:val="28"/>
          <w:szCs w:val="28"/>
          <w:lang w:val="en-US" w:eastAsia="zh-CN"/>
        </w:rPr>
        <w:t>2</w:t>
      </w:r>
      <w:r>
        <w:rPr>
          <w:rFonts w:hint="eastAsia"/>
          <w:sz w:val="28"/>
          <w:szCs w:val="28"/>
        </w:rPr>
        <w:t>人，人员经费</w:t>
      </w:r>
      <w:r>
        <w:rPr>
          <w:rFonts w:hint="eastAsia"/>
          <w:sz w:val="28"/>
          <w:szCs w:val="28"/>
          <w:lang w:eastAsia="zh-CN"/>
        </w:rPr>
        <w:t>增加及工资普调</w:t>
      </w:r>
      <w:r>
        <w:rPr>
          <w:rFonts w:hint="eastAsia"/>
          <w:sz w:val="28"/>
          <w:szCs w:val="28"/>
        </w:rPr>
        <w:t>导致。</w:t>
      </w:r>
    </w:p>
    <w:p>
      <w:pPr>
        <w:snapToGrid w:val="0"/>
        <w:spacing w:line="52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2.收入支出预算执行情况。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sz w:val="28"/>
          <w:szCs w:val="28"/>
        </w:rPr>
      </w:pPr>
      <w:r>
        <w:rPr>
          <w:rFonts w:hint="eastAsia"/>
          <w:sz w:val="28"/>
          <w:szCs w:val="28"/>
        </w:rPr>
        <w:t>2022年部门预算总支出336.13万元，2021预算总支出为318.27万元，比上年增加17.86万元。增幅达5.61%。原因</w:t>
      </w:r>
      <w:r>
        <w:rPr>
          <w:rFonts w:hint="eastAsia"/>
          <w:sz w:val="28"/>
          <w:szCs w:val="28"/>
          <w:lang w:eastAsia="zh-CN"/>
        </w:rPr>
        <w:t>大学生见习生增加</w:t>
      </w:r>
      <w:r>
        <w:rPr>
          <w:rFonts w:hint="eastAsia"/>
          <w:sz w:val="28"/>
          <w:szCs w:val="28"/>
          <w:lang w:val="en-US" w:eastAsia="zh-CN"/>
        </w:rPr>
        <w:t>2</w:t>
      </w:r>
      <w:r>
        <w:rPr>
          <w:rFonts w:hint="eastAsia"/>
          <w:sz w:val="28"/>
          <w:szCs w:val="28"/>
        </w:rPr>
        <w:t>人，人员经费</w:t>
      </w:r>
      <w:r>
        <w:rPr>
          <w:rFonts w:hint="eastAsia"/>
          <w:sz w:val="28"/>
          <w:szCs w:val="28"/>
          <w:lang w:eastAsia="zh-CN"/>
        </w:rPr>
        <w:t>增加及工资普调</w:t>
      </w:r>
      <w:r>
        <w:rPr>
          <w:rFonts w:hint="eastAsia"/>
          <w:sz w:val="28"/>
          <w:szCs w:val="28"/>
        </w:rPr>
        <w:t>导致。</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3.支出按经济分类科目分析。</w:t>
      </w:r>
    </w:p>
    <w:p>
      <w:pPr>
        <w:widowControl/>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（1）、2022年三公经费支出 3.10万元，2021年三公经费支出3.17万元，减少0.07万元，原因是严格控制三公经费开支。</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（2）、2022年培训费 1.31万元，2021年培训费1.41万元，减少培训费0.1万元，原因是严格控制培训开支。</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（3）、2022会议费0.101万元，2021会议费0.105万元。减少0.004万元，原因是严格控制会议开支。</w:t>
      </w:r>
    </w:p>
    <w:p>
      <w:pPr>
        <w:pStyle w:val="12"/>
        <w:spacing w:line="570" w:lineRule="exact"/>
        <w:ind w:firstLine="640"/>
        <w:outlineLvl w:val="0"/>
        <w:rPr>
          <w:rFonts w:ascii="Times New Roman" w:hAnsi="Times New Roman" w:eastAsia="黑体"/>
          <w:sz w:val="32"/>
          <w:szCs w:val="32"/>
        </w:rPr>
      </w:pPr>
      <w:r>
        <w:rPr>
          <w:rFonts w:ascii="Times New Roman" w:hAnsi="Times New Roman" w:eastAsia="黑体"/>
          <w:sz w:val="32"/>
          <w:szCs w:val="32"/>
        </w:rPr>
        <w:t>二、一般公共预算支出情况</w:t>
      </w:r>
    </w:p>
    <w:p>
      <w:pPr>
        <w:pStyle w:val="12"/>
        <w:spacing w:line="570" w:lineRule="exact"/>
        <w:ind w:firstLine="640"/>
        <w:outlineLvl w:val="1"/>
        <w:rPr>
          <w:rFonts w:hint="eastAsia" w:ascii="Times New Roman" w:hAnsi="Times New Roman" w:eastAsia="仿宋_GB2312"/>
          <w:sz w:val="32"/>
          <w:szCs w:val="32"/>
        </w:rPr>
      </w:pPr>
      <w:r>
        <w:rPr>
          <w:rFonts w:ascii="Times New Roman" w:hAnsi="Times New Roman" w:eastAsia="仿宋_GB2312"/>
          <w:sz w:val="32"/>
          <w:szCs w:val="32"/>
        </w:rPr>
        <w:t>（一）基本支出情况</w:t>
      </w:r>
    </w:p>
    <w:p>
      <w:pPr>
        <w:snapToGrid w:val="0"/>
        <w:spacing w:line="520" w:lineRule="exact"/>
        <w:ind w:firstLine="560" w:firstLineChars="200"/>
        <w:rPr>
          <w:rFonts w:hint="eastAsia"/>
          <w:sz w:val="28"/>
          <w:szCs w:val="28"/>
        </w:rPr>
      </w:pPr>
      <w:r>
        <w:rPr>
          <w:rFonts w:hint="eastAsia"/>
          <w:sz w:val="28"/>
          <w:szCs w:val="28"/>
        </w:rPr>
        <w:t>2022年度基本支出总计</w:t>
      </w:r>
      <w:r>
        <w:rPr>
          <w:rFonts w:hint="eastAsia"/>
          <w:sz w:val="28"/>
          <w:szCs w:val="28"/>
          <w:lang w:val="en-US" w:eastAsia="zh-CN"/>
        </w:rPr>
        <w:t>336.13</w:t>
      </w:r>
      <w:r>
        <w:rPr>
          <w:rFonts w:hint="eastAsia"/>
          <w:sz w:val="28"/>
          <w:szCs w:val="28"/>
        </w:rPr>
        <w:t>万元，其中人员经费支出</w:t>
      </w:r>
      <w:r>
        <w:rPr>
          <w:rFonts w:hint="eastAsia"/>
          <w:sz w:val="28"/>
          <w:szCs w:val="28"/>
          <w:lang w:val="en-US" w:eastAsia="zh-CN"/>
        </w:rPr>
        <w:t>234.44</w:t>
      </w:r>
      <w:r>
        <w:rPr>
          <w:rFonts w:hint="eastAsia"/>
          <w:sz w:val="28"/>
          <w:szCs w:val="28"/>
        </w:rPr>
        <w:t>万元，商品和服务支出</w:t>
      </w:r>
      <w:r>
        <w:rPr>
          <w:rFonts w:hint="eastAsia"/>
          <w:sz w:val="28"/>
          <w:szCs w:val="28"/>
          <w:lang w:val="en-US" w:eastAsia="zh-CN"/>
        </w:rPr>
        <w:t>101.69</w:t>
      </w:r>
      <w:r>
        <w:rPr>
          <w:rFonts w:hint="eastAsia"/>
          <w:sz w:val="28"/>
          <w:szCs w:val="28"/>
        </w:rPr>
        <w:t>万元。商品和服务支出中的“三公”经费支出明细如下：</w:t>
      </w:r>
    </w:p>
    <w:p>
      <w:pPr>
        <w:snapToGrid w:val="0"/>
        <w:spacing w:line="520" w:lineRule="exact"/>
        <w:ind w:firstLine="560" w:firstLineChars="200"/>
        <w:rPr>
          <w:rFonts w:hint="eastAsia"/>
          <w:sz w:val="28"/>
          <w:szCs w:val="28"/>
        </w:rPr>
      </w:pPr>
      <w:r>
        <w:rPr>
          <w:rFonts w:hint="eastAsia"/>
          <w:sz w:val="28"/>
          <w:szCs w:val="28"/>
        </w:rPr>
        <w:t>1.无因公出国(境）费支出。</w:t>
      </w:r>
    </w:p>
    <w:p>
      <w:pPr>
        <w:snapToGrid w:val="0"/>
        <w:spacing w:line="520" w:lineRule="exact"/>
        <w:ind w:firstLine="560" w:firstLineChars="200"/>
        <w:rPr>
          <w:rFonts w:hint="eastAsia"/>
          <w:sz w:val="28"/>
          <w:szCs w:val="28"/>
        </w:rPr>
      </w:pPr>
      <w:r>
        <w:rPr>
          <w:rFonts w:hint="eastAsia"/>
          <w:sz w:val="28"/>
          <w:szCs w:val="28"/>
        </w:rPr>
        <w:t>2.公务用车购置及运行费支出决算0万元,其中公务用车购置支出0万元，公务用车运行支出 0万元;</w:t>
      </w:r>
    </w:p>
    <w:p>
      <w:pPr>
        <w:snapToGrid w:val="0"/>
        <w:spacing w:line="520" w:lineRule="exact"/>
        <w:ind w:firstLine="560" w:firstLineChars="200"/>
        <w:rPr>
          <w:rFonts w:hint="eastAsia"/>
          <w:sz w:val="28"/>
          <w:szCs w:val="28"/>
        </w:rPr>
      </w:pPr>
      <w:r>
        <w:rPr>
          <w:rFonts w:hint="eastAsia"/>
          <w:sz w:val="28"/>
          <w:szCs w:val="28"/>
        </w:rPr>
        <w:t>3.公务接待费支出决算3.10万元。</w:t>
      </w:r>
    </w:p>
    <w:p>
      <w:pPr>
        <w:snapToGrid w:val="0"/>
        <w:spacing w:line="520" w:lineRule="exact"/>
        <w:ind w:firstLine="560" w:firstLineChars="200"/>
        <w:rPr>
          <w:rFonts w:hint="eastAsia"/>
          <w:sz w:val="28"/>
          <w:szCs w:val="28"/>
        </w:rPr>
      </w:pPr>
      <w:r>
        <w:rPr>
          <w:rFonts w:hint="eastAsia"/>
          <w:sz w:val="28"/>
          <w:szCs w:val="28"/>
        </w:rPr>
        <w:t xml:space="preserve"> 我局严格控制“三公”经费。严格公务接待，提高思想认识，规范接待标准，厉行节约，树立节约观念，通过召开厉行节约、杜绝浪费，引导和规范全体工作人员从自身做起，从身边小事做起，倡导网络办公，促进办公低碳化，充分利用现在网络技术，通过邮箱、QQ、拷贝等方式传送普通文件资料，尽量减少文件印发。注重是常节俭，养成节约习惯，做到“人走灯灭”，下班及时关闭电脑、复印机等用电设备。</w:t>
      </w:r>
    </w:p>
    <w:p>
      <w:pPr>
        <w:pStyle w:val="12"/>
        <w:spacing w:line="570" w:lineRule="exact"/>
        <w:ind w:firstLine="640"/>
        <w:outlineLvl w:val="1"/>
        <w:rPr>
          <w:rFonts w:hint="eastAsia" w:ascii="Times New Roman" w:hAnsi="Times New Roman" w:eastAsia="仿宋_GB2312"/>
          <w:sz w:val="32"/>
          <w:szCs w:val="32"/>
        </w:rPr>
      </w:pPr>
      <w:r>
        <w:rPr>
          <w:rFonts w:ascii="Times New Roman" w:hAnsi="Times New Roman" w:eastAsia="仿宋_GB2312"/>
          <w:sz w:val="32"/>
          <w:szCs w:val="32"/>
        </w:rPr>
        <w:t>（二）项目支出情况</w:t>
      </w:r>
    </w:p>
    <w:p>
      <w:pPr>
        <w:spacing w:line="360" w:lineRule="auto"/>
        <w:ind w:firstLine="560" w:firstLineChars="200"/>
        <w:rPr>
          <w:rFonts w:hint="eastAsia" w:eastAsiaTheme="minorEastAsia"/>
          <w:sz w:val="28"/>
          <w:szCs w:val="28"/>
          <w:lang w:val="en-US" w:eastAsia="zh-CN"/>
        </w:rPr>
      </w:pPr>
      <w:r>
        <w:rPr>
          <w:rFonts w:hint="eastAsia"/>
          <w:sz w:val="28"/>
          <w:szCs w:val="28"/>
          <w:lang w:eastAsia="zh-CN"/>
        </w:rPr>
        <w:t>无项目支出。</w:t>
      </w:r>
    </w:p>
    <w:p>
      <w:pPr>
        <w:pStyle w:val="12"/>
        <w:spacing w:line="570" w:lineRule="exact"/>
        <w:ind w:firstLine="640"/>
        <w:jc w:val="left"/>
        <w:outlineLvl w:val="0"/>
        <w:rPr>
          <w:rFonts w:hint="eastAsia" w:ascii="Times New Roman" w:hAnsi="Times New Roman" w:eastAsia="仿宋_GB2312"/>
          <w:color w:val="000000"/>
          <w:sz w:val="32"/>
          <w:szCs w:val="32"/>
        </w:rPr>
      </w:pPr>
      <w:r>
        <w:rPr>
          <w:rFonts w:ascii="Times New Roman" w:hAnsi="Times New Roman" w:eastAsia="黑体"/>
          <w:sz w:val="32"/>
          <w:szCs w:val="32"/>
        </w:rPr>
        <w:t>三、政府性基金预算支出情况</w:t>
      </w:r>
      <w:r>
        <w:rPr>
          <w:rFonts w:hint="eastAsia" w:ascii="Times New Roman" w:hAnsi="Times New Roman" w:eastAsia="黑体"/>
          <w:sz w:val="32"/>
          <w:szCs w:val="32"/>
        </w:rPr>
        <w:t>。</w:t>
      </w:r>
    </w:p>
    <w:p>
      <w:pPr>
        <w:spacing w:line="360" w:lineRule="auto"/>
        <w:ind w:firstLine="560" w:firstLineChars="200"/>
        <w:rPr>
          <w:rFonts w:hint="eastAsia"/>
          <w:sz w:val="28"/>
          <w:szCs w:val="28"/>
        </w:rPr>
      </w:pPr>
      <w:r>
        <w:rPr>
          <w:rFonts w:hint="eastAsia"/>
          <w:sz w:val="28"/>
          <w:szCs w:val="28"/>
        </w:rPr>
        <w:t>我单位无政府性基金预算支出情况。</w:t>
      </w:r>
    </w:p>
    <w:p>
      <w:pPr>
        <w:pStyle w:val="12"/>
        <w:spacing w:line="570" w:lineRule="exact"/>
        <w:ind w:firstLine="640"/>
        <w:jc w:val="left"/>
        <w:outlineLvl w:val="0"/>
        <w:rPr>
          <w:rFonts w:hint="eastAsia" w:ascii="Times New Roman" w:hAnsi="Times New Roman" w:eastAsia="仿宋_GB2312"/>
          <w:color w:val="000000"/>
          <w:sz w:val="32"/>
          <w:szCs w:val="32"/>
        </w:rPr>
      </w:pPr>
      <w:r>
        <w:rPr>
          <w:rFonts w:ascii="Times New Roman" w:hAnsi="Times New Roman" w:eastAsia="黑体"/>
          <w:sz w:val="32"/>
          <w:szCs w:val="32"/>
        </w:rPr>
        <w:t>四、国有资本经营预算支出情况</w:t>
      </w:r>
      <w:r>
        <w:rPr>
          <w:rFonts w:hint="eastAsia" w:ascii="Times New Roman" w:hAnsi="Times New Roman" w:eastAsia="黑体"/>
          <w:sz w:val="32"/>
          <w:szCs w:val="32"/>
        </w:rPr>
        <w:t>。</w:t>
      </w:r>
    </w:p>
    <w:p>
      <w:pPr>
        <w:spacing w:line="360" w:lineRule="auto"/>
        <w:ind w:firstLine="560" w:firstLineChars="200"/>
        <w:rPr>
          <w:rFonts w:hint="eastAsia"/>
          <w:sz w:val="28"/>
          <w:szCs w:val="28"/>
        </w:rPr>
      </w:pPr>
      <w:r>
        <w:rPr>
          <w:rFonts w:hint="eastAsia"/>
          <w:sz w:val="28"/>
          <w:szCs w:val="28"/>
        </w:rPr>
        <w:t>我单位无政府性基金预算支出情况。</w:t>
      </w:r>
    </w:p>
    <w:p>
      <w:pPr>
        <w:pStyle w:val="12"/>
        <w:spacing w:line="570" w:lineRule="exact"/>
        <w:ind w:firstLine="640"/>
        <w:jc w:val="left"/>
        <w:outlineLvl w:val="0"/>
        <w:rPr>
          <w:rFonts w:hint="eastAsia" w:ascii="Times New Roman" w:hAnsi="Times New Roman" w:eastAsia="仿宋_GB2312"/>
          <w:color w:val="000000"/>
          <w:sz w:val="32"/>
          <w:szCs w:val="32"/>
        </w:rPr>
      </w:pPr>
      <w:r>
        <w:rPr>
          <w:rFonts w:ascii="Times New Roman" w:hAnsi="Times New Roman" w:eastAsia="黑体"/>
          <w:sz w:val="32"/>
          <w:szCs w:val="32"/>
        </w:rPr>
        <w:t>五、社会保险基金预算支出情况</w:t>
      </w:r>
      <w:r>
        <w:rPr>
          <w:rFonts w:hint="eastAsia" w:ascii="Times New Roman" w:hAnsi="Times New Roman" w:eastAsia="黑体"/>
          <w:sz w:val="32"/>
          <w:szCs w:val="32"/>
        </w:rPr>
        <w:t>。</w:t>
      </w:r>
    </w:p>
    <w:p>
      <w:pPr>
        <w:spacing w:line="360" w:lineRule="auto"/>
        <w:ind w:firstLine="560" w:firstLineChars="200"/>
        <w:rPr>
          <w:rFonts w:hint="eastAsia"/>
          <w:sz w:val="28"/>
          <w:szCs w:val="28"/>
        </w:rPr>
      </w:pPr>
      <w:r>
        <w:rPr>
          <w:rFonts w:hint="eastAsia"/>
          <w:sz w:val="28"/>
          <w:szCs w:val="28"/>
        </w:rPr>
        <w:t>我单位无政府性基金预算支出情况。</w:t>
      </w:r>
    </w:p>
    <w:p>
      <w:pPr>
        <w:spacing w:line="570" w:lineRule="exact"/>
        <w:ind w:firstLine="645"/>
        <w:jc w:val="left"/>
        <w:outlineLvl w:val="0"/>
        <w:rPr>
          <w:rFonts w:eastAsia="黑体"/>
          <w:sz w:val="32"/>
          <w:szCs w:val="32"/>
        </w:rPr>
      </w:pPr>
      <w:r>
        <w:rPr>
          <w:rFonts w:eastAsia="黑体"/>
          <w:sz w:val="32"/>
          <w:szCs w:val="32"/>
        </w:rPr>
        <w:t>六、部门整体支出绩效情况</w:t>
      </w:r>
    </w:p>
    <w:p>
      <w:pPr>
        <w:spacing w:line="360" w:lineRule="auto"/>
        <w:ind w:firstLine="560" w:firstLineChars="200"/>
        <w:rPr>
          <w:rFonts w:hint="eastAsia"/>
          <w:sz w:val="28"/>
          <w:szCs w:val="28"/>
        </w:rPr>
      </w:pPr>
      <w:r>
        <w:rPr>
          <w:rFonts w:hint="eastAsia"/>
          <w:sz w:val="28"/>
          <w:szCs w:val="28"/>
        </w:rPr>
        <w:t>我部门制定了一系列的财务管理制度，严格按制度办事。在资金使用上一直按照国家财经法规和财务管理制度规定以及有关专项资金管理办法的规定收支。资金拨付有完整的审批程序和手续，按照财经制度的有关要求，做到专款专用，专人保管，保证资金使用的合规性。资金使用无截留、挤占、挪用、虚列支出等情况。202</w:t>
      </w:r>
      <w:r>
        <w:rPr>
          <w:rFonts w:hint="eastAsia"/>
          <w:sz w:val="28"/>
          <w:szCs w:val="28"/>
          <w:lang w:val="en-US" w:eastAsia="zh-CN"/>
        </w:rPr>
        <w:t>2</w:t>
      </w:r>
      <w:r>
        <w:rPr>
          <w:rFonts w:hint="eastAsia"/>
          <w:sz w:val="28"/>
          <w:szCs w:val="28"/>
        </w:rPr>
        <w:t>年，我局工作坚持“依章办事、服务大局、围绕中心、突出重点、求事务实”深刻领会中央“八项规定”和“六条款令”，进一步规范会计核算行为，加强预算管理和执行力度，确保资金安全、有效运行，积极服务本单位发展。</w:t>
      </w:r>
    </w:p>
    <w:p>
      <w:pPr>
        <w:pStyle w:val="12"/>
        <w:spacing w:line="570" w:lineRule="exact"/>
        <w:ind w:firstLine="640"/>
        <w:jc w:val="left"/>
        <w:outlineLvl w:val="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360" w:lineRule="auto"/>
        <w:ind w:firstLine="560" w:firstLineChars="200"/>
        <w:rPr>
          <w:rFonts w:hint="eastAsia"/>
          <w:sz w:val="28"/>
          <w:szCs w:val="28"/>
        </w:rPr>
      </w:pPr>
      <w:r>
        <w:rPr>
          <w:rFonts w:hint="eastAsia"/>
          <w:sz w:val="28"/>
          <w:szCs w:val="28"/>
        </w:rPr>
        <w:t>综合各项指标，我局财务管理健全规范，没有发生违法违规现象，202</w:t>
      </w:r>
      <w:r>
        <w:rPr>
          <w:rFonts w:hint="eastAsia"/>
          <w:sz w:val="28"/>
          <w:szCs w:val="28"/>
          <w:lang w:val="en-US" w:eastAsia="zh-CN"/>
        </w:rPr>
        <w:t>2</w:t>
      </w:r>
      <w:r>
        <w:rPr>
          <w:rFonts w:hint="eastAsia"/>
          <w:sz w:val="28"/>
          <w:szCs w:val="28"/>
        </w:rPr>
        <w:t>年的部门整体支出绩效自我评价行到100分，自评结果：良好。我局将在以后的工作中加强预算管理，严格控制各项经费的开支，提高经费的使用效率。</w:t>
      </w:r>
    </w:p>
    <w:p>
      <w:pPr>
        <w:spacing w:line="570" w:lineRule="exact"/>
        <w:ind w:firstLine="640" w:firstLineChars="200"/>
        <w:jc w:val="left"/>
        <w:outlineLvl w:val="0"/>
        <w:rPr>
          <w:rFonts w:hint="eastAsia" w:eastAsia="黑体"/>
          <w:sz w:val="32"/>
          <w:szCs w:val="32"/>
        </w:rPr>
      </w:pPr>
      <w:r>
        <w:rPr>
          <w:rFonts w:eastAsia="黑体"/>
          <w:sz w:val="32"/>
          <w:szCs w:val="32"/>
        </w:rPr>
        <w:t>八、下一步改进措施</w:t>
      </w:r>
    </w:p>
    <w:p>
      <w:pPr>
        <w:spacing w:line="570" w:lineRule="exact"/>
        <w:ind w:firstLine="640" w:firstLineChars="200"/>
        <w:jc w:val="left"/>
        <w:outlineLvl w:val="0"/>
        <w:rPr>
          <w:rFonts w:hint="eastAsia" w:eastAsia="黑体"/>
          <w:sz w:val="32"/>
          <w:szCs w:val="32"/>
        </w:rPr>
      </w:pPr>
    </w:p>
    <w:p>
      <w:pPr>
        <w:spacing w:line="360" w:lineRule="auto"/>
        <w:ind w:firstLine="560" w:firstLineChars="200"/>
        <w:rPr>
          <w:rFonts w:hint="eastAsia"/>
          <w:sz w:val="28"/>
          <w:szCs w:val="28"/>
        </w:rPr>
      </w:pPr>
      <w:r>
        <w:rPr>
          <w:rFonts w:hint="eastAsia"/>
          <w:sz w:val="28"/>
          <w:szCs w:val="28"/>
        </w:rPr>
        <w:t>认真贯彻落实党中央、省、市关于厉行勤俭节约、反铺张浪费的各项规定，严格控制“三公”经费，加强会议费、培训费、差旅费的管理，切实降低行政运行成本，努力提高财政资金使用效益。</w:t>
      </w:r>
    </w:p>
    <w:p>
      <w:pPr>
        <w:spacing w:line="570" w:lineRule="exact"/>
        <w:ind w:firstLine="640" w:firstLineChars="200"/>
        <w:jc w:val="left"/>
        <w:outlineLvl w:val="0"/>
        <w:rPr>
          <w:rFonts w:eastAsia="黑体"/>
          <w:sz w:val="32"/>
          <w:szCs w:val="32"/>
        </w:rPr>
      </w:pPr>
    </w:p>
    <w:p>
      <w:pPr>
        <w:spacing w:line="570" w:lineRule="exact"/>
        <w:ind w:firstLine="645"/>
        <w:jc w:val="left"/>
        <w:outlineLvl w:val="0"/>
        <w:rPr>
          <w:rFonts w:eastAsia="黑体"/>
          <w:sz w:val="32"/>
          <w:szCs w:val="32"/>
        </w:rPr>
      </w:pPr>
      <w:r>
        <w:rPr>
          <w:rFonts w:eastAsia="黑体"/>
          <w:sz w:val="32"/>
          <w:szCs w:val="32"/>
        </w:rPr>
        <w:t>九、部门整体支出绩效自评结果拟应用和公开情况</w:t>
      </w:r>
    </w:p>
    <w:p>
      <w:pPr>
        <w:spacing w:line="570" w:lineRule="exact"/>
        <w:ind w:firstLine="645"/>
        <w:jc w:val="left"/>
        <w:rPr>
          <w:rFonts w:hint="eastAsia" w:eastAsia="黑体"/>
          <w:sz w:val="32"/>
          <w:szCs w:val="32"/>
        </w:rPr>
      </w:pPr>
      <w:r>
        <w:rPr>
          <w:rFonts w:eastAsia="黑体"/>
          <w:sz w:val="32"/>
          <w:szCs w:val="32"/>
        </w:rPr>
        <w:t>其他需要说明的情况</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86A2C"/>
    <w:multiLevelType w:val="singleLevel"/>
    <w:tmpl w:val="C9C86A2C"/>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E74966"/>
    <w:rsid w:val="092959CA"/>
    <w:rsid w:val="09AA26F7"/>
    <w:rsid w:val="0AE9478C"/>
    <w:rsid w:val="0F9242C9"/>
    <w:rsid w:val="100827DD"/>
    <w:rsid w:val="10446ABD"/>
    <w:rsid w:val="114C0585"/>
    <w:rsid w:val="117B6FDE"/>
    <w:rsid w:val="19DF68CF"/>
    <w:rsid w:val="1A9D7E9A"/>
    <w:rsid w:val="1BD46B73"/>
    <w:rsid w:val="1D4A7F6D"/>
    <w:rsid w:val="1E462054"/>
    <w:rsid w:val="1ECC422C"/>
    <w:rsid w:val="1F4F0EF6"/>
    <w:rsid w:val="1FB738D7"/>
    <w:rsid w:val="220D5A31"/>
    <w:rsid w:val="35683252"/>
    <w:rsid w:val="3FE457A9"/>
    <w:rsid w:val="4339622E"/>
    <w:rsid w:val="43672812"/>
    <w:rsid w:val="437E5E50"/>
    <w:rsid w:val="43DD4E71"/>
    <w:rsid w:val="47C40BCC"/>
    <w:rsid w:val="48AC74A2"/>
    <w:rsid w:val="4BDB2E1E"/>
    <w:rsid w:val="4E4B32B9"/>
    <w:rsid w:val="4FCC0E87"/>
    <w:rsid w:val="561F7505"/>
    <w:rsid w:val="5777D4F5"/>
    <w:rsid w:val="5BBE2E70"/>
    <w:rsid w:val="5C5E240A"/>
    <w:rsid w:val="5F8F08CA"/>
    <w:rsid w:val="5FC6BB1E"/>
    <w:rsid w:val="5FF720F1"/>
    <w:rsid w:val="609B351E"/>
    <w:rsid w:val="619F774C"/>
    <w:rsid w:val="63A52889"/>
    <w:rsid w:val="63BC3C04"/>
    <w:rsid w:val="64A54408"/>
    <w:rsid w:val="67F56318"/>
    <w:rsid w:val="6867534E"/>
    <w:rsid w:val="68961453"/>
    <w:rsid w:val="6B545ECD"/>
    <w:rsid w:val="6C1F24CF"/>
    <w:rsid w:val="6D0E098B"/>
    <w:rsid w:val="6ED76777"/>
    <w:rsid w:val="6EF96718"/>
    <w:rsid w:val="6F9B0B8C"/>
    <w:rsid w:val="6FEF0BED"/>
    <w:rsid w:val="6FFC0380"/>
    <w:rsid w:val="71B46CD8"/>
    <w:rsid w:val="72C62D8B"/>
    <w:rsid w:val="72CE36C9"/>
    <w:rsid w:val="737547B1"/>
    <w:rsid w:val="737D59BA"/>
    <w:rsid w:val="73886292"/>
    <w:rsid w:val="76373F9F"/>
    <w:rsid w:val="77B06588"/>
    <w:rsid w:val="77C37683"/>
    <w:rsid w:val="794B5C15"/>
    <w:rsid w:val="79FF515B"/>
    <w:rsid w:val="7CB71996"/>
    <w:rsid w:val="7DFC7BC5"/>
    <w:rsid w:val="7E5B1968"/>
    <w:rsid w:val="7E9F11B4"/>
    <w:rsid w:val="7EF24F07"/>
    <w:rsid w:val="7F3F1689"/>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kern w:val="0"/>
      <w:sz w:val="24"/>
      <w:szCs w:val="22"/>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8375</Words>
  <Characters>9563</Characters>
  <Lines>63</Lines>
  <Paragraphs>18</Paragraphs>
  <TotalTime>1</TotalTime>
  <ScaleCrop>false</ScaleCrop>
  <LinksUpToDate>false</LinksUpToDate>
  <CharactersWithSpaces>10563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2023-09-22T05:15:43Z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43CF9772F8434A7B9AE731652505DB69_12</vt:lpwstr>
  </property>
</Properties>
</file>