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3360" w:firstLineChars="700"/>
        <w:jc w:val="both"/>
        <w:rPr>
          <w:rFonts w:hint="eastAsia"/>
          <w:sz w:val="48"/>
          <w:szCs w:val="48"/>
          <w:lang w:eastAsia="zh-CN"/>
        </w:rPr>
      </w:pPr>
    </w:p>
    <w:p>
      <w:pPr>
        <w:pStyle w:val="10"/>
        <w:ind w:firstLine="3360" w:firstLineChars="7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就业服务中心</w:t>
      </w:r>
      <w:r>
        <w:rPr>
          <w:rFonts w:hint="eastAsia"/>
          <w:sz w:val="48"/>
          <w:szCs w:val="48"/>
          <w:lang w:eastAsia="zh-CN"/>
        </w:rPr>
        <w:t>单位</w:t>
      </w:r>
      <w:r>
        <w:rPr>
          <w:rFonts w:hint="eastAsia"/>
          <w:sz w:val="48"/>
          <w:szCs w:val="48"/>
          <w:lang w:val="en-US" w:eastAsia="zh-CN"/>
        </w:rPr>
        <w:t>2022</w:t>
      </w:r>
      <w:r>
        <w:rPr>
          <w:rFonts w:hint="eastAsia"/>
          <w:sz w:val="48"/>
          <w:szCs w:val="48"/>
          <w:lang w:eastAsia="zh-CN"/>
        </w:rPr>
        <w:t>年度部门决算公开</w:t>
      </w:r>
    </w:p>
    <w:p>
      <w:pPr>
        <w:pStyle w:val="10"/>
        <w:spacing w:line="540" w:lineRule="exact"/>
        <w:jc w:val="center"/>
        <w:rPr>
          <w:sz w:val="56"/>
          <w:szCs w:val="56"/>
        </w:rPr>
      </w:pPr>
    </w:p>
    <w:p>
      <w:pPr>
        <w:pStyle w:val="10"/>
        <w:spacing w:line="500" w:lineRule="exact"/>
        <w:ind w:firstLine="6144" w:firstLineChars="1700"/>
        <w:jc w:val="both"/>
        <w:rPr>
          <w:rFonts w:hint="eastAsia"/>
          <w:b/>
          <w:sz w:val="36"/>
          <w:szCs w:val="28"/>
        </w:rPr>
      </w:pPr>
    </w:p>
    <w:p>
      <w:pPr>
        <w:pStyle w:val="10"/>
        <w:spacing w:line="500" w:lineRule="exact"/>
        <w:ind w:firstLine="6626" w:firstLineChars="1500"/>
        <w:jc w:val="both"/>
        <w:rPr>
          <w:b/>
          <w:sz w:val="36"/>
          <w:szCs w:val="28"/>
        </w:rPr>
      </w:pPr>
      <w:r>
        <w:rPr>
          <w:rFonts w:hint="eastAsia"/>
          <w:b/>
          <w:sz w:val="44"/>
          <w:szCs w:val="44"/>
        </w:rPr>
        <w:t>目录</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就业服务中心</w:t>
      </w:r>
      <w:r>
        <w:rPr>
          <w:rFonts w:hint="eastAsia" w:ascii="黑体" w:hAnsi="黑体" w:eastAsia="黑体" w:cs="黑体"/>
          <w:b/>
          <w:bCs w:val="0"/>
          <w:sz w:val="28"/>
          <w:szCs w:val="28"/>
          <w:lang w:eastAsia="zh-CN"/>
        </w:rPr>
        <w:t>部门（</w:t>
      </w:r>
      <w:r>
        <w:rPr>
          <w:rFonts w:hint="eastAsia" w:ascii="黑体" w:hAnsi="黑体" w:eastAsia="黑体" w:cs="黑体"/>
          <w:b/>
          <w:bCs w:val="0"/>
          <w:sz w:val="28"/>
          <w:szCs w:val="28"/>
        </w:rPr>
        <w:t>单位</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0"/>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就业服务中心</w:t>
      </w:r>
      <w:r>
        <w:rPr>
          <w:rFonts w:hint="eastAsia" w:ascii="黑体" w:hAnsi="黑体" w:eastAsia="黑体" w:cs="黑体"/>
          <w:b/>
          <w:bCs/>
          <w:sz w:val="32"/>
          <w:szCs w:val="32"/>
        </w:rPr>
        <w:t>单位概况</w:t>
      </w:r>
    </w:p>
    <w:p>
      <w:pPr>
        <w:pStyle w:val="1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(一)参与制定并组织实施全县就业服务发展规划，为指导推进全县公共就业服务体系建设提供相关服务。</w:t>
      </w:r>
    </w:p>
    <w:p>
      <w:pPr>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二)承担贯彻落实促进就业各项政策措施的相关事务性工作，为高校毕业生、登记失业人员、农村劳动力及就业困难人员等群体提供政策咨询、岗位信息、就业失业与求职登记、技能培训、职业指导、就业援助等公共就业服务。</w:t>
      </w:r>
    </w:p>
    <w:p>
      <w:pPr>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三)负责全县城乡劳动力就业再就业的管理与服务，组织开展职业介绍、职业培训、职业指导、就业援助、劳务输出、就业失业登记、困难就业人员身份认定、零就业家庭成员认定、下岗失业人员档案管理、灵活就业人员认定及社保补贴申领发放、公益岗位的开发管理、乡镇、社区(村)劳动保障平台建设管理等服务性工作。</w:t>
      </w:r>
    </w:p>
    <w:p>
      <w:pPr>
        <w:ind w:firstLine="627" w:firstLineChars="196"/>
        <w:rPr>
          <w:rFonts w:hint="eastAsia" w:ascii="仿宋" w:hAnsi="仿宋" w:eastAsia="仿宋" w:cs="仿宋"/>
          <w:kern w:val="0"/>
          <w:sz w:val="32"/>
          <w:szCs w:val="32"/>
        </w:rPr>
      </w:pPr>
      <w:r>
        <w:rPr>
          <w:rFonts w:hint="eastAsia" w:ascii="仿宋" w:hAnsi="仿宋" w:eastAsia="仿宋" w:cs="仿宋"/>
          <w:kern w:val="0"/>
          <w:sz w:val="32"/>
          <w:szCs w:val="32"/>
        </w:rPr>
        <w:t>(四)承担贯彻落实创业带动就业政策措施的相关事务性工作，为各类群体开展创新创业活动提供创业培训、创业指导和创业担保贷款等创业服务。</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(五)承担全县职业技能培训的相关事务性工作，为培训机构和用人单位开展就业前培训、在职培训提供培训服务。</w:t>
      </w:r>
      <w:r>
        <w:rPr>
          <w:rFonts w:hint="eastAsia" w:ascii="仿宋" w:hAnsi="仿宋" w:eastAsia="仿宋" w:cs="仿宋"/>
          <w:kern w:val="0"/>
          <w:sz w:val="32"/>
          <w:szCs w:val="32"/>
          <w:lang w:val="en-US" w:eastAsia="zh-CN"/>
        </w:rPr>
        <w:t xml:space="preserve">      </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(六)承办县直企事业等单位失业保险经办服务工作；承担贯彻落实失业保险各项政策的相关事务性工作；承办全县就业失业相关统计分析，组织实施就业和失业信息监测及失业预警工作。</w:t>
      </w:r>
    </w:p>
    <w:p>
      <w:pPr>
        <w:widowControl/>
        <w:spacing w:line="600" w:lineRule="exact"/>
        <w:ind w:firstLine="320" w:firstLineChars="100"/>
        <w:rPr>
          <w:rFonts w:hint="eastAsia" w:ascii="仿宋" w:hAnsi="仿宋" w:eastAsia="仿宋" w:cs="仿宋"/>
          <w:kern w:val="0"/>
          <w:sz w:val="32"/>
          <w:szCs w:val="32"/>
        </w:rPr>
      </w:pPr>
      <w:r>
        <w:rPr>
          <w:rFonts w:hint="eastAsia" w:ascii="仿宋" w:hAnsi="仿宋" w:eastAsia="仿宋" w:cs="仿宋"/>
          <w:kern w:val="0"/>
          <w:sz w:val="32"/>
          <w:szCs w:val="32"/>
        </w:rPr>
        <w:t>(七)承办县人社局交办的其他事项。</w:t>
      </w:r>
    </w:p>
    <w:p>
      <w:pPr>
        <w:widowControl/>
        <w:spacing w:line="600" w:lineRule="exact"/>
        <w:ind w:firstLine="320" w:firstLineChars="1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5"/>
        <w:spacing w:beforeAutospacing="0" w:afterAutospacing="0" w:line="600" w:lineRule="exact"/>
        <w:ind w:firstLine="640" w:firstLineChars="200"/>
        <w:jc w:val="both"/>
        <w:rPr>
          <w:rFonts w:hint="eastAsia" w:ascii="仿宋" w:hAnsi="仿宋" w:eastAsia="仿宋" w:cs="仿宋"/>
          <w:sz w:val="32"/>
          <w:szCs w:val="32"/>
          <w:shd w:val="clear" w:color="auto" w:fill="F6F6F6"/>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就业服务中心</w:t>
      </w:r>
      <w:r>
        <w:rPr>
          <w:rFonts w:hint="eastAsia" w:ascii="Times New Roman" w:hAnsi="Times New Roman" w:eastAsia="仿宋_GB2312" w:cs="仿宋_GB2312"/>
          <w:bCs/>
          <w:kern w:val="0"/>
          <w:sz w:val="32"/>
          <w:szCs w:val="32"/>
        </w:rPr>
        <w:t>单位内设机构包括：</w:t>
      </w:r>
      <w:r>
        <w:rPr>
          <w:rFonts w:hint="eastAsia" w:ascii="仿宋" w:hAnsi="仿宋" w:eastAsia="仿宋" w:cs="仿宋"/>
          <w:sz w:val="32"/>
          <w:szCs w:val="32"/>
          <w:shd w:val="clear" w:color="auto" w:fill="F6F6F6"/>
        </w:rPr>
        <w:t>根据编委核定，我</w:t>
      </w:r>
      <w:r>
        <w:rPr>
          <w:rFonts w:hint="eastAsia" w:ascii="仿宋" w:hAnsi="仿宋" w:eastAsia="仿宋" w:cs="仿宋"/>
          <w:sz w:val="32"/>
          <w:szCs w:val="32"/>
          <w:shd w:val="clear" w:color="auto" w:fill="F6F6F6"/>
          <w:lang w:val="en-US" w:eastAsia="zh-CN"/>
        </w:rPr>
        <w:t>中心</w:t>
      </w:r>
      <w:r>
        <w:rPr>
          <w:rFonts w:hint="eastAsia" w:ascii="仿宋" w:hAnsi="仿宋" w:eastAsia="仿宋" w:cs="仿宋"/>
          <w:sz w:val="32"/>
          <w:szCs w:val="32"/>
          <w:shd w:val="clear" w:color="auto" w:fill="F6F6F6"/>
        </w:rPr>
        <w:t>内设股室</w:t>
      </w:r>
      <w:r>
        <w:rPr>
          <w:rFonts w:hint="eastAsia" w:ascii="仿宋" w:hAnsi="仿宋" w:eastAsia="仿宋" w:cs="仿宋"/>
          <w:sz w:val="32"/>
          <w:szCs w:val="32"/>
          <w:u w:val="single"/>
          <w:shd w:val="clear" w:color="auto" w:fill="F6F6F6"/>
        </w:rPr>
        <w:t xml:space="preserve"> </w:t>
      </w:r>
      <w:r>
        <w:rPr>
          <w:rFonts w:hint="eastAsia" w:ascii="仿宋" w:hAnsi="仿宋" w:eastAsia="仿宋" w:cs="仿宋"/>
          <w:sz w:val="32"/>
          <w:szCs w:val="32"/>
          <w:u w:val="single"/>
          <w:shd w:val="clear" w:color="auto" w:fill="F6F6F6"/>
          <w:lang w:val="en-US" w:eastAsia="zh-CN"/>
        </w:rPr>
        <w:t>6</w:t>
      </w:r>
      <w:r>
        <w:rPr>
          <w:rFonts w:hint="eastAsia" w:ascii="仿宋" w:hAnsi="仿宋" w:eastAsia="仿宋" w:cs="仿宋"/>
          <w:sz w:val="32"/>
          <w:szCs w:val="32"/>
          <w:u w:val="single"/>
          <w:shd w:val="clear" w:color="auto" w:fill="F6F6F6"/>
        </w:rPr>
        <w:t xml:space="preserve"> </w:t>
      </w:r>
      <w:r>
        <w:rPr>
          <w:rFonts w:hint="eastAsia" w:ascii="仿宋" w:hAnsi="仿宋" w:eastAsia="仿宋" w:cs="仿宋"/>
          <w:sz w:val="32"/>
          <w:szCs w:val="32"/>
          <w:shd w:val="clear" w:color="auto" w:fill="F6F6F6"/>
        </w:rPr>
        <w:t>个，所属事业单位</w:t>
      </w:r>
      <w:r>
        <w:rPr>
          <w:rFonts w:hint="eastAsia" w:ascii="仿宋" w:hAnsi="仿宋" w:eastAsia="仿宋" w:cs="仿宋"/>
          <w:sz w:val="32"/>
          <w:szCs w:val="32"/>
          <w:u w:val="single"/>
          <w:shd w:val="clear" w:color="auto" w:fill="F6F6F6"/>
        </w:rPr>
        <w:t xml:space="preserve"> </w:t>
      </w:r>
      <w:r>
        <w:rPr>
          <w:rFonts w:hint="eastAsia" w:ascii="仿宋" w:hAnsi="仿宋" w:eastAsia="仿宋" w:cs="仿宋"/>
          <w:sz w:val="32"/>
          <w:szCs w:val="32"/>
          <w:u w:val="single"/>
          <w:shd w:val="clear" w:color="auto" w:fill="F6F6F6"/>
          <w:lang w:val="en-US" w:eastAsia="zh-CN"/>
        </w:rPr>
        <w:t>1</w:t>
      </w:r>
      <w:r>
        <w:rPr>
          <w:rFonts w:hint="eastAsia" w:ascii="仿宋" w:hAnsi="仿宋" w:eastAsia="仿宋" w:cs="仿宋"/>
          <w:sz w:val="32"/>
          <w:szCs w:val="32"/>
          <w:u w:val="single"/>
          <w:shd w:val="clear" w:color="auto" w:fill="F6F6F6"/>
        </w:rPr>
        <w:t xml:space="preserve"> </w:t>
      </w:r>
      <w:r>
        <w:rPr>
          <w:rFonts w:hint="eastAsia" w:ascii="仿宋" w:hAnsi="仿宋" w:eastAsia="仿宋" w:cs="仿宋"/>
          <w:sz w:val="32"/>
          <w:szCs w:val="32"/>
          <w:shd w:val="clear" w:color="auto" w:fill="F6F6F6"/>
        </w:rPr>
        <w:t>个。内设股室分别是</w:t>
      </w:r>
      <w:r>
        <w:rPr>
          <w:rFonts w:hint="eastAsia" w:ascii="仿宋" w:hAnsi="仿宋" w:eastAsia="仿宋" w:cs="仿宋"/>
          <w:sz w:val="32"/>
          <w:szCs w:val="32"/>
          <w:lang w:val="en-US" w:eastAsia="zh-CN"/>
        </w:rPr>
        <w:t>综合室</w:t>
      </w:r>
      <w:r>
        <w:rPr>
          <w:rFonts w:hint="eastAsia" w:ascii="仿宋" w:hAnsi="仿宋" w:eastAsia="仿宋" w:cs="仿宋"/>
          <w:sz w:val="32"/>
          <w:szCs w:val="32"/>
        </w:rPr>
        <w:t>、</w:t>
      </w:r>
      <w:r>
        <w:rPr>
          <w:rFonts w:hint="eastAsia" w:ascii="仿宋" w:hAnsi="仿宋" w:eastAsia="仿宋" w:cs="仿宋"/>
          <w:sz w:val="32"/>
          <w:szCs w:val="32"/>
          <w:lang w:val="en-US" w:eastAsia="zh-CN"/>
        </w:rPr>
        <w:t>创业就业服务室</w:t>
      </w:r>
      <w:r>
        <w:rPr>
          <w:rFonts w:hint="eastAsia" w:ascii="仿宋" w:hAnsi="仿宋" w:eastAsia="仿宋" w:cs="仿宋"/>
          <w:sz w:val="32"/>
          <w:szCs w:val="32"/>
        </w:rPr>
        <w:t>、</w:t>
      </w:r>
      <w:r>
        <w:rPr>
          <w:rFonts w:hint="eastAsia" w:ascii="仿宋" w:hAnsi="仿宋" w:eastAsia="仿宋" w:cs="仿宋"/>
          <w:sz w:val="32"/>
          <w:szCs w:val="32"/>
          <w:lang w:val="en-US" w:eastAsia="zh-CN"/>
        </w:rPr>
        <w:t>职业培训室</w:t>
      </w:r>
      <w:r>
        <w:rPr>
          <w:rFonts w:hint="eastAsia" w:ascii="仿宋" w:hAnsi="仿宋" w:eastAsia="仿宋" w:cs="仿宋"/>
          <w:sz w:val="32"/>
          <w:szCs w:val="32"/>
        </w:rPr>
        <w:t>、</w:t>
      </w:r>
      <w:r>
        <w:rPr>
          <w:rFonts w:hint="eastAsia" w:ascii="仿宋" w:hAnsi="仿宋" w:eastAsia="仿宋" w:cs="仿宋"/>
          <w:sz w:val="32"/>
          <w:szCs w:val="32"/>
          <w:lang w:val="en-US" w:eastAsia="zh-CN"/>
        </w:rPr>
        <w:t>信息监测室</w:t>
      </w:r>
      <w:r>
        <w:rPr>
          <w:rFonts w:hint="eastAsia" w:ascii="仿宋" w:hAnsi="仿宋" w:eastAsia="仿宋" w:cs="仿宋"/>
          <w:sz w:val="32"/>
          <w:szCs w:val="32"/>
        </w:rPr>
        <w:t>、失业保险</w:t>
      </w:r>
      <w:r>
        <w:rPr>
          <w:rFonts w:hint="eastAsia" w:ascii="仿宋" w:hAnsi="仿宋" w:eastAsia="仿宋" w:cs="仿宋"/>
          <w:sz w:val="32"/>
          <w:szCs w:val="32"/>
          <w:lang w:val="en-US" w:eastAsia="zh-CN"/>
        </w:rPr>
        <w:t>室、创业贷款担保服务室</w:t>
      </w:r>
      <w:r>
        <w:rPr>
          <w:rFonts w:hint="eastAsia" w:ascii="仿宋" w:hAnsi="仿宋" w:eastAsia="仿宋" w:cs="仿宋"/>
          <w:sz w:val="32"/>
          <w:szCs w:val="32"/>
          <w:shd w:val="clear" w:color="auto" w:fill="F6F6F6"/>
        </w:rPr>
        <w:t>。所属事业单位是</w:t>
      </w:r>
      <w:r>
        <w:rPr>
          <w:rFonts w:hint="eastAsia" w:ascii="仿宋" w:hAnsi="仿宋" w:eastAsia="仿宋" w:cs="仿宋"/>
          <w:sz w:val="32"/>
          <w:szCs w:val="32"/>
        </w:rPr>
        <w:t>培训中心。</w:t>
      </w:r>
    </w:p>
    <w:p>
      <w:pPr>
        <w:widowControl/>
        <w:spacing w:line="600" w:lineRule="exact"/>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就业服务中心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就业服务中心</w:t>
      </w:r>
      <w:r>
        <w:rPr>
          <w:rFonts w:hint="eastAsia" w:ascii="Times New Roman" w:hAnsi="Times New Roman" w:eastAsia="仿宋_GB2312" w:cs="仿宋_GB2312"/>
          <w:bCs/>
          <w:kern w:val="0"/>
          <w:sz w:val="32"/>
          <w:szCs w:val="32"/>
        </w:rPr>
        <w:t>单位本级以及</w:t>
      </w:r>
      <w:r>
        <w:rPr>
          <w:rFonts w:hint="eastAsia" w:ascii="Times New Roman" w:hAnsi="Times New Roman" w:eastAsia="仿宋_GB2312" w:cs="仿宋_GB2312"/>
          <w:bCs/>
          <w:kern w:val="0"/>
          <w:sz w:val="32"/>
          <w:szCs w:val="32"/>
          <w:lang w:val="en-US" w:eastAsia="zh-CN"/>
        </w:rPr>
        <w:t>培训中心。</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both"/>
        <w:rPr>
          <w:sz w:val="72"/>
          <w:szCs w:val="72"/>
        </w:rPr>
      </w:pPr>
    </w:p>
    <w:p>
      <w:pPr>
        <w:jc w:val="both"/>
        <w:rPr>
          <w:sz w:val="72"/>
          <w:szCs w:val="72"/>
        </w:rPr>
      </w:pPr>
    </w:p>
    <w:tbl>
      <w:tblPr>
        <w:tblStyle w:val="6"/>
        <w:tblW w:w="15737"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798" w:hRule="atLeast"/>
        </w:trPr>
        <w:tc>
          <w:tcPr>
            <w:tcW w:w="1562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9"/>
              <w:gridCol w:w="749"/>
              <w:gridCol w:w="1647"/>
              <w:gridCol w:w="4910"/>
              <w:gridCol w:w="696"/>
              <w:gridCol w:w="505"/>
              <w:gridCol w:w="989"/>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510"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40"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57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385"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61"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51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7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85"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61"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51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eastAsia="zh-CN"/>
                    </w:rPr>
                    <w:t>就业服务中心</w:t>
                  </w:r>
                  <w:r>
                    <w:rPr>
                      <w:rFonts w:ascii="Times New Roman" w:hAnsi="Times New Roman" w:eastAsia="仿宋_GB2312" w:cs="Times New Roman"/>
                      <w:color w:val="000000"/>
                      <w:kern w:val="0"/>
                      <w:szCs w:val="21"/>
                    </w:rPr>
                    <w:t xml:space="preserve"> </w:t>
                  </w:r>
                </w:p>
              </w:tc>
              <w:tc>
                <w:tcPr>
                  <w:tcW w:w="24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7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85"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61"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402" w:hRule="atLeast"/>
              </w:trPr>
              <w:tc>
                <w:tcPr>
                  <w:tcW w:w="227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276"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2959.78</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七、社会保障和就业支出</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2959.78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100" w:firstLineChars="500"/>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2959.78</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2959.78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45" w:type="pct"/>
                <w:trHeight w:val="397" w:hRule="atLeast"/>
              </w:trPr>
              <w:tc>
                <w:tcPr>
                  <w:tcW w:w="15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2959.78</w:t>
                  </w:r>
                </w:p>
              </w:tc>
              <w:tc>
                <w:tcPr>
                  <w:tcW w:w="1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2959.78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ind w:firstLine="6720" w:firstLineChars="2100"/>
              <w:jc w:val="both"/>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8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eastAsia="zh-CN"/>
              </w:rPr>
              <w:t>就业服务中心</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1181"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2,959.78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2,959.78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2,959.78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2,959.78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142.81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142.81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2080106</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142.81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142.81</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就业补助</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2,816.97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2,816.97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就业创业服务补贴</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1,215.15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1,215.15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职业培训补贴</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355.56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355.56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2080704</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437.15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437.15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2080705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564.40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564.40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2080709</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职业技能鉴定补贴</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2080711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133.29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133.29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2080713</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促进创业补贴</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71.25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71.25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2080799</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37.60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37.60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gridAfter w:val="1"/>
          <w:wAfter w:w="108" w:type="dxa"/>
          <w:trHeight w:val="615" w:hRule="atLeast"/>
        </w:trPr>
        <w:tc>
          <w:tcPr>
            <w:tcW w:w="1562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eastAsia="zh-CN"/>
              </w:rPr>
              <w:t>就业服务中心</w:t>
            </w: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2,959.78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142.81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2,816.97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2,959.78</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2,816.97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2080106</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142.81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就业补助</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2,816.97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2,816.97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2080701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就业创业服务补贴</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1,215.15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1,215.15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2080702</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职业培训补贴</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355.56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355.56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437.15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437.15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564.40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564.40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2080709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职业技能鉴定补贴</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2080711</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133.29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133.29</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2080713</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促进创业补贴</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37.60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1"/>
        <w:gridCol w:w="436"/>
        <w:gridCol w:w="1190"/>
        <w:gridCol w:w="400"/>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eastAsia="zh-CN"/>
              </w:rPr>
              <w:t>就业服务中心</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1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04"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2,959.78</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七、社会保障和就业</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2,959.78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2,959.78</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2,959.78</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2,959.78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2,959.78</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1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3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2,959.78</w:t>
            </w:r>
          </w:p>
        </w:tc>
        <w:tc>
          <w:tcPr>
            <w:tcW w:w="33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2,959.78</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2,959.78</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ind w:firstLine="4680" w:firstLineChars="1300"/>
        <w:jc w:val="both"/>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eastAsia="zh-CN"/>
        </w:rPr>
        <w:t>就业服务中心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2,959.78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142.81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2,816.97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2,959.78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2,816.97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142.81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142.81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2,816.97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2,816.97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就业创业服务补贴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1,215.15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1,215.15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职业培训补贴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355.56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355.56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437.15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564.40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564.40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职业技能鉴定补贴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133.29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133.29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2080713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促进创业补贴</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71.25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71.25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37.60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6"/>
        <w:tblW w:w="0" w:type="auto"/>
        <w:tblInd w:w="0" w:type="dxa"/>
        <w:tblLayout w:type="autofit"/>
        <w:tblCellMar>
          <w:top w:w="0" w:type="dxa"/>
          <w:left w:w="108" w:type="dxa"/>
          <w:bottom w:w="0" w:type="dxa"/>
          <w:right w:w="108" w:type="dxa"/>
        </w:tblCellMar>
      </w:tblPr>
      <w:tblGrid>
        <w:gridCol w:w="975"/>
        <w:gridCol w:w="239"/>
        <w:gridCol w:w="92"/>
        <w:gridCol w:w="1269"/>
        <w:gridCol w:w="1995"/>
        <w:gridCol w:w="79"/>
        <w:gridCol w:w="775"/>
        <w:gridCol w:w="1188"/>
        <w:gridCol w:w="300"/>
        <w:gridCol w:w="1944"/>
        <w:gridCol w:w="131"/>
        <w:gridCol w:w="617"/>
        <w:gridCol w:w="1189"/>
        <w:gridCol w:w="349"/>
        <w:gridCol w:w="2054"/>
        <w:gridCol w:w="1670"/>
        <w:gridCol w:w="455"/>
        <w:gridCol w:w="293"/>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eastAsia="zh-CN"/>
              </w:rPr>
              <w:t>就业服务中心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125.21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17.59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52.17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26.41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19.20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8.71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125.21</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17.59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Times New Roman" w:hAnsi="Times New Roman" w:eastAsia="仿宋_GB2312" w:cs="Times New Roman"/>
                <w:color w:val="000000"/>
                <w:kern w:val="0"/>
                <w:szCs w:val="21"/>
              </w:rPr>
              <w:t xml:space="preserve"> </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eastAsia="zh-CN"/>
              </w:rPr>
              <w:t>就业服务中心</w:t>
            </w: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3"/>
                <w:lang w:val="en-US" w:eastAsia="zh-CN" w:bidi="ar"/>
              </w:rPr>
              <w:t xml:space="preserve">   </w:t>
            </w:r>
            <w:r>
              <w:rPr>
                <w:rStyle w:val="14"/>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both"/>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eastAsia="zh-CN"/>
              </w:rPr>
              <w:t>就业服务中心</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5"/>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76"/>
        <w:gridCol w:w="1164"/>
        <w:gridCol w:w="1109"/>
        <w:gridCol w:w="1109"/>
        <w:gridCol w:w="1110"/>
        <w:gridCol w:w="1110"/>
        <w:gridCol w:w="1110"/>
        <w:gridCol w:w="1165"/>
        <w:gridCol w:w="1110"/>
        <w:gridCol w:w="1110"/>
        <w:gridCol w:w="1110"/>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eastAsia="zh-CN"/>
              </w:rPr>
              <w:t>就业服务中心</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0"/>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0"/>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215.59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就业资金额度下达比上年增加，一是加大了基层公共就业服务平台的建设力度，助推就业高质量发展；二是针对企业的发展需求，加大了招工用工的宣传力度，增加召开了多场巡回招聘活动；三是根据实际情况，提高了公益性岗位补贴标准，从而导致2022年的支出较2021年有所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142.81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2816.97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0"/>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215.59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就业资金额度下达比上年增加。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215.91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7.8%，主要原因：一是加大了基层公共就业服务平台的建设力度，助推就业高质量发展；二是针对企业的发展需求，加大了招工用工的宣传力度，增加召开了多场巡回招聘活动；三是根据实际情况，提高了公益性岗位补贴标准，从而导致2022年的支出较2021年有所增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165.75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（不含就业资金）</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调整预算数</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（含就业资金）</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2959.78</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就业管理事务</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142.81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142.81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就业创业服务补贴</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1215.15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1215.15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职业培训补贴</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355.56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355.56</w:t>
      </w:r>
      <w:r>
        <w:rPr>
          <w:rFonts w:hint="eastAsia" w:ascii="Times New Roman" w:hAnsi="Times New Roman" w:eastAsia="仿宋_GB2312"/>
          <w:sz w:val="32"/>
          <w:szCs w:val="32"/>
        </w:rPr>
        <w:t>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社会保险补贴</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437.15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437.15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公益性岗位补贴</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564.4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564.4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职业技能鉴定</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就业见习补贴</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133.29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133.29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促进创业补贴</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71.25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就业补助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其他就业补助支出</w:t>
      </w:r>
      <w:r>
        <w:rPr>
          <w:rFonts w:hint="eastAsia" w:ascii="Times New Roman" w:hAnsi="Times New Roman" w:eastAsia="仿宋_GB2312"/>
          <w:sz w:val="32"/>
          <w:szCs w:val="32"/>
        </w:rPr>
        <w:t>（项）。</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调整</w:t>
      </w:r>
      <w:r>
        <w:rPr>
          <w:rFonts w:hint="eastAsia" w:ascii="Times New Roman" w:hAnsi="Times New Roman" w:eastAsia="仿宋_GB2312"/>
          <w:sz w:val="32"/>
          <w:szCs w:val="32"/>
        </w:rPr>
        <w:t>预算为</w:t>
      </w:r>
      <w:r>
        <w:rPr>
          <w:rFonts w:hint="eastAsia" w:ascii="Times New Roman" w:hAnsi="Times New Roman" w:eastAsia="仿宋_GB2312"/>
          <w:sz w:val="32"/>
          <w:szCs w:val="32"/>
          <w:lang w:val="en-US" w:eastAsia="zh-CN"/>
        </w:rPr>
        <w:t>37.6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142.81</w:t>
      </w:r>
      <w:r>
        <w:rPr>
          <w:rFonts w:hint="eastAsia" w:ascii="Times New Roman" w:hAnsi="Times New Roman" w:eastAsia="仿宋_GB2312"/>
          <w:sz w:val="32"/>
          <w:szCs w:val="32"/>
        </w:rPr>
        <w:t>万元，其中：</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125.21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87.68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社会保险缴费。</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17.59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12.32</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公务接待费、差旅费、其它交通费用</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本单位无该项支出</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严格按预算执行</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0.37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14.2</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2021年由于疫情的原因公务接待减少，而2022年召开了创翼大赛、技能比赛等几项赛事，导致接待费用较上年度有所增加</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本单位无该项支出</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本单位无该项支出</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0"/>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eastAsia="zh-CN"/>
        </w:rPr>
        <w:t>本单位无该项支出。</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2.97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348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上级部门及周边县区来新</w:t>
      </w:r>
      <w:r>
        <w:rPr>
          <w:rFonts w:hint="eastAsia" w:ascii="Times New Roman" w:hAnsi="Times New Roman" w:eastAsia="仿宋_GB2312"/>
          <w:sz w:val="32"/>
          <w:szCs w:val="32"/>
          <w:lang w:val="en-US" w:eastAsia="zh-CN"/>
        </w:rPr>
        <w:t>交流学习</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新田县</w:t>
      </w:r>
      <w:r>
        <w:rPr>
          <w:rFonts w:hint="eastAsia" w:ascii="Times New Roman" w:hAnsi="Times New Roman" w:eastAsia="仿宋_GB2312"/>
          <w:sz w:val="32"/>
          <w:szCs w:val="32"/>
          <w:lang w:val="en-US" w:eastAsia="zh-CN"/>
        </w:rPr>
        <w:t>就业服务中心</w:t>
      </w:r>
      <w:r>
        <w:rPr>
          <w:rFonts w:hint="eastAsia" w:ascii="Times New Roman" w:hAnsi="Times New Roman" w:eastAsia="仿宋_GB2312"/>
          <w:sz w:val="32"/>
          <w:szCs w:val="32"/>
        </w:rPr>
        <w:t>单位本级更新公务用车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本单位无该项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0"/>
        <w:keepNext w:val="0"/>
        <w:keepLines w:val="0"/>
        <w:pageBreakBefore w:val="0"/>
        <w:widowControl w:val="0"/>
        <w:kinsoku/>
        <w:wordWrap/>
        <w:overflowPunct/>
        <w:topLinePunct w:val="0"/>
        <w:bidi w:val="0"/>
        <w:snapToGrid/>
        <w:spacing w:line="600" w:lineRule="exact"/>
        <w:textAlignment w:val="auto"/>
        <w:rPr>
          <w:rFonts w:hint="default" w:ascii="楷体" w:hAnsi="楷体" w:eastAsia="仿宋_GB2312" w:cs="楷体"/>
          <w:b/>
          <w:bCs/>
          <w:i/>
          <w:color w:val="FF0000"/>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Times New Roman" w:hAnsi="Times New Roman" w:eastAsia="仿宋_GB2312"/>
          <w:sz w:val="32"/>
          <w:szCs w:val="32"/>
          <w:lang w:val="en-US" w:eastAsia="zh-CN"/>
        </w:rPr>
        <w:t>本单位无政府性基金收支。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17.59</w:t>
      </w:r>
      <w:r>
        <w:rPr>
          <w:rFonts w:hint="eastAsia" w:ascii="Times New Roman" w:hAnsi="Times New Roman" w:eastAsia="仿宋_GB2312"/>
          <w:sz w:val="32"/>
          <w:szCs w:val="32"/>
        </w:rPr>
        <w:t>万元，比年初预算数（或者上年决算数）增加</w:t>
      </w:r>
      <w:r>
        <w:rPr>
          <w:rFonts w:hint="eastAsia" w:ascii="Times New Roman" w:hAnsi="Times New Roman" w:eastAsia="仿宋_GB2312"/>
          <w:sz w:val="32"/>
          <w:szCs w:val="32"/>
          <w:lang w:val="en-US" w:eastAsia="zh-CN"/>
        </w:rPr>
        <w:t>2.85</w:t>
      </w:r>
      <w:r>
        <w:rPr>
          <w:rFonts w:hint="eastAsia" w:ascii="Times New Roman" w:hAnsi="Times New Roman" w:eastAsia="仿宋_GB2312"/>
          <w:sz w:val="32"/>
          <w:szCs w:val="32"/>
        </w:rPr>
        <w:t>万元，增长（降低）</w:t>
      </w: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2022年就业工作量大幅增加导致机关运行经费相应增加。</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召开会议，人数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开展培训，人数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本单位本年度无会议费、培训费等支出</w:t>
      </w:r>
      <w:bookmarkStart w:id="3" w:name="_GoBack"/>
      <w:bookmarkEnd w:id="3"/>
      <w:r>
        <w:rPr>
          <w:rFonts w:hint="eastAsia" w:ascii="Times New Roman" w:hAnsi="Times New Roman" w:eastAsia="仿宋_GB2312"/>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辆，其他用车主要是……；单位价值50万元以上通用设备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根据预算绩效管理要求，我部门组织对2022 年度一般公共预算项目支出全面开展绩效自评，其中，一级项目1个，二级项目8个，共涉及资金2959.78万元，占一般公共预算项目支出总额的96%。组织对2022年度就业服务中心等0个政府性基金预算项目支出开展绩效自评，共涉及资金0万元，占政府性基金预算项目支出总额的0%。组织对2022年度就业服务中心等0个国有资本经营预算项目支出开展绩效自评，共涉及资金0 万元，占国有资本经营预算项目支出总额的0%。</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组织对0 个项目开展了部门评价，涉及一般公共预算支出0 万元，政府性基金预算支出0 万元，国有资本经营预算支出0万元。</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组织对就业局等1个单位开展整体支出绩效评价，涉及一般公共预算支出2959.78万元，政府性基金预算支出0万元。从评价情况来看，目标基本超额完成，绩效自评得分98分。</w:t>
      </w:r>
    </w:p>
    <w:p>
      <w:pPr>
        <w:pStyle w:val="1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需要进一步加强对事业单位财务内控管理制度的建立与完善，构建规范化的管理方式，从而能够更好地解决各种财务问题，保障单位内部的资金安全，确保事业单位的稳定持续发展，在社会发展中发挥更大的作用。</w:t>
      </w:r>
    </w:p>
    <w:p>
      <w:pPr>
        <w:autoSpaceDE w:val="0"/>
        <w:autoSpaceDN w:val="0"/>
        <w:adjustRightInd w:val="0"/>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w:t>
      </w:r>
    </w:p>
    <w:p>
      <w:pPr>
        <w:pStyle w:val="10"/>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0"/>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0"/>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7C552B"/>
    <w:rsid w:val="06F929C3"/>
    <w:rsid w:val="0764799E"/>
    <w:rsid w:val="079234F1"/>
    <w:rsid w:val="09AA26F7"/>
    <w:rsid w:val="0C994C14"/>
    <w:rsid w:val="0DAB0592"/>
    <w:rsid w:val="11724125"/>
    <w:rsid w:val="190D5B08"/>
    <w:rsid w:val="1A160C4A"/>
    <w:rsid w:val="1E2067DB"/>
    <w:rsid w:val="1EC024D4"/>
    <w:rsid w:val="1ECC422C"/>
    <w:rsid w:val="1F4F0EF6"/>
    <w:rsid w:val="21921F06"/>
    <w:rsid w:val="25937F1E"/>
    <w:rsid w:val="2745441A"/>
    <w:rsid w:val="2C9C591D"/>
    <w:rsid w:val="2D0637A8"/>
    <w:rsid w:val="2D142B45"/>
    <w:rsid w:val="2DFD2DFD"/>
    <w:rsid w:val="2EB060C2"/>
    <w:rsid w:val="3273368E"/>
    <w:rsid w:val="35FB157F"/>
    <w:rsid w:val="376757E5"/>
    <w:rsid w:val="37F52D97"/>
    <w:rsid w:val="3C7474B8"/>
    <w:rsid w:val="3D3E63C8"/>
    <w:rsid w:val="3E1C2E2C"/>
    <w:rsid w:val="3FE457A9"/>
    <w:rsid w:val="404E2B13"/>
    <w:rsid w:val="414F52C6"/>
    <w:rsid w:val="43E64581"/>
    <w:rsid w:val="48555B2A"/>
    <w:rsid w:val="49C5081B"/>
    <w:rsid w:val="4C242682"/>
    <w:rsid w:val="4D0B4C1E"/>
    <w:rsid w:val="511E6A63"/>
    <w:rsid w:val="5777D4F5"/>
    <w:rsid w:val="5F8F08CA"/>
    <w:rsid w:val="5FC6BB1E"/>
    <w:rsid w:val="5FF720F1"/>
    <w:rsid w:val="609B351E"/>
    <w:rsid w:val="61A36952"/>
    <w:rsid w:val="64A54408"/>
    <w:rsid w:val="658C0D2B"/>
    <w:rsid w:val="66C7577B"/>
    <w:rsid w:val="67697834"/>
    <w:rsid w:val="6EF96718"/>
    <w:rsid w:val="6F9B0B8C"/>
    <w:rsid w:val="6FB17AD6"/>
    <w:rsid w:val="70CE5958"/>
    <w:rsid w:val="737D59BA"/>
    <w:rsid w:val="74277859"/>
    <w:rsid w:val="77B06588"/>
    <w:rsid w:val="77C37683"/>
    <w:rsid w:val="79FF515B"/>
    <w:rsid w:val="7D302013"/>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7781</Words>
  <Characters>9988</Characters>
  <Lines>63</Lines>
  <Paragraphs>18</Paragraphs>
  <TotalTime>2</TotalTime>
  <ScaleCrop>false</ScaleCrop>
  <LinksUpToDate>false</LinksUpToDate>
  <CharactersWithSpaces>10858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2023-09-22T05:13:20Z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2BC2C5EE58114880B1870D71F1AA8592_12</vt:lpwstr>
  </property>
</Properties>
</file>