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ind w:firstLine="3360" w:firstLineChars="700"/>
        <w:jc w:val="both"/>
        <w:rPr>
          <w:rFonts w:hint="eastAsia"/>
          <w:sz w:val="48"/>
          <w:szCs w:val="48"/>
          <w:lang w:eastAsia="zh-CN"/>
        </w:rPr>
      </w:pPr>
    </w:p>
    <w:p>
      <w:pPr>
        <w:pStyle w:val="11"/>
        <w:ind w:firstLine="3360" w:firstLineChars="700"/>
        <w:jc w:val="both"/>
        <w:rPr>
          <w:sz w:val="48"/>
          <w:szCs w:val="48"/>
        </w:rPr>
      </w:pPr>
      <w:r>
        <w:rPr>
          <w:rFonts w:hint="eastAsia"/>
          <w:sz w:val="48"/>
          <w:szCs w:val="48"/>
          <w:lang w:eastAsia="zh-CN"/>
        </w:rPr>
        <w:t>新田县计划生育协会</w:t>
      </w:r>
      <w:r>
        <w:rPr>
          <w:rFonts w:hint="eastAsia"/>
          <w:sz w:val="48"/>
          <w:szCs w:val="48"/>
          <w:lang w:val="en-US" w:eastAsia="zh-CN"/>
        </w:rPr>
        <w:t>2022</w:t>
      </w:r>
      <w:r>
        <w:rPr>
          <w:rFonts w:hint="eastAsia"/>
          <w:sz w:val="48"/>
          <w:szCs w:val="48"/>
          <w:lang w:eastAsia="zh-CN"/>
        </w:rPr>
        <w:t>年度部门决算公开</w:t>
      </w:r>
    </w:p>
    <w:p>
      <w:pPr>
        <w:pStyle w:val="11"/>
        <w:spacing w:line="500" w:lineRule="exact"/>
        <w:ind w:firstLine="6144" w:firstLineChars="1700"/>
        <w:jc w:val="both"/>
        <w:rPr>
          <w:rFonts w:hint="eastAsia"/>
          <w:b/>
          <w:sz w:val="36"/>
          <w:szCs w:val="28"/>
        </w:rPr>
      </w:pPr>
    </w:p>
    <w:p>
      <w:pPr>
        <w:pStyle w:val="11"/>
        <w:spacing w:line="500" w:lineRule="exact"/>
        <w:ind w:firstLine="6626" w:firstLineChars="1500"/>
        <w:jc w:val="both"/>
        <w:rPr>
          <w:b/>
          <w:sz w:val="36"/>
          <w:szCs w:val="28"/>
        </w:rPr>
      </w:pPr>
      <w:r>
        <w:rPr>
          <w:rFonts w:hint="eastAsia"/>
          <w:b/>
          <w:sz w:val="44"/>
          <w:szCs w:val="44"/>
        </w:rPr>
        <w:t>目录</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hAnsi="黑体" w:cs="黑体"/>
          <w:b/>
          <w:bCs w:val="0"/>
          <w:sz w:val="28"/>
          <w:szCs w:val="28"/>
          <w:lang w:eastAsia="zh-CN"/>
        </w:rPr>
        <w:t>新田县计划生育协会</w:t>
      </w:r>
      <w:r>
        <w:rPr>
          <w:rFonts w:hint="eastAsia" w:ascii="黑体" w:hAnsi="黑体" w:eastAsia="黑体" w:cs="黑体"/>
          <w:b/>
          <w:bCs w:val="0"/>
          <w:sz w:val="28"/>
          <w:szCs w:val="28"/>
          <w:lang w:eastAsia="zh-CN"/>
        </w:rPr>
        <w:t>部门（</w:t>
      </w:r>
      <w:r>
        <w:rPr>
          <w:rFonts w:hint="eastAsia" w:ascii="黑体" w:hAnsi="黑体" w:eastAsia="黑体" w:cs="黑体"/>
          <w:b/>
          <w:bCs w:val="0"/>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1"/>
        <w:spacing w:line="500" w:lineRule="exact"/>
        <w:rPr>
          <w:rFonts w:hint="eastAsia" w:ascii="黑体" w:hAnsi="黑体" w:eastAsia="黑体" w:cs="黑体"/>
          <w:b w:val="0"/>
          <w:bCs/>
          <w:sz w:val="28"/>
          <w:szCs w:val="28"/>
        </w:rPr>
      </w:pP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11"/>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11"/>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11"/>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新田县计划生育协会</w:t>
      </w:r>
      <w:r>
        <w:rPr>
          <w:rFonts w:hint="eastAsia" w:ascii="黑体" w:hAnsi="黑体" w:eastAsia="黑体" w:cs="黑体"/>
          <w:b/>
          <w:bCs/>
          <w:sz w:val="32"/>
          <w:szCs w:val="32"/>
        </w:rPr>
        <w:t>单位概况</w:t>
      </w:r>
    </w:p>
    <w:p>
      <w:pPr>
        <w:pStyle w:val="12"/>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rPr>
        <w:t>（一）</w:t>
      </w:r>
      <w:r>
        <w:rPr>
          <w:rFonts w:hint="eastAsia" w:ascii="Times New Roman" w:hAnsi="Times New Roman" w:eastAsia="仿宋_GB2312" w:cs="仿宋_GB2312"/>
          <w:sz w:val="32"/>
          <w:szCs w:val="32"/>
          <w:lang w:eastAsia="zh-CN"/>
        </w:rPr>
        <w:t>贯彻《中华人民共和国人口与计划生育法》和国家相关法律法规政策，协助政府统筹解决人口问题，促进人口长期均衡发展。</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（二）全心全意服务育龄群众和计划生育家庭，发挥带头、宣传、服务、监督、交流作用，动员和组织广大群众参与人口发展、生殖健康、计划生育和家庭保健。</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（三）开展群众性宣传工作，普及生殖健康、计划生育等和科学知识和信息，倡导科学、文明、健康的婚育观念，提高群众实行计划生育的自觉性。</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（四）拓展服务领域，推进生育关怀行动，为广大育龄群众和计划生育家庭福利。</w:t>
      </w:r>
    </w:p>
    <w:p>
      <w:pPr>
        <w:ind w:firstLine="640" w:firstLineChars="200"/>
        <w:jc w:val="left"/>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（五）推进人口计划生育基层群众自治，教育、引导广大群众自觉实行计划生育，反映群众在生殖健康计划生育等方面的诉求，依法维护群众的合法权益。</w:t>
      </w:r>
    </w:p>
    <w:p>
      <w:pPr>
        <w:ind w:firstLine="640" w:firstLineChars="200"/>
        <w:jc w:val="lef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eastAsia="zh-CN"/>
        </w:rPr>
        <w:t>（六）完成县委、县人民政府交办的其他事项。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rPr>
          <w:rFonts w:asciiTheme="minorEastAsia" w:hAnsiTheme="minorEastAsia"/>
          <w:sz w:val="28"/>
          <w:szCs w:val="28"/>
        </w:rPr>
      </w:pPr>
      <w:r>
        <w:rPr>
          <w:rFonts w:hint="eastAsia" w:ascii="Times New Roman" w:hAnsi="Times New Roman" w:eastAsia="仿宋_GB2312" w:cs="仿宋_GB2312"/>
          <w:bCs/>
          <w:kern w:val="0"/>
          <w:sz w:val="32"/>
          <w:szCs w:val="32"/>
        </w:rPr>
        <w:t>（一）内设机构设置。新田县计划生育协会内设机构包括：办公室、综合服务部。</w:t>
      </w:r>
    </w:p>
    <w:p>
      <w:pPr>
        <w:jc w:val="center"/>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新田县计划生育协会</w:t>
      </w:r>
      <w:r>
        <w:rPr>
          <w:rFonts w:hint="eastAsia" w:ascii="Times New Roman" w:hAnsi="Times New Roman" w:eastAsia="仿宋_GB2312" w:cs="仿宋_GB2312"/>
          <w:bCs/>
          <w:kern w:val="0"/>
          <w:sz w:val="32"/>
          <w:szCs w:val="32"/>
        </w:rPr>
        <w:t>单位202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：新田县计划生育协会本级</w:t>
      </w:r>
    </w:p>
    <w:p>
      <w:pPr>
        <w:jc w:val="both"/>
        <w:rPr>
          <w:sz w:val="72"/>
          <w:szCs w:val="72"/>
        </w:rPr>
      </w:pPr>
    </w:p>
    <w:tbl>
      <w:tblPr>
        <w:tblStyle w:val="6"/>
        <w:tblW w:w="15219" w:type="dxa"/>
        <w:tblInd w:w="317" w:type="dxa"/>
        <w:tblLayout w:type="autofit"/>
        <w:tblCellMar>
          <w:top w:w="0" w:type="dxa"/>
          <w:left w:w="0" w:type="dxa"/>
          <w:bottom w:w="0" w:type="dxa"/>
          <w:right w:w="0" w:type="dxa"/>
        </w:tblCellMar>
      </w:tblPr>
      <w:tblGrid>
        <w:gridCol w:w="247"/>
        <w:gridCol w:w="529"/>
        <w:gridCol w:w="108"/>
        <w:gridCol w:w="1837"/>
        <w:gridCol w:w="108"/>
        <w:gridCol w:w="1629"/>
        <w:gridCol w:w="108"/>
        <w:gridCol w:w="1629"/>
        <w:gridCol w:w="108"/>
        <w:gridCol w:w="1629"/>
        <w:gridCol w:w="108"/>
        <w:gridCol w:w="1629"/>
        <w:gridCol w:w="108"/>
        <w:gridCol w:w="1629"/>
        <w:gridCol w:w="108"/>
        <w:gridCol w:w="1629"/>
        <w:gridCol w:w="108"/>
        <w:gridCol w:w="2354"/>
        <w:gridCol w:w="108"/>
      </w:tblGrid>
      <w:tr>
        <w:tblPrEx>
          <w:tblCellMar>
            <w:top w:w="0" w:type="dxa"/>
            <w:left w:w="0" w:type="dxa"/>
            <w:bottom w:w="0" w:type="dxa"/>
            <w:right w:w="0" w:type="dxa"/>
          </w:tblCellMar>
        </w:tblPrEx>
        <w:trPr>
          <w:gridAfter w:val="1"/>
          <w:wAfter w:w="108" w:type="dxa"/>
          <w:trHeight w:val="435" w:hRule="atLeast"/>
        </w:trPr>
        <w:tc>
          <w:tcPr>
            <w:tcW w:w="15111" w:type="dxa"/>
            <w:gridSpan w:val="18"/>
            <w:tcBorders>
              <w:top w:val="nil"/>
              <w:left w:val="nil"/>
              <w:bottom w:val="nil"/>
              <w:right w:val="nil"/>
            </w:tcBorders>
            <w:shd w:val="clear" w:color="auto" w:fill="auto"/>
            <w:noWrap/>
            <w:tcMar>
              <w:top w:w="15" w:type="dxa"/>
              <w:left w:w="15" w:type="dxa"/>
              <w:bottom w:w="0" w:type="dxa"/>
              <w:right w:w="15" w:type="dxa"/>
            </w:tcMar>
            <w:vAlign w:val="center"/>
          </w:tcPr>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91"/>
              <w:gridCol w:w="616"/>
              <w:gridCol w:w="1408"/>
              <w:gridCol w:w="5092"/>
              <w:gridCol w:w="1168"/>
              <w:gridCol w:w="466"/>
              <w:gridCol w:w="470"/>
              <w:gridCol w:w="1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444" w:type="pct"/>
                  <w:tcBorders>
                    <w:top w:val="nil"/>
                    <w:left w:val="nil"/>
                    <w:bottom w:val="nil"/>
                    <w:right w:val="nil"/>
                  </w:tcBorders>
                  <w:shd w:val="clear" w:color="auto" w:fill="auto"/>
                  <w:noWrap/>
                  <w:vAlign w:val="center"/>
                </w:tcPr>
                <w:p>
                  <w:pPr>
                    <w:jc w:val="left"/>
                    <w:rPr>
                      <w:rFonts w:hint="eastAsia" w:ascii="黑体" w:hAnsi="宋体" w:eastAsia="黑体" w:cs="黑体"/>
                      <w:i w:val="0"/>
                      <w:color w:val="000000"/>
                      <w:sz w:val="24"/>
                      <w:szCs w:val="24"/>
                      <w:u w:val="none"/>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c>
              <w:tc>
                <w:tcPr>
                  <w:tcW w:w="194"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auto"/>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auto"/>
                  <w:noWrap/>
                  <w:vAlign w:val="center"/>
                </w:tcPr>
                <w:p>
                  <w:pPr>
                    <w:jc w:val="right"/>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9"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1444" w:type="pct"/>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p>
              </w:tc>
              <w:tc>
                <w:tcPr>
                  <w:tcW w:w="194"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453"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1637" w:type="pct"/>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524" w:type="pct"/>
                  <w:gridSpan w:val="2"/>
                  <w:tcBorders>
                    <w:top w:val="nil"/>
                    <w:left w:val="nil"/>
                    <w:bottom w:val="nil"/>
                    <w:right w:val="nil"/>
                  </w:tcBorders>
                  <w:shd w:val="clear" w:color="auto" w:fill="FFFFFF"/>
                  <w:noWrap/>
                  <w:vAlign w:val="center"/>
                </w:tcPr>
                <w:p>
                  <w:pPr>
                    <w:jc w:val="right"/>
                    <w:rPr>
                      <w:rFonts w:hint="eastAsia" w:ascii="宋体" w:hAnsi="宋体" w:eastAsia="宋体" w:cs="宋体"/>
                      <w:i w:val="0"/>
                      <w:color w:val="000000"/>
                      <w:sz w:val="24"/>
                      <w:szCs w:val="24"/>
                      <w:u w:val="none"/>
                    </w:rPr>
                  </w:pPr>
                </w:p>
              </w:tc>
              <w:tc>
                <w:tcPr>
                  <w:tcW w:w="745" w:type="pct"/>
                  <w:gridSpan w:val="2"/>
                  <w:tcBorders>
                    <w:top w:val="nil"/>
                    <w:left w:val="nil"/>
                    <w:bottom w:val="nil"/>
                    <w:right w:val="nil"/>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2092"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2309" w:type="pct"/>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color w:val="000000"/>
                      <w:sz w:val="24"/>
                      <w:szCs w:val="24"/>
                      <w:u w:val="none"/>
                    </w:rPr>
                  </w:pP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292.31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color w:val="000000"/>
                      <w:sz w:val="22"/>
                      <w:szCs w:val="22"/>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0"/>
                      <w:szCs w:val="20"/>
                      <w:u w:val="none"/>
                    </w:rPr>
                  </w:pP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292.31</w:t>
                  </w: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color w:val="000000"/>
                      <w:sz w:val="22"/>
                      <w:szCs w:val="22"/>
                      <w:u w:val="none"/>
                    </w:rPr>
                  </w:pPr>
                </w:p>
              </w:tc>
              <w:tc>
                <w:tcPr>
                  <w:tcW w:w="16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98" w:type="pct"/>
                <w:trHeight w:val="397" w:hRule="atLeast"/>
              </w:trPr>
              <w:tc>
                <w:tcPr>
                  <w:tcW w:w="144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9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292.31</w:t>
                  </w:r>
                </w:p>
              </w:tc>
              <w:tc>
                <w:tcPr>
                  <w:tcW w:w="163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宋体" w:hAnsi="宋体" w:eastAsia="宋体" w:cs="宋体"/>
                      <w:b/>
                      <w:i w:val="0"/>
                      <w:color w:val="000000"/>
                      <w:sz w:val="22"/>
                      <w:szCs w:val="22"/>
                      <w:u w:val="none"/>
                      <w:lang w:val="en-US" w:eastAsia="zh-CN"/>
                    </w:rPr>
                  </w:pPr>
                  <w:r>
                    <w:rPr>
                      <w:rFonts w:hint="eastAsia" w:ascii="宋体" w:hAnsi="宋体" w:eastAsia="宋体" w:cs="宋体"/>
                      <w:b/>
                      <w:i w:val="0"/>
                      <w:color w:val="000000"/>
                      <w:sz w:val="22"/>
                      <w:szCs w:val="22"/>
                      <w:u w:val="none"/>
                      <w:lang w:val="en-US" w:eastAsia="zh-CN"/>
                    </w:rPr>
                    <w:t>292.31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tc>
            </w:tr>
          </w:tbl>
          <w:p>
            <w:pPr>
              <w:jc w:val="center"/>
              <w:rPr>
                <w:rFonts w:hint="eastAsia" w:ascii="华文中宋" w:hAnsi="华文中宋" w:eastAsia="华文中宋"/>
                <w:color w:val="000000"/>
                <w:sz w:val="32"/>
                <w:szCs w:val="32"/>
              </w:rPr>
            </w:pPr>
          </w:p>
          <w:p>
            <w:pPr>
              <w:jc w:val="center"/>
              <w:rPr>
                <w:rFonts w:hint="eastAsia" w:ascii="华文中宋" w:hAnsi="华文中宋" w:eastAsia="华文中宋"/>
                <w:color w:val="000000"/>
                <w:sz w:val="32"/>
                <w:szCs w:val="32"/>
              </w:rPr>
            </w:pPr>
          </w:p>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0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gridAfter w:val="1"/>
          <w:wAfter w:w="108" w:type="dxa"/>
          <w:trHeight w:val="285" w:hRule="atLeast"/>
        </w:trPr>
        <w:tc>
          <w:tcPr>
            <w:tcW w:w="28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1945"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ascii="宋体" w:hAnsi="宋体" w:eastAsia="宋体" w:cs="宋体"/>
                <w:sz w:val="24"/>
                <w:szCs w:val="24"/>
              </w:rPr>
            </w:pP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37"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46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gridAfter w:val="1"/>
          <w:wAfter w:w="108" w:type="dxa"/>
          <w:trHeight w:val="450" w:hRule="atLeast"/>
        </w:trPr>
        <w:tc>
          <w:tcPr>
            <w:tcW w:w="28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945" w:type="dxa"/>
            <w:gridSpan w:val="2"/>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8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945" w:type="dxa"/>
            <w:gridSpan w:val="2"/>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37"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462"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3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246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gridAfter w:val="1"/>
          <w:wAfter w:w="108" w:type="dxa"/>
          <w:trHeight w:val="450" w:hRule="atLeast"/>
        </w:trPr>
        <w:tc>
          <w:tcPr>
            <w:tcW w:w="2227" w:type="dxa"/>
            <w:gridSpan w:val="4"/>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卫生健康支出</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21007</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计划生育事务</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lang w:val="en-US" w:eastAsia="zh-CN"/>
              </w:rPr>
              <w:t>292.31</w:t>
            </w:r>
            <w:r>
              <w:rPr>
                <w:rFonts w:hint="eastAsia" w:ascii="华文中宋" w:hAnsi="华文中宋" w:eastAsia="华文中宋"/>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default" w:ascii="宋体" w:hAnsi="宋体" w:cs="宋体" w:eastAsiaTheme="minorEastAsia"/>
                <w:sz w:val="24"/>
                <w:szCs w:val="24"/>
                <w:lang w:val="en-US" w:eastAsia="zh-CN"/>
              </w:rPr>
            </w:pPr>
            <w:r>
              <w:rPr>
                <w:rFonts w:hint="eastAsia"/>
              </w:rPr>
              <w:t>　</w:t>
            </w:r>
            <w:r>
              <w:rPr>
                <w:rFonts w:hint="eastAsia"/>
                <w:lang w:val="en-US" w:eastAsia="zh-CN"/>
              </w:rPr>
              <w:t>2100716</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hint="eastAsia" w:ascii="宋体" w:hAnsi="宋体" w:cs="宋体" w:eastAsiaTheme="minorEastAsia"/>
                <w:sz w:val="24"/>
                <w:szCs w:val="24"/>
                <w:lang w:eastAsia="zh-CN"/>
              </w:rPr>
            </w:pPr>
            <w:r>
              <w:rPr>
                <w:rFonts w:hint="eastAsia"/>
              </w:rPr>
              <w:t>　</w:t>
            </w:r>
            <w:r>
              <w:rPr>
                <w:rFonts w:hint="eastAsia"/>
                <w:lang w:eastAsia="zh-CN"/>
              </w:rPr>
              <w:t>计划生育机构</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292.31</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lang w:val="en-US" w:eastAsia="zh-CN"/>
              </w:rPr>
              <w:t>0</w:t>
            </w: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450" w:hRule="atLeast"/>
        </w:trPr>
        <w:tc>
          <w:tcPr>
            <w:tcW w:w="28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945"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37"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462"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gridAfter w:val="1"/>
          <w:wAfter w:w="108" w:type="dxa"/>
          <w:trHeight w:val="615" w:hRule="atLeast"/>
        </w:trPr>
        <w:tc>
          <w:tcPr>
            <w:tcW w:w="15111" w:type="dxa"/>
            <w:gridSpan w:val="18"/>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5640" w:type="dxa"/>
        <w:tblInd w:w="93" w:type="dxa"/>
        <w:tblLayout w:type="fixed"/>
        <w:tblCellMar>
          <w:top w:w="0" w:type="dxa"/>
          <w:left w:w="108" w:type="dxa"/>
          <w:bottom w:w="0" w:type="dxa"/>
          <w:right w:w="108" w:type="dxa"/>
        </w:tblCellMar>
      </w:tblPr>
      <w:tblGrid>
        <w:gridCol w:w="1259"/>
        <w:gridCol w:w="240"/>
        <w:gridCol w:w="1481"/>
        <w:gridCol w:w="1952"/>
        <w:gridCol w:w="1991"/>
        <w:gridCol w:w="1991"/>
        <w:gridCol w:w="1991"/>
        <w:gridCol w:w="1991"/>
        <w:gridCol w:w="2744"/>
      </w:tblGrid>
      <w:tr>
        <w:tblPrEx>
          <w:tblCellMar>
            <w:top w:w="0" w:type="dxa"/>
            <w:left w:w="108" w:type="dxa"/>
            <w:bottom w:w="0" w:type="dxa"/>
            <w:right w:w="108" w:type="dxa"/>
          </w:tblCellMar>
        </w:tblPrEx>
        <w:trPr>
          <w:trHeight w:val="807" w:hRule="atLeast"/>
        </w:trPr>
        <w:tc>
          <w:tcPr>
            <w:tcW w:w="15640"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403" w:hRule="atLeast"/>
        </w:trPr>
        <w:tc>
          <w:tcPr>
            <w:tcW w:w="1259"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新田县计划生育协会</w:t>
            </w:r>
          </w:p>
        </w:tc>
        <w:tc>
          <w:tcPr>
            <w:tcW w:w="240" w:type="dxa"/>
            <w:tcBorders>
              <w:top w:val="nil"/>
              <w:left w:val="nil"/>
              <w:bottom w:val="nil"/>
              <w:right w:val="nil"/>
            </w:tcBorders>
            <w:shd w:val="clear" w:color="000000" w:fill="FFFFFF"/>
            <w:noWrap/>
            <w:vAlign w:val="center"/>
          </w:tcPr>
          <w:p>
            <w:pPr>
              <w:widowControl/>
              <w:jc w:val="both"/>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95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99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74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595"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1499"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8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9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74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952"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99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74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95" w:hRule="atLeast"/>
        </w:trPr>
        <w:tc>
          <w:tcPr>
            <w:tcW w:w="298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卫生健康支出</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21007</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计划生育事务</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2100716</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eastAsia="zh-CN"/>
              </w:rPr>
              <w:t>计划生育机构</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292.31</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595" w:hRule="atLeast"/>
        </w:trPr>
        <w:tc>
          <w:tcPr>
            <w:tcW w:w="1499"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81"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95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99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7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828" w:hRule="atLeast"/>
        </w:trPr>
        <w:tc>
          <w:tcPr>
            <w:tcW w:w="15640"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jc w:val="both"/>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6"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七、卫生健康支出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292.31</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lang w:val="en-US" w:eastAsia="zh-CN"/>
              </w:rPr>
            </w:pPr>
            <w:r>
              <w:rPr>
                <w:rFonts w:hint="eastAsia" w:ascii="宋体" w:hAnsi="宋体" w:eastAsia="宋体" w:cs="宋体"/>
                <w:b/>
                <w:bCs/>
                <w:kern w:val="0"/>
                <w:sz w:val="22"/>
              </w:rPr>
              <w:t>　</w:t>
            </w:r>
            <w:r>
              <w:rPr>
                <w:rFonts w:hint="eastAsia" w:ascii="宋体" w:hAnsi="宋体" w:eastAsia="宋体" w:cs="宋体"/>
                <w:b/>
                <w:bCs/>
                <w:kern w:val="0"/>
                <w:sz w:val="22"/>
                <w:lang w:val="en-US" w:eastAsia="zh-CN"/>
              </w:rPr>
              <w:t>0</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rPr>
          <w:trHeight w:val="402" w:hRule="atLeast"/>
        </w:trPr>
        <w:tc>
          <w:tcPr>
            <w:tcW w:w="359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292.31</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292.31</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292.31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w:t>
            </w: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21007</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计划生育事务</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2100716</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eastAsia="zh-CN"/>
              </w:rPr>
              <w:t>计划生育机构</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292.31</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15825" w:type="dxa"/>
        <w:tblInd w:w="0" w:type="dxa"/>
        <w:tblLayout w:type="fixed"/>
        <w:tblCellMar>
          <w:top w:w="0" w:type="dxa"/>
          <w:left w:w="108" w:type="dxa"/>
          <w:bottom w:w="0" w:type="dxa"/>
          <w:right w:w="108" w:type="dxa"/>
        </w:tblCellMar>
      </w:tblPr>
      <w:tblGrid>
        <w:gridCol w:w="985"/>
        <w:gridCol w:w="239"/>
        <w:gridCol w:w="93"/>
        <w:gridCol w:w="1282"/>
        <w:gridCol w:w="2017"/>
        <w:gridCol w:w="87"/>
        <w:gridCol w:w="1042"/>
        <w:gridCol w:w="1005"/>
        <w:gridCol w:w="304"/>
        <w:gridCol w:w="1965"/>
        <w:gridCol w:w="111"/>
        <w:gridCol w:w="875"/>
        <w:gridCol w:w="852"/>
        <w:gridCol w:w="353"/>
        <w:gridCol w:w="2076"/>
        <w:gridCol w:w="1689"/>
        <w:gridCol w:w="388"/>
        <w:gridCol w:w="462"/>
      </w:tblGrid>
      <w:tr>
        <w:tblPrEx>
          <w:tblCellMar>
            <w:top w:w="0" w:type="dxa"/>
            <w:left w:w="108" w:type="dxa"/>
            <w:bottom w:w="0" w:type="dxa"/>
            <w:right w:w="108" w:type="dxa"/>
          </w:tblCellMar>
        </w:tblPrEx>
        <w:trPr>
          <w:trHeight w:val="113" w:hRule="atLeast"/>
        </w:trPr>
        <w:tc>
          <w:tcPr>
            <w:tcW w:w="15825" w:type="dxa"/>
            <w:gridSpan w:val="18"/>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1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9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1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1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79.25</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60.31</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26.25</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33.59</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11.21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12.84</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5.55</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0.23</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0.28</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8.23</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0.38</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2.95</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0.3</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2.82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0.42</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0.1</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8.71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4.77</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152.74</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0.43</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0.94</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1.81</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8.91</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0.52</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14.09</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7.14</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129.75</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1.03</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1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9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0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69"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86"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0.95</w:t>
            </w:r>
          </w:p>
        </w:tc>
        <w:tc>
          <w:tcPr>
            <w:tcW w:w="8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1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16"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129"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　</w:t>
            </w:r>
            <w:r>
              <w:rPr>
                <w:rFonts w:hint="eastAsia" w:ascii="宋体" w:hAnsi="宋体" w:eastAsia="宋体" w:cs="宋体"/>
                <w:color w:val="000000"/>
                <w:kern w:val="0"/>
                <w:szCs w:val="20"/>
                <w:lang w:val="en-US" w:eastAsia="zh-CN"/>
              </w:rPr>
              <w:t>232</w:t>
            </w:r>
          </w:p>
        </w:tc>
        <w:tc>
          <w:tcPr>
            <w:tcW w:w="9230" w:type="dxa"/>
            <w:gridSpan w:val="9"/>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5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lang w:val="en-US" w:eastAsia="zh-CN"/>
              </w:rPr>
              <w:t>60.31</w:t>
            </w:r>
            <w:r>
              <w:rPr>
                <w:rFonts w:hint="eastAsia" w:ascii="宋体" w:hAnsi="宋体" w:eastAsia="宋体" w:cs="宋体"/>
                <w:color w:val="000000"/>
                <w:kern w:val="0"/>
                <w:szCs w:val="18"/>
              </w:rPr>
              <w:t>　</w:t>
            </w:r>
          </w:p>
        </w:tc>
      </w:tr>
      <w:tr>
        <w:tblPrEx>
          <w:tblCellMar>
            <w:top w:w="0" w:type="dxa"/>
            <w:left w:w="108" w:type="dxa"/>
            <w:bottom w:w="0" w:type="dxa"/>
            <w:right w:w="108" w:type="dxa"/>
          </w:tblCellMar>
        </w:tblPrEx>
        <w:trPr>
          <w:trHeight w:val="284" w:hRule="exact"/>
        </w:trPr>
        <w:tc>
          <w:tcPr>
            <w:tcW w:w="15825" w:type="dxa"/>
            <w:gridSpan w:val="1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90" w:hRule="atLeast"/>
        </w:trPr>
        <w:tc>
          <w:tcPr>
            <w:tcW w:w="15363" w:type="dxa"/>
            <w:gridSpan w:val="1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345" w:hRule="atLeast"/>
        </w:trPr>
        <w:tc>
          <w:tcPr>
            <w:tcW w:w="985"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39"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1375" w:type="dxa"/>
            <w:gridSpan w:val="2"/>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90" w:hRule="atLeast"/>
        </w:trPr>
        <w:tc>
          <w:tcPr>
            <w:tcW w:w="2599" w:type="dxa"/>
            <w:gridSpan w:val="4"/>
            <w:tcBorders>
              <w:top w:val="nil"/>
              <w:left w:val="nil"/>
              <w:bottom w:val="nil"/>
              <w:right w:val="nil"/>
            </w:tcBorders>
            <w:shd w:val="clear" w:color="auto" w:fill="FFFFFF"/>
            <w:noWrap/>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p>
        </w:tc>
        <w:tc>
          <w:tcPr>
            <w:tcW w:w="2104"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351"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gridSpan w:val="2"/>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80" w:type="dxa"/>
            <w:gridSpan w:val="3"/>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6"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2077" w:type="dxa"/>
            <w:gridSpan w:val="2"/>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45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4"/>
                <w:lang w:val="en-US" w:eastAsia="zh-CN" w:bidi="ar"/>
              </w:rPr>
              <w:t xml:space="preserve">   </w:t>
            </w:r>
            <w:r>
              <w:rPr>
                <w:rStyle w:val="15"/>
                <w:lang w:val="en-US" w:eastAsia="zh-CN" w:bidi="ar"/>
              </w:rPr>
              <w:t>目</w:t>
            </w:r>
          </w:p>
        </w:tc>
        <w:tc>
          <w:tcPr>
            <w:tcW w:w="21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35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3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7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609" w:hRule="atLeast"/>
        </w:trPr>
        <w:tc>
          <w:tcPr>
            <w:tcW w:w="12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8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4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1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25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509" w:hRule="atLeast"/>
        </w:trPr>
        <w:tc>
          <w:tcPr>
            <w:tcW w:w="12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0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62" w:type="dxa"/>
          <w:trHeight w:val="725" w:hRule="atLeast"/>
        </w:trPr>
        <w:tc>
          <w:tcPr>
            <w:tcW w:w="15363"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p>
      <w:pPr>
        <w:widowControl/>
        <w:jc w:val="center"/>
        <w:rPr>
          <w:rFonts w:hint="eastAsia" w:ascii="Times New Roman" w:hAnsi="Times New Roman" w:eastAsia="方正小标宋_GBK" w:cs="Times New Roman"/>
          <w:color w:val="000000"/>
          <w:kern w:val="0"/>
          <w:sz w:val="36"/>
          <w:szCs w:val="36"/>
        </w:rPr>
      </w:pPr>
    </w:p>
    <w:tbl>
      <w:tblPr>
        <w:tblStyle w:val="6"/>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622"/>
        <w:gridCol w:w="1991"/>
        <w:gridCol w:w="2847"/>
        <w:gridCol w:w="2847"/>
        <w:gridCol w:w="36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p>
        </w:tc>
        <w:tc>
          <w:tcPr>
            <w:tcW w:w="701"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6"/>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pPr>
        <w:widowControl/>
        <w:jc w:val="center"/>
        <w:rPr>
          <w:rFonts w:hint="eastAsia" w:ascii="Times New Roman" w:hAnsi="Times New Roman" w:eastAsia="方正小标宋_GBK" w:cs="Times New Roman"/>
          <w:color w:val="000000"/>
          <w:kern w:val="0"/>
          <w:sz w:val="36"/>
          <w:szCs w:val="36"/>
        </w:rPr>
      </w:pPr>
    </w:p>
    <w:tbl>
      <w:tblPr>
        <w:tblStyle w:val="6"/>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6"/>
        <w:gridCol w:w="1161"/>
        <w:gridCol w:w="1047"/>
        <w:gridCol w:w="1047"/>
        <w:gridCol w:w="1047"/>
        <w:gridCol w:w="1104"/>
        <w:gridCol w:w="1047"/>
        <w:gridCol w:w="1161"/>
        <w:gridCol w:w="1047"/>
        <w:gridCol w:w="1048"/>
        <w:gridCol w:w="1048"/>
        <w:gridCol w:w="12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r>
              <w:rPr>
                <w:rFonts w:hint="eastAsia" w:ascii="Times New Roman" w:hAnsi="Times New Roman" w:eastAsia="仿宋_GB2312" w:cs="Times New Roman"/>
                <w:color w:val="000000"/>
                <w:kern w:val="0"/>
                <w:szCs w:val="21"/>
                <w:lang w:eastAsia="zh-CN"/>
              </w:rPr>
              <w:t>新田县计划生育协会</w:t>
            </w:r>
            <w:r>
              <w:rPr>
                <w:rFonts w:hint="eastAsia" w:ascii="Times New Roman" w:hAnsi="Times New Roman" w:eastAsia="仿宋_GB2312" w:cs="Times New Roman"/>
                <w:color w:val="000000"/>
                <w:kern w:val="0"/>
                <w:szCs w:val="21"/>
              </w:rPr>
              <w:t>单位</w:t>
            </w:r>
            <w:r>
              <w:rPr>
                <w:rFonts w:ascii="Times New Roman" w:hAnsi="Times New Roman" w:eastAsia="仿宋_GB2312" w:cs="Times New Roman"/>
                <w:color w:val="000000"/>
                <w:kern w:val="0"/>
                <w:szCs w:val="21"/>
              </w:rPr>
              <w:t xml:space="preserve"> </w:t>
            </w: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autoSpaceDE w:val="0"/>
        <w:autoSpaceDN w:val="0"/>
        <w:adjustRightInd w:val="0"/>
        <w:ind w:left="315" w:leftChars="150"/>
        <w:jc w:val="left"/>
        <w:rPr>
          <w:rFonts w:ascii="宋体" w:eastAsia="宋体" w:cs="宋体"/>
          <w:kern w:val="0"/>
          <w:sz w:val="24"/>
          <w:szCs w:val="24"/>
        </w:rPr>
      </w:pPr>
    </w:p>
    <w:p>
      <w:pPr>
        <w:widowControl/>
        <w:jc w:val="both"/>
        <w:rPr>
          <w:sz w:val="72"/>
          <w:szCs w:val="72"/>
        </w:rPr>
        <w:sectPr>
          <w:pgSz w:w="16838" w:h="11906" w:orient="landscape"/>
          <w:pgMar w:top="720" w:right="720" w:bottom="720" w:left="720" w:header="851" w:footer="992" w:gutter="0"/>
          <w:cols w:space="425" w:num="1"/>
          <w:docGrid w:type="lines" w:linePitch="312" w:charSpace="0"/>
        </w:sectPr>
      </w:pPr>
    </w:p>
    <w:p>
      <w:pPr>
        <w:pStyle w:val="11"/>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11"/>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widowControl/>
        <w:spacing w:line="360" w:lineRule="auto"/>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292.31万元，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万元。与20</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年相比</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152.93</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lang w:val="en-US" w:eastAsia="zh-CN"/>
        </w:rPr>
        <w:t>52.32</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主要是因为增加了乡村振兴与幸福工程公益项目的投入和支出。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widowControl/>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w:t>
      </w:r>
      <w:r>
        <w:rPr>
          <w:rFonts w:hint="eastAsia" w:ascii="Times New Roman" w:hAnsi="Times New Roman" w:eastAsia="仿宋_GB2312"/>
          <w:sz w:val="32"/>
          <w:szCs w:val="32"/>
          <w:lang w:eastAsia="zh-CN"/>
        </w:rPr>
        <w:t>入总计</w:t>
      </w:r>
      <w:r>
        <w:rPr>
          <w:rFonts w:hint="eastAsia" w:ascii="Times New Roman" w:hAnsi="Times New Roman" w:eastAsia="仿宋_GB2312"/>
          <w:sz w:val="32"/>
          <w:szCs w:val="32"/>
          <w:lang w:val="en-US" w:eastAsia="zh-CN"/>
        </w:rPr>
        <w:t>292.31万元，</w:t>
      </w:r>
      <w:r>
        <w:rPr>
          <w:rFonts w:hint="eastAsia" w:ascii="Times New Roman" w:hAnsi="Times New Roman" w:eastAsia="仿宋_GB2312"/>
          <w:sz w:val="32"/>
          <w:szCs w:val="32"/>
        </w:rPr>
        <w:t>支</w:t>
      </w:r>
      <w:r>
        <w:rPr>
          <w:rFonts w:hint="eastAsia" w:ascii="Times New Roman" w:hAnsi="Times New Roman" w:eastAsia="仿宋_GB2312"/>
          <w:sz w:val="32"/>
          <w:szCs w:val="32"/>
          <w:lang w:eastAsia="zh-CN"/>
        </w:rPr>
        <w:t>出</w:t>
      </w:r>
      <w:r>
        <w:rPr>
          <w:rFonts w:hint="eastAsia" w:ascii="Times New Roman" w:hAnsi="Times New Roman" w:eastAsia="仿宋_GB2312"/>
          <w:sz w:val="32"/>
          <w:szCs w:val="32"/>
        </w:rPr>
        <w:t>总计</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152.92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增加了乡村振兴与幸福工程公益项目的投入和支出。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widowControl/>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152.92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52.32</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增加了乡村振兴与幸福工程公益项目的投入和支出。</w:t>
      </w:r>
    </w:p>
    <w:p>
      <w:pPr>
        <w:pStyle w:val="11"/>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11"/>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%；卫生健康（类）支出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万元，占100%;其中计划生育事务支出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万元占100%。</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134.5</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w:t>
      </w:r>
      <w:r>
        <w:rPr>
          <w:rFonts w:hint="eastAsia" w:ascii="Times New Roman" w:hAnsi="Times New Roman" w:eastAsia="仿宋_GB2312"/>
          <w:sz w:val="32"/>
          <w:szCs w:val="32"/>
          <w:lang w:val="en-US" w:eastAsia="zh-CN"/>
        </w:rPr>
        <w:t>292.3万元，</w:t>
      </w:r>
      <w:r>
        <w:rPr>
          <w:rFonts w:hint="eastAsia" w:ascii="Times New Roman" w:hAnsi="Times New Roman" w:eastAsia="仿宋_GB2312"/>
          <w:sz w:val="32"/>
          <w:szCs w:val="32"/>
        </w:rPr>
        <w:t>支出决算数为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（类）计划生育事务（款）计划生育机构（项）。</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134.5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调整预算</w:t>
      </w:r>
      <w:r>
        <w:rPr>
          <w:rFonts w:hint="eastAsia" w:ascii="Times New Roman" w:hAnsi="Times New Roman" w:eastAsia="仿宋_GB2312"/>
          <w:sz w:val="32"/>
          <w:szCs w:val="32"/>
          <w:lang w:val="en-US" w:eastAsia="zh-CN"/>
        </w:rPr>
        <w:t>292.3万元</w:t>
      </w:r>
      <w:r>
        <w:rPr>
          <w:rFonts w:hint="eastAsia" w:ascii="Times New Roman" w:hAnsi="Times New Roman" w:eastAsia="仿宋_GB2312"/>
          <w:sz w:val="32"/>
          <w:szCs w:val="32"/>
        </w:rPr>
        <w:t>，完成年初预算的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一致，</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严格按照预算数执行。</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292.31</w:t>
      </w:r>
      <w:r>
        <w:rPr>
          <w:rFonts w:hint="eastAsia" w:ascii="Times New Roman" w:hAnsi="Times New Roman" w:eastAsia="仿宋_GB2312"/>
          <w:sz w:val="32"/>
          <w:szCs w:val="32"/>
        </w:rPr>
        <w:t>万元，其中：</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232</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79.37</w:t>
      </w:r>
      <w:r>
        <w:rPr>
          <w:rFonts w:hint="eastAsia" w:ascii="Times New Roman" w:hAnsi="Times New Roman" w:eastAsia="仿宋_GB2312"/>
          <w:sz w:val="32"/>
          <w:szCs w:val="32"/>
        </w:rPr>
        <w:t>%,主要包括基本工资、津贴补贴、绩效工资、奖金、伙食补助费、五险一金</w:t>
      </w:r>
      <w:r>
        <w:rPr>
          <w:rFonts w:hint="eastAsia" w:ascii="Times New Roman" w:hAnsi="Times New Roman" w:eastAsia="仿宋_GB2312"/>
          <w:sz w:val="32"/>
          <w:szCs w:val="32"/>
          <w:lang w:eastAsia="zh-CN"/>
        </w:rPr>
        <w:t>、对个人和家庭的补助、个人农业生产补贴等。</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60.31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20.63</w:t>
      </w:r>
      <w:r>
        <w:rPr>
          <w:rFonts w:hint="eastAsia" w:ascii="Times New Roman" w:hAnsi="Times New Roman" w:eastAsia="仿宋_GB2312"/>
          <w:sz w:val="32"/>
          <w:szCs w:val="32"/>
        </w:rPr>
        <w:t>%，主要包括办公费、印刷费、咨询费、手续费</w:t>
      </w:r>
      <w:r>
        <w:rPr>
          <w:rFonts w:hint="eastAsia" w:ascii="Times New Roman" w:hAnsi="Times New Roman" w:eastAsia="仿宋_GB2312"/>
          <w:sz w:val="32"/>
          <w:szCs w:val="32"/>
          <w:lang w:eastAsia="zh-CN"/>
        </w:rPr>
        <w:t>、水费、电费、会议费、培训费、公务接待费、工会经费、租车费等</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严格控制因公出国（境）费的开支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（增加）0</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（增加）0</w:t>
      </w:r>
      <w:r>
        <w:rPr>
          <w:rFonts w:hint="eastAsia" w:ascii="Times New Roman" w:hAnsi="Times New Roman" w:eastAsia="仿宋_GB2312"/>
          <w:sz w:val="32"/>
          <w:szCs w:val="32"/>
        </w:rPr>
        <w:t>%,减少</w:t>
      </w:r>
      <w:r>
        <w:rPr>
          <w:rFonts w:hint="eastAsia" w:ascii="Times New Roman" w:hAnsi="Times New Roman" w:eastAsia="仿宋_GB2312"/>
          <w:sz w:val="32"/>
          <w:szCs w:val="32"/>
          <w:lang w:eastAsia="zh-CN"/>
        </w:rPr>
        <w:t>（增加）</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本单位无该项支出。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严格控制三公经费的开支</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0.1</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5.24</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严格控制不必要的公务接待费</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严格控制公务用车购置费用开支</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本单位无该项支出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%，决算数大于（小于）预算数的主要原因是</w:t>
      </w:r>
      <w:r>
        <w:rPr>
          <w:rFonts w:hint="eastAsia" w:ascii="Times New Roman" w:hAnsi="Times New Roman" w:eastAsia="仿宋_GB2312"/>
          <w:sz w:val="32"/>
          <w:szCs w:val="32"/>
          <w:lang w:eastAsia="zh-CN"/>
        </w:rPr>
        <w:t>严格控制经费</w:t>
      </w:r>
      <w:r>
        <w:rPr>
          <w:rFonts w:hint="eastAsia" w:ascii="Times New Roman" w:hAnsi="Times New Roman" w:eastAsia="仿宋_GB2312"/>
          <w:sz w:val="32"/>
          <w:szCs w:val="32"/>
        </w:rPr>
        <w:t>，与上年相比减少（增加）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万元，减少（增长）</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%,减少（增长）的主要原因是</w:t>
      </w:r>
      <w:r>
        <w:rPr>
          <w:rFonts w:hint="eastAsia" w:ascii="Times New Roman" w:hAnsi="Times New Roman" w:eastAsia="仿宋_GB2312"/>
          <w:sz w:val="32"/>
          <w:szCs w:val="32"/>
          <w:lang w:eastAsia="zh-CN"/>
        </w:rPr>
        <w:t>本单位无该项支出</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11"/>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楷体" w:hAnsi="楷体" w:eastAsia="楷体" w:cs="楷体"/>
          <w:b/>
          <w:bCs/>
          <w:i/>
          <w:color w:val="auto"/>
          <w:sz w:val="32"/>
          <w:szCs w:val="32"/>
        </w:rPr>
        <w:t>,</w:t>
      </w:r>
      <w:r>
        <w:rPr>
          <w:rFonts w:hint="eastAsia" w:ascii="Times New Roman" w:hAnsi="Times New Roman" w:eastAsia="仿宋_GB2312"/>
          <w:sz w:val="32"/>
          <w:szCs w:val="32"/>
          <w:lang w:eastAsia="zh-CN"/>
        </w:rPr>
        <w:t>本单位无该项支出。</w:t>
      </w:r>
    </w:p>
    <w:p>
      <w:pPr>
        <w:pStyle w:val="11"/>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1.81</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28</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206</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幸福工程调研项目、</w:t>
      </w:r>
      <w:r>
        <w:rPr>
          <w:rFonts w:hint="eastAsia" w:ascii="Times New Roman" w:hAnsi="Times New Roman" w:eastAsia="仿宋_GB2312"/>
          <w:sz w:val="32"/>
          <w:szCs w:val="32"/>
        </w:rPr>
        <w:t>教育活动，乡村振兴、留守儿童关爱、健康宣讲进校活动等发生的接待支出。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新田县计划生育协会</w:t>
      </w:r>
      <w:r>
        <w:rPr>
          <w:rFonts w:hint="eastAsia" w:ascii="Times New Roman" w:hAnsi="Times New Roman" w:eastAsia="仿宋_GB2312"/>
          <w:sz w:val="32"/>
          <w:szCs w:val="32"/>
        </w:rPr>
        <w:t>单位本级更新公务用车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本单位无此项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1"/>
        <w:rPr>
          <w:rFonts w:hint="eastAsia" w:ascii="楷体" w:hAnsi="楷体" w:eastAsia="楷体" w:cs="楷体"/>
          <w:b/>
          <w:bCs/>
          <w:i/>
          <w:color w:val="FF0000"/>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万元。本单位无政府性基金支出。</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60.31</w:t>
      </w:r>
      <w:r>
        <w:rPr>
          <w:rFonts w:hint="eastAsia" w:ascii="Times New Roman" w:hAnsi="Times New Roman" w:eastAsia="仿宋_GB2312"/>
          <w:sz w:val="32"/>
          <w:szCs w:val="32"/>
        </w:rPr>
        <w:t>万元，比年初预算数（或者上年决算数）增加（减少）</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万元，增长（降低）</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按照年初预算及结合本单位实际情况厉行精简合理开支机关运行经费支出及</w:t>
      </w:r>
      <w:r>
        <w:rPr>
          <w:rFonts w:hint="eastAsia" w:ascii="Times New Roman" w:hAnsi="Times New Roman" w:eastAsia="仿宋_GB2312"/>
          <w:sz w:val="32"/>
          <w:szCs w:val="32"/>
        </w:rPr>
        <w:t>严格按照预算执行</w:t>
      </w:r>
      <w:r>
        <w:rPr>
          <w:rFonts w:hint="eastAsia" w:ascii="Times New Roman" w:hAnsi="Times New Roman" w:eastAsia="仿宋_GB2312"/>
          <w:sz w:val="32"/>
          <w:szCs w:val="32"/>
          <w:lang w:eastAsia="zh-CN"/>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0.43</w:t>
      </w:r>
      <w:r>
        <w:rPr>
          <w:rFonts w:hint="eastAsia" w:ascii="Times New Roman" w:hAnsi="Times New Roman" w:eastAsia="仿宋_GB2312"/>
          <w:sz w:val="32"/>
          <w:szCs w:val="32"/>
        </w:rPr>
        <w:t>万元，用于召开乡村振兴、教育活动、留守儿童关爱、疫情防控</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，人数</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人，内容</w:t>
      </w:r>
      <w:r>
        <w:rPr>
          <w:rFonts w:hint="eastAsia" w:ascii="Times New Roman" w:hAnsi="Times New Roman" w:eastAsia="仿宋_GB2312"/>
          <w:sz w:val="32"/>
          <w:szCs w:val="32"/>
          <w:lang w:eastAsia="zh-CN"/>
        </w:rPr>
        <w:t>为</w:t>
      </w:r>
      <w:r>
        <w:rPr>
          <w:rFonts w:hint="eastAsia" w:ascii="Times New Roman" w:hAnsi="Times New Roman" w:eastAsia="仿宋_GB2312"/>
          <w:sz w:val="32"/>
          <w:szCs w:val="32"/>
        </w:rPr>
        <w:t>宣传教育、生殖健康咨询服务、优生优育指导、计划生育家庭帮扶</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卫生健康知识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健康知识讲座等；</w:t>
      </w:r>
      <w:r>
        <w:rPr>
          <w:rFonts w:hint="eastAsia" w:ascii="Times New Roman" w:hAnsi="Times New Roman" w:eastAsia="仿宋_GB2312"/>
          <w:sz w:val="32"/>
          <w:szCs w:val="32"/>
          <w:lang w:eastAsia="zh-CN"/>
        </w:rPr>
        <w:t>会议费</w:t>
      </w:r>
      <w:r>
        <w:rPr>
          <w:rFonts w:hint="eastAsia" w:ascii="Times New Roman" w:hAnsi="Times New Roman" w:eastAsia="仿宋_GB2312"/>
          <w:sz w:val="32"/>
          <w:szCs w:val="32"/>
          <w:lang w:val="en-US" w:eastAsia="zh-CN"/>
        </w:rPr>
        <w:t>年初预算0.43万元。开支</w:t>
      </w:r>
      <w:r>
        <w:rPr>
          <w:rFonts w:hint="eastAsia" w:ascii="Times New Roman" w:hAnsi="Times New Roman" w:eastAsia="仿宋_GB2312"/>
          <w:sz w:val="32"/>
          <w:szCs w:val="32"/>
        </w:rPr>
        <w:t>培训费</w:t>
      </w:r>
      <w:r>
        <w:rPr>
          <w:rFonts w:hint="eastAsia" w:ascii="Times New Roman" w:hAnsi="Times New Roman" w:eastAsia="仿宋_GB2312"/>
          <w:sz w:val="32"/>
          <w:szCs w:val="32"/>
          <w:lang w:val="en-US" w:eastAsia="zh-CN"/>
        </w:rPr>
        <w:t>0.94</w:t>
      </w:r>
      <w:r>
        <w:rPr>
          <w:rFonts w:hint="eastAsia" w:ascii="Times New Roman" w:hAnsi="Times New Roman" w:eastAsia="仿宋_GB2312"/>
          <w:sz w:val="32"/>
          <w:szCs w:val="32"/>
        </w:rPr>
        <w:t>万元，用于开展疫情防控知识</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关爱留守儿童</w:t>
      </w:r>
      <w:r>
        <w:rPr>
          <w:rFonts w:hint="eastAsia" w:ascii="Times New Roman" w:hAnsi="Times New Roman" w:eastAsia="仿宋_GB2312"/>
          <w:sz w:val="32"/>
          <w:szCs w:val="32"/>
          <w:lang w:eastAsia="zh-CN"/>
        </w:rPr>
        <w:t>、健康知识</w:t>
      </w:r>
      <w:r>
        <w:rPr>
          <w:rFonts w:hint="eastAsia" w:ascii="Times New Roman" w:hAnsi="Times New Roman" w:eastAsia="仿宋_GB2312"/>
          <w:sz w:val="32"/>
          <w:szCs w:val="32"/>
        </w:rPr>
        <w:t>培训，人数</w:t>
      </w:r>
      <w:r>
        <w:rPr>
          <w:rFonts w:hint="eastAsia" w:ascii="Times New Roman" w:hAnsi="Times New Roman" w:eastAsia="仿宋_GB2312"/>
          <w:sz w:val="32"/>
          <w:szCs w:val="32"/>
          <w:lang w:val="en-US" w:eastAsia="zh-CN"/>
        </w:rPr>
        <w:t>246</w:t>
      </w:r>
      <w:r>
        <w:rPr>
          <w:rFonts w:hint="eastAsia" w:ascii="Times New Roman" w:hAnsi="Times New Roman" w:eastAsia="仿宋_GB2312"/>
          <w:sz w:val="32"/>
          <w:szCs w:val="32"/>
        </w:rPr>
        <w:t>人，内容为乡村征信、教育活动、疫情防控知识及关爱留守儿童与乡村振兴；</w:t>
      </w:r>
      <w:r>
        <w:rPr>
          <w:rFonts w:hint="eastAsia" w:ascii="Times New Roman" w:hAnsi="Times New Roman" w:eastAsia="仿宋_GB2312"/>
          <w:sz w:val="32"/>
          <w:szCs w:val="32"/>
          <w:lang w:eastAsia="zh-CN"/>
        </w:rPr>
        <w:t>培训会年初预算</w:t>
      </w:r>
      <w:r>
        <w:rPr>
          <w:rFonts w:hint="eastAsia" w:ascii="Times New Roman" w:hAnsi="Times New Roman" w:eastAsia="仿宋_GB2312"/>
          <w:sz w:val="32"/>
          <w:szCs w:val="32"/>
          <w:lang w:val="en-US" w:eastAsia="zh-CN"/>
        </w:rPr>
        <w:t>0.94万元。未</w:t>
      </w:r>
      <w:r>
        <w:rPr>
          <w:rFonts w:hint="eastAsia" w:ascii="Times New Roman" w:hAnsi="Times New Roman" w:eastAsia="仿宋_GB2312"/>
          <w:sz w:val="32"/>
          <w:szCs w:val="32"/>
        </w:rPr>
        <w:t>举办</w:t>
      </w:r>
      <w:r>
        <w:rPr>
          <w:rFonts w:hint="eastAsia" w:ascii="Times New Roman" w:hAnsi="Times New Roman" w:eastAsia="仿宋_GB2312"/>
          <w:sz w:val="32"/>
          <w:szCs w:val="32"/>
          <w:lang w:eastAsia="zh-CN"/>
        </w:rPr>
        <w:t>相关</w:t>
      </w:r>
      <w:r>
        <w:rPr>
          <w:rFonts w:hint="eastAsia" w:ascii="Times New Roman" w:hAnsi="Times New Roman" w:eastAsia="仿宋_GB2312"/>
          <w:sz w:val="32"/>
          <w:szCs w:val="32"/>
        </w:rPr>
        <w:t>节庆、晚会、论坛、赛事活动</w:t>
      </w:r>
      <w:r>
        <w:rPr>
          <w:rFonts w:hint="eastAsia" w:ascii="Times New Roman" w:hAnsi="Times New Roman" w:eastAsia="仿宋_GB2312"/>
          <w:sz w:val="32"/>
          <w:szCs w:val="32"/>
          <w:lang w:eastAsia="zh-CN"/>
        </w:rPr>
        <w:t>，开支</w:t>
      </w:r>
      <w:r>
        <w:rPr>
          <w:rFonts w:hint="eastAsia" w:ascii="Times New Roman" w:hAnsi="Times New Roman" w:eastAsia="仿宋_GB2312"/>
          <w:sz w:val="32"/>
          <w:szCs w:val="32"/>
          <w:lang w:val="en-US" w:eastAsia="zh-CN"/>
        </w:rPr>
        <w:t>0万元，主要是没有相关节庆活动。</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11"/>
        <w:spacing w:line="600" w:lineRule="exact"/>
        <w:ind w:firstLine="640" w:firstLineChars="200"/>
        <w:rPr>
          <w:rFonts w:hint="eastAsia" w:ascii="楷体" w:hAnsi="楷体" w:eastAsia="楷体" w:cs="楷体"/>
          <w:b/>
          <w:bCs/>
          <w:i/>
          <w:color w:val="auto"/>
          <w:sz w:val="32"/>
          <w:szCs w:val="32"/>
        </w:rPr>
      </w:pPr>
      <w:r>
        <w:rPr>
          <w:rFonts w:hint="eastAsia" w:ascii="Times New Roman" w:hAnsi="Times New Roman" w:eastAsia="仿宋_GB2312"/>
          <w:sz w:val="32"/>
          <w:szCs w:val="32"/>
        </w:rPr>
        <w:t>本部门</w:t>
      </w:r>
      <w:r>
        <w:rPr>
          <w:rFonts w:ascii="Times New Roman" w:hAnsi="Times New Roman" w:eastAsia="仿宋_GB2312"/>
          <w:sz w:val="32"/>
          <w:szCs w:val="32"/>
        </w:rPr>
        <w:t>2022</w:t>
      </w:r>
      <w:r>
        <w:rPr>
          <w:rFonts w:hint="eastAsia" w:ascii="Times New Roman" w:hAnsi="Times New Roman" w:eastAsia="仿宋_GB2312"/>
          <w:sz w:val="32"/>
          <w:szCs w:val="32"/>
        </w:rPr>
        <w:t>年度政府采购支出总额</w:t>
      </w:r>
      <w:r>
        <w:rPr>
          <w:rFonts w:ascii="Times New Roman" w:hAnsi="Times New Roman" w:eastAsia="仿宋_GB2312"/>
          <w:sz w:val="32"/>
          <w:szCs w:val="32"/>
        </w:rPr>
        <w:t>11.34</w:t>
      </w:r>
      <w:r>
        <w:rPr>
          <w:rFonts w:hint="eastAsia" w:ascii="Times New Roman" w:hAnsi="Times New Roman" w:eastAsia="仿宋_GB2312"/>
          <w:sz w:val="32"/>
          <w:szCs w:val="32"/>
        </w:rPr>
        <w:t>万元，其中：政府采购货物支出</w:t>
      </w:r>
      <w:r>
        <w:rPr>
          <w:rFonts w:ascii="Times New Roman" w:hAnsi="Times New Roman" w:eastAsia="仿宋_GB2312"/>
          <w:sz w:val="32"/>
          <w:szCs w:val="32"/>
        </w:rPr>
        <w:t>11.34</w:t>
      </w:r>
      <w:r>
        <w:rPr>
          <w:rFonts w:hint="eastAsia" w:ascii="Times New Roman" w:hAnsi="Times New Roman" w:eastAsia="仿宋_GB2312"/>
          <w:sz w:val="32"/>
          <w:szCs w:val="32"/>
        </w:rPr>
        <w:t>万元、政府采购工程支出</w:t>
      </w:r>
      <w:r>
        <w:rPr>
          <w:rFonts w:ascii="Times New Roman" w:hAnsi="Times New Roman" w:eastAsia="仿宋_GB2312"/>
          <w:sz w:val="32"/>
          <w:szCs w:val="32"/>
        </w:rPr>
        <w:t>0</w:t>
      </w:r>
      <w:r>
        <w:rPr>
          <w:rFonts w:hint="eastAsia" w:ascii="Times New Roman" w:hAnsi="Times New Roman" w:eastAsia="仿宋_GB2312"/>
          <w:sz w:val="32"/>
          <w:szCs w:val="32"/>
        </w:rPr>
        <w:t>万元、政府采购服务支出</w:t>
      </w:r>
      <w:r>
        <w:rPr>
          <w:rFonts w:ascii="Times New Roman" w:hAnsi="Times New Roman" w:eastAsia="仿宋_GB2312"/>
          <w:sz w:val="32"/>
          <w:szCs w:val="32"/>
        </w:rPr>
        <w:t>0</w:t>
      </w:r>
      <w:r>
        <w:rPr>
          <w:rFonts w:hint="eastAsia" w:ascii="Times New Roman" w:hAnsi="Times New Roman" w:eastAsia="仿宋_GB2312"/>
          <w:sz w:val="32"/>
          <w:szCs w:val="32"/>
        </w:rPr>
        <w:t>万元。授予中小企业合同金额</w:t>
      </w:r>
      <w:r>
        <w:rPr>
          <w:rFonts w:ascii="Times New Roman" w:hAnsi="Times New Roman" w:eastAsia="仿宋_GB2312"/>
          <w:sz w:val="32"/>
          <w:szCs w:val="32"/>
        </w:rPr>
        <w:t>11.34</w:t>
      </w:r>
      <w:r>
        <w:rPr>
          <w:rFonts w:hint="eastAsia" w:ascii="Times New Roman" w:hAnsi="Times New Roman" w:eastAsia="仿宋_GB2312"/>
          <w:sz w:val="32"/>
          <w:szCs w:val="32"/>
        </w:rPr>
        <w:t>万元，占政府采购支出总额的</w:t>
      </w:r>
      <w:r>
        <w:rPr>
          <w:rFonts w:ascii="Times New Roman" w:hAnsi="Times New Roman" w:eastAsia="仿宋_GB2312"/>
          <w:sz w:val="32"/>
          <w:szCs w:val="32"/>
        </w:rPr>
        <w:t>100%</w:t>
      </w:r>
      <w:r>
        <w:rPr>
          <w:rFonts w:hint="eastAsia" w:ascii="Times New Roman" w:hAnsi="Times New Roman" w:eastAsia="仿宋_GB2312"/>
          <w:sz w:val="32"/>
          <w:szCs w:val="32"/>
        </w:rPr>
        <w:t>，其中：授予小微企业合同金额</w:t>
      </w:r>
      <w:r>
        <w:rPr>
          <w:rFonts w:ascii="Times New Roman" w:hAnsi="Times New Roman" w:eastAsia="仿宋_GB2312"/>
          <w:sz w:val="32"/>
          <w:szCs w:val="32"/>
        </w:rPr>
        <w:t>11.34</w:t>
      </w:r>
      <w:r>
        <w:rPr>
          <w:rFonts w:hint="eastAsia" w:ascii="Times New Roman" w:hAnsi="Times New Roman" w:eastAsia="仿宋_GB2312"/>
          <w:sz w:val="32"/>
          <w:szCs w:val="32"/>
        </w:rPr>
        <w:t>万元，占政府采购支出总额的</w:t>
      </w:r>
      <w:r>
        <w:rPr>
          <w:rFonts w:ascii="Times New Roman" w:hAnsi="Times New Roman" w:eastAsia="仿宋_GB2312"/>
          <w:sz w:val="32"/>
          <w:szCs w:val="32"/>
        </w:rPr>
        <w:t>100%</w:t>
      </w:r>
      <w:r>
        <w:rPr>
          <w:rFonts w:hint="eastAsia" w:ascii="Times New Roman" w:hAnsi="Times New Roman" w:eastAsia="仿宋_GB2312"/>
          <w:sz w:val="32"/>
          <w:szCs w:val="32"/>
        </w:rPr>
        <w:t>。货物采购授予中小企业合同金额占货物支出金额的</w:t>
      </w:r>
      <w:r>
        <w:rPr>
          <w:rFonts w:ascii="Times New Roman" w:hAnsi="Times New Roman" w:eastAsia="仿宋_GB2312"/>
          <w:sz w:val="32"/>
          <w:szCs w:val="32"/>
        </w:rPr>
        <w:t>100%</w:t>
      </w:r>
      <w:r>
        <w:rPr>
          <w:rFonts w:hint="eastAsia" w:ascii="Times New Roman" w:hAnsi="Times New Roman" w:eastAsia="仿宋_GB2312"/>
          <w:sz w:val="32"/>
          <w:szCs w:val="32"/>
        </w:rPr>
        <w:t>，工程采购授予中小企业合同金额占工程支出金额的</w:t>
      </w:r>
      <w:r>
        <w:rPr>
          <w:rFonts w:ascii="Times New Roman" w:hAnsi="Times New Roman" w:eastAsia="仿宋_GB2312"/>
          <w:sz w:val="32"/>
          <w:szCs w:val="32"/>
        </w:rPr>
        <w:t>0%</w:t>
      </w:r>
      <w:r>
        <w:rPr>
          <w:rFonts w:hint="eastAsia" w:ascii="Times New Roman" w:hAnsi="Times New Roman" w:eastAsia="仿宋_GB2312"/>
          <w:sz w:val="32"/>
          <w:szCs w:val="32"/>
        </w:rPr>
        <w:t>，服务采购授予中小企业合同金额占服务支出金额的</w:t>
      </w:r>
      <w:r>
        <w:rPr>
          <w:rFonts w:ascii="Times New Roman" w:hAnsi="Times New Roman" w:eastAsia="仿宋_GB2312"/>
          <w:sz w:val="32"/>
          <w:szCs w:val="32"/>
        </w:rPr>
        <w:t>0%</w:t>
      </w:r>
      <w:r>
        <w:rPr>
          <w:rFonts w:hint="eastAsia" w:ascii="Times New Roman" w:hAnsi="Times New Roman" w:eastAsia="仿宋_GB2312"/>
          <w:sz w:val="32"/>
          <w:szCs w:val="32"/>
        </w:rPr>
        <w:t>。</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bookmarkStart w:id="3" w:name="_GoBack"/>
      <w:bookmarkEnd w:id="3"/>
      <w:r>
        <w:rPr>
          <w:rFonts w:hint="eastAsia" w:ascii="黑体" w:hAnsi="黑体" w:eastAsia="黑体" w:cs="黑体"/>
          <w:b w:val="0"/>
          <w:bCs/>
          <w:sz w:val="32"/>
          <w:szCs w:val="32"/>
        </w:rPr>
        <w:t>十二、关于国有资产占用情况说明</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1"/>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总结归纳本部门（单位）支出的绩效目标完成情况，实现产出和取得效益的情况。围绕部门（单位）职责、行业发展规划，以预算资金管理为主线，总结部门（单位）资产管理和开展业务情况，从运行成本、管理效率、履职效能、社会效应、可持续发展能力和服务对象满意度等方面，衡量部门（单位）整体及核心业务实施效果。</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11"/>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rPr>
        <w:t>可以从预算和预算绩效管理，部门履职效能，资金分配、使用和管理，资产和财务管理、政府采购等方面归纳存在的问题；反映各种预算支出执行偏离绩效目标的情况，并分析其原因。</w:t>
      </w:r>
    </w:p>
    <w:p>
      <w:pPr>
        <w:pStyle w:val="11"/>
        <w:jc w:val="center"/>
        <w:rPr>
          <w:sz w:val="72"/>
          <w:szCs w:val="72"/>
        </w:rPr>
      </w:pP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1"/>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11"/>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11"/>
        <w:ind w:firstLine="640"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0" w:firstLineChars="200"/>
        <w:jc w:val="center"/>
        <w:rPr>
          <w:rFonts w:hint="eastAsia" w:asciiTheme="minorEastAsia" w:hAnsiTheme="minorEastAsia" w:eastAsiaTheme="minorEastAsia" w:cstheme="minorEastAsia"/>
          <w:b/>
          <w:color w:val="000000"/>
          <w:kern w:val="0"/>
          <w:sz w:val="28"/>
          <w:szCs w:val="28"/>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p>
      <w:pPr>
        <w:ind w:firstLine="560" w:firstLineChars="200"/>
        <w:jc w:val="center"/>
        <w:rPr>
          <w:rFonts w:hint="eastAsia" w:asciiTheme="minorEastAsia" w:hAnsiTheme="minorEastAsia" w:eastAsiaTheme="minorEastAsia" w:cstheme="minorEastAsia"/>
          <w:b/>
          <w:color w:val="000000"/>
          <w:kern w:val="0"/>
          <w:sz w:val="28"/>
          <w:szCs w:val="28"/>
        </w:rPr>
      </w:pPr>
    </w:p>
    <w:p>
      <w:pPr>
        <w:adjustRightInd w:val="0"/>
        <w:snapToGrid w:val="0"/>
        <w:spacing w:line="500" w:lineRule="exact"/>
        <w:ind w:firstLine="420" w:firstLineChars="150"/>
        <w:rPr>
          <w:rFonts w:cs="仿宋_GB2312" w:asciiTheme="minorEastAsia" w:hAnsiTheme="minorEastAsia"/>
          <w:b/>
          <w:bCs/>
          <w:sz w:val="28"/>
          <w:szCs w:val="28"/>
        </w:rPr>
      </w:pPr>
      <w:r>
        <w:rPr>
          <w:rFonts w:hint="eastAsia" w:asciiTheme="minorEastAsia" w:hAnsiTheme="minorEastAsia" w:cstheme="minorEastAsia"/>
          <w:b/>
          <w:color w:val="000000"/>
          <w:kern w:val="0"/>
          <w:sz w:val="28"/>
          <w:szCs w:val="28"/>
        </w:rPr>
        <w:t>一、</w:t>
      </w:r>
      <w:r>
        <w:rPr>
          <w:rFonts w:hint="eastAsia" w:cs="仿宋_GB2312" w:asciiTheme="minorEastAsia" w:hAnsiTheme="minorEastAsia"/>
          <w:b/>
          <w:bCs/>
          <w:sz w:val="28"/>
          <w:szCs w:val="28"/>
        </w:rPr>
        <w:t>部门概况：新田县计划生育协会</w:t>
      </w:r>
    </w:p>
    <w:p>
      <w:pPr>
        <w:rPr>
          <w:rFonts w:cs="黑体" w:asciiTheme="minorEastAsia" w:hAnsiTheme="minorEastAsia"/>
          <w:sz w:val="28"/>
          <w:szCs w:val="28"/>
        </w:rPr>
      </w:pPr>
      <w:r>
        <w:rPr>
          <w:rFonts w:hint="eastAsia" w:asciiTheme="minorEastAsia" w:hAnsiTheme="minorEastAsia"/>
          <w:sz w:val="28"/>
          <w:szCs w:val="28"/>
        </w:rPr>
        <w:t xml:space="preserve">    一、部门职责</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（一）贯彻《中华人民共和国人口与计划生育法》和国家相关法律法规政策，协助政府统筹解决人口问题，促进人口长期均衡发展。</w:t>
      </w:r>
    </w:p>
    <w:p>
      <w:pPr>
        <w:widowControl/>
        <w:spacing w:line="500" w:lineRule="exact"/>
        <w:jc w:val="left"/>
        <w:rPr>
          <w:rFonts w:cs="宋体" w:asciiTheme="minorEastAsia" w:hAnsiTheme="minorEastAsia"/>
          <w:kern w:val="0"/>
          <w:sz w:val="28"/>
          <w:szCs w:val="28"/>
        </w:rPr>
      </w:pPr>
      <w:r>
        <w:rPr>
          <w:rFonts w:cs="宋体" w:asciiTheme="minorEastAsia" w:hAnsiTheme="minorEastAsia"/>
          <w:kern w:val="0"/>
          <w:sz w:val="28"/>
          <w:szCs w:val="28"/>
        </w:rPr>
        <w:t xml:space="preserve">  （二）全心全意服务育龄群众和计划生育家庭，发挥带头、宣传、服务、监督、交流作用，动员和组织广大群众参与人口发展、生殖健康、计划生育和家庭保健。</w:t>
      </w:r>
    </w:p>
    <w:p>
      <w:pPr>
        <w:widowControl/>
        <w:spacing w:line="500" w:lineRule="exact"/>
        <w:jc w:val="left"/>
        <w:rPr>
          <w:rFonts w:cs="宋体" w:asciiTheme="minorEastAsia" w:hAnsiTheme="minorEastAsia"/>
          <w:kern w:val="0"/>
          <w:sz w:val="28"/>
          <w:szCs w:val="28"/>
        </w:rPr>
      </w:pPr>
      <w:r>
        <w:rPr>
          <w:rFonts w:cs="宋体" w:asciiTheme="minorEastAsia" w:hAnsiTheme="minorEastAsia"/>
          <w:b/>
          <w:bCs/>
          <w:kern w:val="0"/>
          <w:sz w:val="28"/>
          <w:szCs w:val="28"/>
        </w:rPr>
        <w:t xml:space="preserve">  </w:t>
      </w:r>
      <w:r>
        <w:rPr>
          <w:rFonts w:cs="宋体" w:asciiTheme="minorEastAsia" w:hAnsiTheme="minorEastAsia"/>
          <w:kern w:val="0"/>
          <w:sz w:val="28"/>
          <w:szCs w:val="28"/>
        </w:rPr>
        <w:t>（三）开展群众性宣传工作，普及生殖健康、计划生育等和科学知识和信息，倡导科学、文明、健康的婚育观念，提高群众实行计划生育的自觉性。</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（四）拓展服务领域，推进生育关怀行动，为广大育龄群众和计划生育家庭福利。</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（五）推进人口计划生育基层群众自治，教育、引导广大群众自觉实行计划生育，反映群众在生殖健康计划生育等方面的诉求，依法维护群众的合法权益。</w:t>
      </w:r>
    </w:p>
    <w:p>
      <w:pPr>
        <w:widowControl/>
        <w:spacing w:line="500" w:lineRule="exact"/>
        <w:ind w:firstLine="280" w:firstLineChars="100"/>
        <w:jc w:val="left"/>
        <w:rPr>
          <w:rFonts w:cs="宋体" w:asciiTheme="minorEastAsia" w:hAnsiTheme="minorEastAsia"/>
          <w:kern w:val="0"/>
          <w:sz w:val="28"/>
          <w:szCs w:val="28"/>
        </w:rPr>
      </w:pPr>
      <w:r>
        <w:rPr>
          <w:rFonts w:cs="宋体" w:asciiTheme="minorEastAsia" w:hAnsiTheme="minorEastAsia"/>
          <w:kern w:val="0"/>
          <w:sz w:val="28"/>
          <w:szCs w:val="28"/>
        </w:rPr>
        <w:t>（六）完成县委、县人民政府交办的其他事项。</w:t>
      </w:r>
    </w:p>
    <w:p>
      <w:pPr>
        <w:rPr>
          <w:rFonts w:asciiTheme="minorEastAsia" w:hAnsiTheme="minorEastAsia"/>
          <w:sz w:val="28"/>
          <w:szCs w:val="28"/>
        </w:rPr>
      </w:pPr>
      <w:r>
        <w:rPr>
          <w:rFonts w:hint="eastAsia" w:asciiTheme="minorEastAsia" w:hAnsiTheme="minorEastAsia"/>
          <w:sz w:val="28"/>
          <w:szCs w:val="28"/>
        </w:rPr>
        <w:t>二、基本支出情况</w:t>
      </w:r>
    </w:p>
    <w:p>
      <w:pPr>
        <w:ind w:firstLine="64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2</w:t>
      </w:r>
      <w:r>
        <w:rPr>
          <w:rFonts w:hint="eastAsia" w:asciiTheme="minorEastAsia" w:hAnsiTheme="minorEastAsia"/>
          <w:sz w:val="28"/>
          <w:szCs w:val="28"/>
        </w:rPr>
        <w:t>年各级财政划拨新田县计划生育协会共计</w:t>
      </w:r>
      <w:r>
        <w:rPr>
          <w:rFonts w:hint="eastAsia" w:asciiTheme="minorEastAsia" w:hAnsiTheme="minorEastAsia"/>
          <w:sz w:val="28"/>
          <w:szCs w:val="28"/>
          <w:lang w:val="en-US" w:eastAsia="zh-CN"/>
        </w:rPr>
        <w:t>292.31</w:t>
      </w:r>
      <w:r>
        <w:rPr>
          <w:rFonts w:hint="eastAsia" w:asciiTheme="minorEastAsia" w:hAnsiTheme="minorEastAsia"/>
          <w:sz w:val="28"/>
          <w:szCs w:val="28"/>
        </w:rPr>
        <w:t>万元，支出：</w:t>
      </w:r>
      <w:r>
        <w:rPr>
          <w:rFonts w:hint="eastAsia" w:asciiTheme="minorEastAsia" w:hAnsiTheme="minorEastAsia"/>
          <w:sz w:val="28"/>
          <w:szCs w:val="28"/>
          <w:lang w:val="en-US" w:eastAsia="zh-CN"/>
        </w:rPr>
        <w:t>292.31</w:t>
      </w:r>
      <w:r>
        <w:rPr>
          <w:rFonts w:hint="eastAsia" w:asciiTheme="minorEastAsia" w:hAnsiTheme="minorEastAsia"/>
          <w:sz w:val="28"/>
          <w:szCs w:val="28"/>
        </w:rPr>
        <w:t>万元，结余0万元。</w:t>
      </w:r>
    </w:p>
    <w:p>
      <w:pPr>
        <w:ind w:firstLine="560" w:firstLineChars="200"/>
        <w:rPr>
          <w:rFonts w:asciiTheme="minorEastAsia" w:hAnsiTheme="minorEastAsia"/>
          <w:sz w:val="28"/>
          <w:szCs w:val="28"/>
        </w:rPr>
      </w:pPr>
      <w:r>
        <w:rPr>
          <w:rFonts w:hint="eastAsia" w:asciiTheme="minorEastAsia" w:hAnsiTheme="minorEastAsia"/>
          <w:b/>
          <w:bCs/>
          <w:sz w:val="28"/>
          <w:szCs w:val="28"/>
        </w:rPr>
        <w:t>基本支出情况：</w:t>
      </w:r>
      <w:r>
        <w:rPr>
          <w:rFonts w:hint="eastAsia" w:asciiTheme="minorEastAsia" w:hAnsiTheme="minorEastAsia"/>
          <w:sz w:val="28"/>
          <w:szCs w:val="28"/>
          <w:lang w:val="en-US" w:eastAsia="zh-CN"/>
        </w:rPr>
        <w:t>292.31</w:t>
      </w:r>
      <w:r>
        <w:rPr>
          <w:rFonts w:hint="eastAsia" w:asciiTheme="minorEastAsia" w:hAnsiTheme="minorEastAsia"/>
          <w:sz w:val="28"/>
          <w:szCs w:val="28"/>
        </w:rPr>
        <w:t>万元，其中：工资福利支出：</w:t>
      </w:r>
      <w:r>
        <w:rPr>
          <w:rFonts w:hint="eastAsia" w:asciiTheme="minorEastAsia" w:hAnsiTheme="minorEastAsia"/>
          <w:sz w:val="28"/>
          <w:szCs w:val="28"/>
          <w:lang w:val="en-US" w:eastAsia="zh-CN"/>
        </w:rPr>
        <w:t>79.25</w:t>
      </w:r>
      <w:r>
        <w:rPr>
          <w:rFonts w:hint="eastAsia" w:asciiTheme="minorEastAsia" w:hAnsiTheme="minorEastAsia"/>
          <w:sz w:val="28"/>
          <w:szCs w:val="28"/>
        </w:rPr>
        <w:t>万元，商品和服务支出：</w:t>
      </w:r>
      <w:r>
        <w:rPr>
          <w:rFonts w:hint="eastAsia" w:asciiTheme="minorEastAsia" w:hAnsiTheme="minorEastAsia"/>
          <w:sz w:val="28"/>
          <w:szCs w:val="28"/>
          <w:lang w:val="en-US" w:eastAsia="zh-CN"/>
        </w:rPr>
        <w:t>60.32</w:t>
      </w:r>
      <w:r>
        <w:rPr>
          <w:rFonts w:hint="eastAsia" w:asciiTheme="minorEastAsia" w:hAnsiTheme="minorEastAsia"/>
          <w:sz w:val="28"/>
          <w:szCs w:val="28"/>
        </w:rPr>
        <w:t>万元，对个人和家庭的补助支出：</w:t>
      </w:r>
      <w:r>
        <w:rPr>
          <w:rFonts w:hint="eastAsia" w:asciiTheme="minorEastAsia" w:hAnsiTheme="minorEastAsia"/>
          <w:sz w:val="28"/>
          <w:szCs w:val="28"/>
          <w:lang w:val="en-US" w:eastAsia="zh-CN"/>
        </w:rPr>
        <w:t>152.74</w:t>
      </w:r>
      <w:r>
        <w:rPr>
          <w:rFonts w:hint="eastAsia" w:asciiTheme="minorEastAsia" w:hAnsiTheme="minorEastAsia"/>
          <w:sz w:val="28"/>
          <w:szCs w:val="28"/>
        </w:rPr>
        <w:t>万元。</w:t>
      </w:r>
    </w:p>
    <w:p>
      <w:pPr>
        <w:widowControl/>
        <w:spacing w:line="360" w:lineRule="auto"/>
        <w:ind w:firstLine="560" w:firstLineChars="200"/>
        <w:rPr>
          <w:rFonts w:ascii="仿宋" w:hAnsi="仿宋" w:eastAsia="仿宋"/>
          <w:color w:val="000000"/>
          <w:kern w:val="0"/>
          <w:sz w:val="32"/>
          <w:szCs w:val="32"/>
        </w:rPr>
      </w:pPr>
      <w:r>
        <w:rPr>
          <w:rFonts w:hint="eastAsia" w:asciiTheme="minorEastAsia" w:hAnsiTheme="minorEastAsia"/>
          <w:sz w:val="28"/>
          <w:szCs w:val="28"/>
        </w:rPr>
        <w:t>“</w:t>
      </w:r>
      <w:r>
        <w:rPr>
          <w:rFonts w:hint="eastAsia" w:asciiTheme="minorEastAsia" w:hAnsiTheme="minorEastAsia"/>
          <w:b/>
          <w:sz w:val="28"/>
          <w:szCs w:val="28"/>
        </w:rPr>
        <w:t>三公经费</w:t>
      </w:r>
      <w:r>
        <w:rPr>
          <w:rFonts w:hint="eastAsia" w:asciiTheme="minorEastAsia" w:hAnsiTheme="minorEastAsia"/>
          <w:sz w:val="28"/>
          <w:szCs w:val="28"/>
        </w:rPr>
        <w:t>”202</w:t>
      </w:r>
      <w:r>
        <w:rPr>
          <w:rFonts w:hint="eastAsia" w:asciiTheme="minorEastAsia" w:hAnsiTheme="minorEastAsia"/>
          <w:sz w:val="28"/>
          <w:szCs w:val="28"/>
          <w:lang w:val="en-US" w:eastAsia="zh-CN"/>
        </w:rPr>
        <w:t>2</w:t>
      </w:r>
      <w:r>
        <w:rPr>
          <w:rFonts w:hint="eastAsia" w:asciiTheme="minorEastAsia" w:hAnsiTheme="minorEastAsia"/>
          <w:sz w:val="28"/>
          <w:szCs w:val="28"/>
        </w:rPr>
        <w:t>年度支出202</w:t>
      </w:r>
      <w:r>
        <w:rPr>
          <w:rFonts w:hint="eastAsia" w:asciiTheme="minorEastAsia" w:hAnsiTheme="minorEastAsia"/>
          <w:sz w:val="28"/>
          <w:szCs w:val="28"/>
          <w:lang w:val="en-US" w:eastAsia="zh-CN"/>
        </w:rPr>
        <w:t>2</w:t>
      </w:r>
      <w:r>
        <w:rPr>
          <w:rFonts w:hint="eastAsia" w:asciiTheme="minorEastAsia" w:hAnsiTheme="minorEastAsia"/>
          <w:sz w:val="28"/>
          <w:szCs w:val="28"/>
        </w:rPr>
        <w:t xml:space="preserve">年三公经费支出 </w:t>
      </w:r>
      <w:r>
        <w:rPr>
          <w:rFonts w:hint="eastAsia" w:asciiTheme="minorEastAsia" w:hAnsiTheme="minorEastAsia"/>
          <w:sz w:val="28"/>
          <w:szCs w:val="28"/>
          <w:lang w:val="en-US" w:eastAsia="zh-CN"/>
        </w:rPr>
        <w:t>1.81</w:t>
      </w:r>
      <w:r>
        <w:rPr>
          <w:rFonts w:hint="eastAsia" w:asciiTheme="minorEastAsia" w:hAnsiTheme="minorEastAsia"/>
          <w:sz w:val="28"/>
          <w:szCs w:val="28"/>
        </w:rPr>
        <w:t>万元，20</w:t>
      </w:r>
      <w:r>
        <w:rPr>
          <w:rFonts w:hint="eastAsia" w:asciiTheme="minorEastAsia" w:hAnsiTheme="minorEastAsia"/>
          <w:sz w:val="28"/>
          <w:szCs w:val="28"/>
          <w:lang w:val="en-US" w:eastAsia="zh-CN"/>
        </w:rPr>
        <w:t>21</w:t>
      </w:r>
      <w:r>
        <w:rPr>
          <w:rFonts w:hint="eastAsia" w:asciiTheme="minorEastAsia" w:hAnsiTheme="minorEastAsia"/>
          <w:sz w:val="28"/>
          <w:szCs w:val="28"/>
        </w:rPr>
        <w:t>年三公经费支出</w:t>
      </w:r>
      <w:r>
        <w:rPr>
          <w:rFonts w:hint="eastAsia" w:asciiTheme="minorEastAsia" w:hAnsiTheme="minorEastAsia"/>
          <w:sz w:val="28"/>
          <w:szCs w:val="28"/>
          <w:lang w:val="en-US" w:eastAsia="zh-CN"/>
        </w:rPr>
        <w:t>1.91</w:t>
      </w:r>
      <w:r>
        <w:rPr>
          <w:rFonts w:hint="eastAsia" w:asciiTheme="minorEastAsia" w:hAnsiTheme="minorEastAsia"/>
          <w:sz w:val="28"/>
          <w:szCs w:val="28"/>
        </w:rPr>
        <w:t>万元，减少</w:t>
      </w:r>
      <w:r>
        <w:rPr>
          <w:rFonts w:hint="eastAsia" w:asciiTheme="minorEastAsia" w:hAnsiTheme="minorEastAsia"/>
          <w:sz w:val="28"/>
          <w:szCs w:val="28"/>
          <w:lang w:val="en-US" w:eastAsia="zh-CN"/>
        </w:rPr>
        <w:t>0.1</w:t>
      </w:r>
      <w:r>
        <w:rPr>
          <w:rFonts w:hint="eastAsia" w:asciiTheme="minorEastAsia" w:hAnsiTheme="minorEastAsia"/>
          <w:sz w:val="28"/>
          <w:szCs w:val="28"/>
        </w:rPr>
        <w:t>万元，原因是严格控制三公经费开支。其中：因公出国（境）支出0万元，公务用车购置及运行维护费支出0万元，公车运行维护费0万元，公务接待接待费</w:t>
      </w:r>
      <w:r>
        <w:rPr>
          <w:rFonts w:hint="eastAsia" w:asciiTheme="minorEastAsia" w:hAnsiTheme="minorEastAsia"/>
          <w:sz w:val="28"/>
          <w:szCs w:val="28"/>
          <w:lang w:val="en-US" w:eastAsia="zh-CN"/>
        </w:rPr>
        <w:t>1.81</w:t>
      </w:r>
      <w:r>
        <w:rPr>
          <w:rFonts w:hint="eastAsia" w:asciiTheme="minorEastAsia" w:hAnsiTheme="minorEastAsia"/>
          <w:sz w:val="28"/>
          <w:szCs w:val="28"/>
        </w:rPr>
        <w:t>万元。“三公”经费支出减少的原因主要是我会较好的落实了中央、省、市、县关于厉行节约、压缩一般性行政经费的要求。</w:t>
      </w:r>
    </w:p>
    <w:p>
      <w:pPr>
        <w:ind w:firstLine="560" w:firstLineChars="200"/>
        <w:rPr>
          <w:rFonts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2</w:t>
      </w:r>
      <w:r>
        <w:rPr>
          <w:rFonts w:hint="eastAsia" w:asciiTheme="minorEastAsia" w:hAnsiTheme="minorEastAsia"/>
          <w:sz w:val="28"/>
          <w:szCs w:val="28"/>
        </w:rPr>
        <w:t>年度我会参加出国（境）团组0个，累计0人次。公务接待批次</w:t>
      </w:r>
      <w:r>
        <w:rPr>
          <w:rFonts w:hint="eastAsia" w:asciiTheme="minorEastAsia" w:hAnsiTheme="minorEastAsia"/>
          <w:sz w:val="28"/>
          <w:szCs w:val="28"/>
          <w:lang w:val="en-US" w:eastAsia="zh-CN"/>
        </w:rPr>
        <w:t>206</w:t>
      </w:r>
      <w:r>
        <w:rPr>
          <w:rFonts w:hint="eastAsia" w:asciiTheme="minorEastAsia" w:hAnsiTheme="minorEastAsia"/>
          <w:sz w:val="28"/>
          <w:szCs w:val="28"/>
        </w:rPr>
        <w:t>人次。202</w:t>
      </w:r>
      <w:r>
        <w:rPr>
          <w:rFonts w:hint="eastAsia" w:asciiTheme="minorEastAsia" w:hAnsiTheme="minorEastAsia"/>
          <w:sz w:val="28"/>
          <w:szCs w:val="28"/>
          <w:lang w:val="en-US" w:eastAsia="zh-CN"/>
        </w:rPr>
        <w:t>2</w:t>
      </w:r>
      <w:r>
        <w:rPr>
          <w:rFonts w:hint="eastAsia" w:asciiTheme="minorEastAsia" w:hAnsiTheme="minorEastAsia"/>
          <w:sz w:val="28"/>
          <w:szCs w:val="28"/>
        </w:rPr>
        <w:t>年本单位购置公务用车0台，年末公用车辆保有量0台。</w:t>
      </w:r>
    </w:p>
    <w:p>
      <w:pPr>
        <w:ind w:firstLine="560" w:firstLineChars="200"/>
        <w:rPr>
          <w:rFonts w:asciiTheme="minorEastAsia" w:hAnsiTheme="minorEastAsia"/>
          <w:sz w:val="28"/>
          <w:szCs w:val="28"/>
        </w:rPr>
      </w:pPr>
      <w:r>
        <w:rPr>
          <w:rFonts w:hint="eastAsia" w:cs="仿宋_GB2312" w:asciiTheme="minorEastAsia" w:hAnsiTheme="minorEastAsia"/>
          <w:b/>
          <w:bCs/>
          <w:sz w:val="28"/>
          <w:szCs w:val="28"/>
        </w:rPr>
        <w:t>二、部门整体支出绩效情况</w:t>
      </w:r>
    </w:p>
    <w:p>
      <w:pPr>
        <w:ind w:firstLine="560" w:firstLineChars="200"/>
        <w:rPr>
          <w:rFonts w:asciiTheme="minorEastAsia" w:hAnsiTheme="minorEastAsia"/>
          <w:sz w:val="28"/>
          <w:szCs w:val="28"/>
        </w:rPr>
      </w:pPr>
      <w:r>
        <w:rPr>
          <w:rFonts w:hint="eastAsia" w:asciiTheme="minorEastAsia" w:hAnsiTheme="minorEastAsia"/>
          <w:sz w:val="28"/>
          <w:szCs w:val="28"/>
        </w:rPr>
        <w:t>整体支出情况是：基本支出全年</w:t>
      </w:r>
      <w:r>
        <w:rPr>
          <w:rFonts w:hint="eastAsia" w:asciiTheme="minorEastAsia" w:hAnsiTheme="minorEastAsia"/>
          <w:sz w:val="28"/>
          <w:szCs w:val="28"/>
          <w:lang w:val="en-US" w:eastAsia="zh-CN"/>
        </w:rPr>
        <w:t>292.31</w:t>
      </w:r>
      <w:r>
        <w:rPr>
          <w:rFonts w:hint="eastAsia" w:asciiTheme="minorEastAsia" w:hAnsiTheme="minorEastAsia"/>
          <w:sz w:val="28"/>
          <w:szCs w:val="28"/>
        </w:rPr>
        <w:t>万元，项目支出0万元。</w:t>
      </w:r>
    </w:p>
    <w:p>
      <w:pPr>
        <w:pStyle w:val="2"/>
        <w:spacing w:line="36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rPr>
        <w:t>202</w:t>
      </w:r>
      <w:r>
        <w:rPr>
          <w:rFonts w:hint="eastAsia" w:asciiTheme="minorEastAsia" w:hAnsiTheme="minorEastAsia"/>
          <w:sz w:val="28"/>
          <w:szCs w:val="28"/>
          <w:lang w:val="en-US" w:eastAsia="zh-CN"/>
        </w:rPr>
        <w:t>2</w:t>
      </w:r>
      <w:r>
        <w:rPr>
          <w:rFonts w:hint="eastAsia" w:asciiTheme="minorEastAsia" w:hAnsiTheme="minorEastAsia"/>
          <w:sz w:val="28"/>
          <w:szCs w:val="28"/>
        </w:rPr>
        <w:t>年的部门整体支出绩效自我评价得到98分，自评结果：良好。我会将在以后的工作中加强预算管理，严格控制各项经费的开支，提高经费的使用效率。</w:t>
      </w:r>
      <w:r>
        <w:rPr>
          <w:rFonts w:hint="eastAsia" w:asciiTheme="minorEastAsia" w:hAnsiTheme="minorEastAsia"/>
          <w:sz w:val="28"/>
          <w:szCs w:val="28"/>
          <w:lang w:val="en-US" w:eastAsia="zh-CN"/>
        </w:rPr>
        <w:t>2022年，在县委、县政府的坚强领导下，在省、市计生协的精心指导和关心支持下，我县计生协坚持以习近平新时代中国特色社会主义思想为指导，贯彻落实党的十九大和十九届历次全会精神，坚持计生协会服务全县大卫生、大健康建设工作理念，坚持“党建带会建”、“党员带会员”、“活动强活力”、“服务树品牌”工作思路，紧紧围绕健康新田建设和助力乡村振兴主题，注重产业帮扶、项目带动和共建幸福家庭相结合，积极参与全国文明城市创建和健康促进县创建活动，着力抓实抓好“六项重点任务”，一年来取得了较好的成绩。县计生协会已连续10年被省计生协会评为先进单位，今年的工作比往年更为突出，目前我们正抓紧时间上报绩效考核资料，力争2022年继续保持省计划生育协会先进单位的荣誉。</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一）以政治建设为统领，深化党建引领会建。始终坚持党建引领协会建设，深入学习贯彻习近平新时代中国特色社会主义思想，以党的政治建设为统领，进一步增强“四个意识”、坚定“四个自信”，坚决做到“两个维护”。把党的领导贯穿到计生协工作的各方面和全过程，引导广大会员群众听党话跟党走，把思想和行动统一到中央决策部署上来。</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1、坚持“学党史 我为群众办实事”常态化开展。一是持续</w:t>
      </w:r>
      <w:r>
        <w:rPr>
          <w:rFonts w:hint="eastAsia" w:asciiTheme="minorEastAsia" w:hAnsiTheme="minorEastAsia"/>
          <w:sz w:val="28"/>
          <w:szCs w:val="28"/>
        </w:rPr>
        <w:t>开展关怀关爱走访慰问活动</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春节期间县委书记秦山成等县委、县政府主要领导分别按照走访方案先后深入各乡镇走访计生家庭困难户</w:t>
      </w:r>
      <w:r>
        <w:rPr>
          <w:rFonts w:hint="eastAsia" w:asciiTheme="minorEastAsia" w:hAnsiTheme="minorEastAsia"/>
          <w:sz w:val="28"/>
          <w:szCs w:val="28"/>
          <w:lang w:eastAsia="zh-CN"/>
        </w:rPr>
        <w:t>，</w:t>
      </w:r>
      <w:r>
        <w:rPr>
          <w:rFonts w:hint="eastAsia" w:asciiTheme="minorEastAsia" w:hAnsiTheme="minorEastAsia"/>
          <w:sz w:val="28"/>
          <w:szCs w:val="28"/>
        </w:rPr>
        <w:t>全县共走访慰问</w:t>
      </w:r>
      <w:r>
        <w:rPr>
          <w:rFonts w:hint="eastAsia" w:asciiTheme="minorEastAsia" w:hAnsiTheme="minorEastAsia"/>
          <w:sz w:val="28"/>
          <w:szCs w:val="28"/>
          <w:lang w:val="en-US" w:eastAsia="zh-CN"/>
        </w:rPr>
        <w:t>240</w:t>
      </w:r>
      <w:r>
        <w:rPr>
          <w:rFonts w:hint="eastAsia" w:asciiTheme="minorEastAsia" w:hAnsiTheme="minorEastAsia"/>
          <w:sz w:val="28"/>
          <w:szCs w:val="28"/>
        </w:rPr>
        <w:t>户计生困难家庭</w:t>
      </w:r>
      <w:r>
        <w:rPr>
          <w:rFonts w:hint="eastAsia" w:asciiTheme="minorEastAsia" w:hAnsiTheme="minorEastAsia"/>
          <w:sz w:val="28"/>
          <w:szCs w:val="28"/>
          <w:lang w:val="en-US" w:eastAsia="zh-CN"/>
        </w:rPr>
        <w:t>和计生工作者</w:t>
      </w:r>
      <w:r>
        <w:rPr>
          <w:rFonts w:hint="eastAsia" w:asciiTheme="minorEastAsia" w:hAnsiTheme="minorEastAsia"/>
          <w:sz w:val="28"/>
          <w:szCs w:val="28"/>
        </w:rPr>
        <w:t>，其中计</w:t>
      </w:r>
      <w:r>
        <w:rPr>
          <w:rFonts w:hint="eastAsia" w:asciiTheme="minorEastAsia" w:hAnsiTheme="minorEastAsia"/>
          <w:sz w:val="28"/>
          <w:szCs w:val="28"/>
          <w:lang w:val="en-US" w:eastAsia="zh-CN"/>
        </w:rPr>
        <w:t>划</w:t>
      </w:r>
      <w:r>
        <w:rPr>
          <w:rFonts w:hint="eastAsia" w:asciiTheme="minorEastAsia" w:hAnsiTheme="minorEastAsia"/>
          <w:sz w:val="28"/>
          <w:szCs w:val="28"/>
        </w:rPr>
        <w:t>生</w:t>
      </w:r>
      <w:r>
        <w:rPr>
          <w:rFonts w:hint="eastAsia" w:asciiTheme="minorEastAsia" w:hAnsiTheme="minorEastAsia"/>
          <w:sz w:val="28"/>
          <w:szCs w:val="28"/>
          <w:lang w:val="en-US" w:eastAsia="zh-CN"/>
        </w:rPr>
        <w:t>育</w:t>
      </w:r>
      <w:r>
        <w:rPr>
          <w:rFonts w:hint="eastAsia" w:asciiTheme="minorEastAsia" w:hAnsiTheme="minorEastAsia"/>
          <w:sz w:val="28"/>
          <w:szCs w:val="28"/>
        </w:rPr>
        <w:t>失</w:t>
      </w:r>
      <w:r>
        <w:rPr>
          <w:rFonts w:hint="eastAsia" w:asciiTheme="minorEastAsia" w:hAnsiTheme="minorEastAsia"/>
          <w:sz w:val="28"/>
          <w:szCs w:val="28"/>
          <w:lang w:val="en-US" w:eastAsia="zh-CN"/>
        </w:rPr>
        <w:t>去</w:t>
      </w:r>
      <w:r>
        <w:rPr>
          <w:rFonts w:hint="eastAsia" w:asciiTheme="minorEastAsia" w:hAnsiTheme="minorEastAsia"/>
          <w:sz w:val="28"/>
          <w:szCs w:val="28"/>
        </w:rPr>
        <w:t>独</w:t>
      </w:r>
      <w:r>
        <w:rPr>
          <w:rFonts w:hint="eastAsia" w:asciiTheme="minorEastAsia" w:hAnsiTheme="minorEastAsia"/>
          <w:sz w:val="28"/>
          <w:szCs w:val="28"/>
          <w:lang w:val="en-US" w:eastAsia="zh-CN"/>
        </w:rPr>
        <w:t>生子女</w:t>
      </w:r>
      <w:r>
        <w:rPr>
          <w:rFonts w:hint="eastAsia" w:asciiTheme="minorEastAsia" w:hAnsiTheme="minorEastAsia"/>
          <w:sz w:val="28"/>
          <w:szCs w:val="28"/>
        </w:rPr>
        <w:t>和</w:t>
      </w:r>
      <w:r>
        <w:rPr>
          <w:rFonts w:hint="eastAsia" w:asciiTheme="minorEastAsia" w:hAnsiTheme="minorEastAsia"/>
          <w:sz w:val="28"/>
          <w:szCs w:val="28"/>
          <w:lang w:val="en-US" w:eastAsia="zh-CN"/>
        </w:rPr>
        <w:t>独生子女</w:t>
      </w:r>
      <w:r>
        <w:rPr>
          <w:rFonts w:hint="eastAsia" w:asciiTheme="minorEastAsia" w:hAnsiTheme="minorEastAsia"/>
          <w:sz w:val="28"/>
          <w:szCs w:val="28"/>
        </w:rPr>
        <w:t>伤残家庭</w:t>
      </w:r>
      <w:r>
        <w:rPr>
          <w:rFonts w:hint="eastAsia" w:asciiTheme="minorEastAsia" w:hAnsiTheme="minorEastAsia"/>
          <w:sz w:val="28"/>
          <w:szCs w:val="28"/>
          <w:lang w:val="en-US" w:eastAsia="zh-CN"/>
        </w:rPr>
        <w:t>81</w:t>
      </w:r>
      <w:r>
        <w:rPr>
          <w:rFonts w:hint="eastAsia" w:asciiTheme="minorEastAsia" w:hAnsiTheme="minorEastAsia"/>
          <w:sz w:val="28"/>
          <w:szCs w:val="28"/>
        </w:rPr>
        <w:t>户，共发放慰问金1</w:t>
      </w:r>
      <w:r>
        <w:rPr>
          <w:rFonts w:hint="eastAsia" w:asciiTheme="minorEastAsia" w:hAnsiTheme="minorEastAsia"/>
          <w:sz w:val="28"/>
          <w:szCs w:val="28"/>
          <w:lang w:val="en-US" w:eastAsia="zh-CN"/>
        </w:rPr>
        <w:t>428</w:t>
      </w:r>
      <w:r>
        <w:rPr>
          <w:rFonts w:hint="eastAsia" w:asciiTheme="minorEastAsia" w:hAnsiTheme="minorEastAsia"/>
          <w:sz w:val="28"/>
          <w:szCs w:val="28"/>
        </w:rPr>
        <w:t>00元，慰问物资价值</w:t>
      </w:r>
      <w:r>
        <w:rPr>
          <w:rFonts w:hint="eastAsia" w:asciiTheme="minorEastAsia" w:hAnsiTheme="minorEastAsia"/>
          <w:sz w:val="28"/>
          <w:szCs w:val="28"/>
          <w:lang w:val="en-US" w:eastAsia="zh-CN"/>
        </w:rPr>
        <w:t>30000余</w:t>
      </w:r>
      <w:r>
        <w:rPr>
          <w:rFonts w:hint="eastAsia" w:asciiTheme="minorEastAsia" w:hAnsiTheme="minorEastAsia"/>
          <w:sz w:val="28"/>
          <w:szCs w:val="28"/>
        </w:rPr>
        <w:t>元</w:t>
      </w:r>
      <w:r>
        <w:rPr>
          <w:rFonts w:hint="eastAsia" w:asciiTheme="minorEastAsia" w:hAnsiTheme="minorEastAsia"/>
          <w:sz w:val="28"/>
          <w:szCs w:val="28"/>
          <w:lang w:eastAsia="zh-CN"/>
        </w:rPr>
        <w:t>，</w:t>
      </w:r>
      <w:r>
        <w:rPr>
          <w:rFonts w:hint="eastAsia" w:asciiTheme="minorEastAsia" w:hAnsiTheme="minorEastAsia"/>
          <w:sz w:val="28"/>
          <w:szCs w:val="28"/>
        </w:rPr>
        <w:t>达到了“下基层送温暖”、“走访慰问一户、温暖一片”的效果</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在“5.29”活动期间，全县各级计生协会再次</w:t>
      </w:r>
      <w:r>
        <w:rPr>
          <w:rFonts w:hint="eastAsia" w:asciiTheme="minorEastAsia" w:hAnsiTheme="minorEastAsia"/>
          <w:sz w:val="28"/>
          <w:szCs w:val="28"/>
        </w:rPr>
        <w:t>走访慰问</w:t>
      </w:r>
      <w:r>
        <w:rPr>
          <w:rFonts w:hint="eastAsia" w:asciiTheme="minorEastAsia" w:hAnsiTheme="minorEastAsia"/>
          <w:sz w:val="28"/>
          <w:szCs w:val="28"/>
          <w:lang w:val="en-US" w:eastAsia="zh-CN"/>
        </w:rPr>
        <w:t>81户</w:t>
      </w:r>
      <w:r>
        <w:rPr>
          <w:rFonts w:hint="eastAsia" w:asciiTheme="minorEastAsia" w:hAnsiTheme="minorEastAsia"/>
          <w:sz w:val="28"/>
          <w:szCs w:val="28"/>
        </w:rPr>
        <w:t>计生特殊家庭、困难家庭和农村“三留守”人员</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慰问金（品）价值5万元。二是积极开展赠险活动。今年5月，县计生协支出3.36万元为我县224名计划生育特殊家庭成员购买健康保险，投入3.2万元为我县两女结扎户和14周岁以下的独生子女户1067户2568人购买意外保险，两种险种近几年的合计理赔都达到了10万元以上，</w:t>
      </w:r>
      <w:r>
        <w:rPr>
          <w:rFonts w:hint="eastAsia" w:asciiTheme="minorEastAsia" w:hAnsiTheme="minorEastAsia"/>
          <w:sz w:val="28"/>
          <w:szCs w:val="28"/>
        </w:rPr>
        <w:t>提升</w:t>
      </w:r>
      <w:r>
        <w:rPr>
          <w:rFonts w:hint="eastAsia" w:asciiTheme="minorEastAsia" w:hAnsiTheme="minorEastAsia"/>
          <w:sz w:val="28"/>
          <w:szCs w:val="28"/>
          <w:lang w:val="en-US" w:eastAsia="zh-CN"/>
        </w:rPr>
        <w:t>了</w:t>
      </w:r>
      <w:r>
        <w:rPr>
          <w:rFonts w:hint="eastAsia" w:asciiTheme="minorEastAsia" w:hAnsiTheme="minorEastAsia"/>
          <w:sz w:val="28"/>
          <w:szCs w:val="28"/>
        </w:rPr>
        <w:t>计生家庭抵御风险能力</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 xml:space="preserve">三是做好计生特殊家庭重病大病住院护理补贴发放。2022年县计生协共发放计生特殊家庭重病大病住院护理补贴59人次6.4万元，解决了特殊家庭因病住院无人照看的后顾之忧。                                                                                                                                                                                                                                                     </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w:t>
      </w:r>
      <w:r>
        <w:rPr>
          <w:rFonts w:hint="eastAsia" w:asciiTheme="minorEastAsia" w:hAnsiTheme="minorEastAsia"/>
          <w:sz w:val="28"/>
          <w:szCs w:val="28"/>
        </w:rPr>
        <w:t>严守政治纪律和</w:t>
      </w:r>
      <w:r>
        <w:rPr>
          <w:rFonts w:hint="eastAsia" w:asciiTheme="minorEastAsia" w:hAnsiTheme="minorEastAsia"/>
          <w:sz w:val="28"/>
          <w:szCs w:val="28"/>
        </w:rPr>
        <w:fldChar w:fldCharType="begin"/>
      </w:r>
      <w:r>
        <w:rPr>
          <w:rFonts w:hint="eastAsia" w:asciiTheme="minorEastAsia" w:hAnsiTheme="minorEastAsia"/>
          <w:sz w:val="28"/>
          <w:szCs w:val="28"/>
        </w:rPr>
        <w:instrText xml:space="preserve"> HYPERLINK "http://www.wm114.cn/0o/40/index.html" </w:instrText>
      </w:r>
      <w:r>
        <w:rPr>
          <w:rFonts w:hint="eastAsia" w:asciiTheme="minorEastAsia" w:hAnsiTheme="minorEastAsia"/>
          <w:sz w:val="28"/>
          <w:szCs w:val="28"/>
        </w:rPr>
        <w:fldChar w:fldCharType="separate"/>
      </w:r>
      <w:r>
        <w:rPr>
          <w:rFonts w:hint="eastAsia" w:asciiTheme="minorEastAsia" w:hAnsiTheme="minorEastAsia"/>
          <w:sz w:val="28"/>
          <w:szCs w:val="28"/>
        </w:rPr>
        <w:t>政治规矩</w:t>
      </w:r>
      <w:r>
        <w:rPr>
          <w:rFonts w:hint="eastAsia" w:asciiTheme="minorEastAsia" w:hAnsiTheme="minorEastAsia"/>
          <w:sz w:val="28"/>
          <w:szCs w:val="28"/>
        </w:rPr>
        <w:fldChar w:fldCharType="end"/>
      </w:r>
      <w:r>
        <w:rPr>
          <w:rFonts w:hint="eastAsia" w:asciiTheme="minorEastAsia" w:hAnsiTheme="minorEastAsia"/>
          <w:sz w:val="28"/>
          <w:szCs w:val="28"/>
        </w:rPr>
        <w:t>。坚决贯彻上级决定、决议，严格贯彻执行县委关于请示报告会议文件有关规定，确保上级的各项决策部署得到贯彻落实。坚决做到遵章办事、令行禁止。抓权力运行规范。在研究领导干部职工分工、“5.29”活动经费、失独家庭及困难计生家庭慰问、青春期健康教育、设备购置、计生协改革方案等“三重一大”事项过程中，充分征求干部职工意见，坚决落实班子集体决策和末位表态制度，确保班子决策的正确性、科学性、合理性。</w:t>
      </w:r>
    </w:p>
    <w:p>
      <w:pPr>
        <w:pStyle w:val="2"/>
        <w:spacing w:line="360" w:lineRule="auto"/>
        <w:ind w:firstLine="560" w:firstLineChars="200"/>
        <w:rPr>
          <w:rFonts w:hint="eastAsia" w:asciiTheme="minorEastAsia" w:hAnsiTheme="minorEastAsia"/>
          <w:sz w:val="28"/>
          <w:szCs w:val="28"/>
          <w:lang w:val="en-US"/>
        </w:rPr>
      </w:pPr>
      <w:r>
        <w:rPr>
          <w:rFonts w:hint="eastAsia" w:asciiTheme="minorEastAsia" w:hAnsiTheme="minorEastAsia"/>
          <w:sz w:val="28"/>
          <w:szCs w:val="28"/>
          <w:lang w:val="en-US" w:eastAsia="zh-CN"/>
        </w:rPr>
        <w:t>3、强化政治理论学习。在加强协会业务知识学习的基础上，坚持在每周一干部职工例会集中学习习近平总书记重要讲话精神和党的二十大精神等重要政治理论知识，积极参加县卫健局机关党支部组织的专题讨论，坚持撰写学习心得体会，同时充分利用“学习强国”平台优势丰富全体干部职工的学习内容，加强对政治学习的管理工作，努力建设学习型协会。</w:t>
      </w:r>
    </w:p>
    <w:p>
      <w:pPr>
        <w:pStyle w:val="2"/>
        <w:spacing w:line="360" w:lineRule="auto"/>
        <w:ind w:firstLine="560" w:firstLineChars="200"/>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二）以机构改革为契机，夯实协会阵地基石。稳步推进县、乡计生协会机构改革，加强基层计生协会组织建设和队伍建设，推进全县计生协会规范化建设，落实乡村计生协会专（兼）职人员，确保计生协会队伍稳定，做到层层有人管，事事有人办，各项活动内容丰富有落实。今年 9月底召开了县计生协会第八次全县会员代表大会，选举产生了县计生协会第八届理事会、常务理事会及理事会会长、第一副会长、常务副会长，在全市率先完成改革换届选举任务。</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三）以健康教育为主题，助力健康新田建设。加快协会转型服务，主动融入健康新田建设，承接卫生健康部门部分服务职能。继续抓好群众性宣传教育、计生家庭帮扶、流动人口服务、优生优育、家庭健康、计生家庭维权、计生协会组织建设。同时，做好青春期健康知识进校园、进社区、进企业培训。</w:t>
      </w:r>
    </w:p>
    <w:p>
      <w:pPr>
        <w:pStyle w:val="2"/>
        <w:spacing w:line="360" w:lineRule="auto"/>
        <w:ind w:firstLine="560" w:firstLineChars="200"/>
        <w:rPr>
          <w:rFonts w:hint="eastAsia" w:asciiTheme="minorEastAsia" w:hAnsiTheme="minorEastAsia"/>
          <w:sz w:val="28"/>
          <w:szCs w:val="28"/>
        </w:rPr>
      </w:pPr>
      <w:r>
        <w:rPr>
          <w:rFonts w:hint="eastAsia" w:asciiTheme="minorEastAsia" w:hAnsiTheme="minorEastAsia"/>
          <w:sz w:val="28"/>
          <w:szCs w:val="28"/>
          <w:lang w:val="en-US" w:eastAsia="zh-CN"/>
        </w:rPr>
        <w:t>1、突出主题，抓好“5.29会员日”活动。今年5月29日是中国计生协成立42周年纪念日，</w:t>
      </w:r>
      <w:r>
        <w:rPr>
          <w:rFonts w:hint="eastAsia" w:asciiTheme="minorEastAsia" w:hAnsiTheme="minorEastAsia"/>
          <w:sz w:val="28"/>
          <w:szCs w:val="28"/>
        </w:rPr>
        <w:t>也是</w:t>
      </w:r>
      <w:r>
        <w:rPr>
          <w:rFonts w:hint="eastAsia" w:asciiTheme="minorEastAsia" w:hAnsiTheme="minorEastAsia"/>
          <w:sz w:val="28"/>
          <w:szCs w:val="28"/>
          <w:lang w:val="en-US" w:eastAsia="zh-CN"/>
        </w:rPr>
        <w:t>中国</w:t>
      </w:r>
      <w:r>
        <w:rPr>
          <w:rFonts w:hint="eastAsia" w:asciiTheme="minorEastAsia" w:hAnsiTheme="minorEastAsia"/>
          <w:sz w:val="28"/>
          <w:szCs w:val="28"/>
        </w:rPr>
        <w:t>计生协第2</w:t>
      </w:r>
      <w:r>
        <w:rPr>
          <w:rFonts w:hint="eastAsia" w:asciiTheme="minorEastAsia" w:hAnsiTheme="minorEastAsia"/>
          <w:sz w:val="28"/>
          <w:szCs w:val="28"/>
          <w:lang w:val="en-US" w:eastAsia="zh-CN"/>
        </w:rPr>
        <w:t>4</w:t>
      </w:r>
      <w:r>
        <w:rPr>
          <w:rFonts w:hint="eastAsia" w:asciiTheme="minorEastAsia" w:hAnsiTheme="minorEastAsia"/>
          <w:sz w:val="28"/>
          <w:szCs w:val="28"/>
        </w:rPr>
        <w:t>个“会员活动日”。</w:t>
      </w:r>
      <w:r>
        <w:rPr>
          <w:rFonts w:hint="eastAsia" w:asciiTheme="minorEastAsia" w:hAnsiTheme="minorEastAsia"/>
          <w:sz w:val="28"/>
          <w:szCs w:val="28"/>
          <w:lang w:val="en-US" w:eastAsia="zh-CN"/>
        </w:rPr>
        <w:t>5月27日，在县文体中心开展了“倡新型婚育文化·促人口均衡发展”——喜迎党的二十大会员庆祝活动，会上徐红梅等15人被评为优秀会员，宋春娟、宋利平等16个家庭被评为市、县“幸福健康好家庭”。</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2、围绕主题，做好人口健康政策调研。5月10日下午在行政中心县委会议室召开了“贯彻中央《优化生育政策，促进人口均衡发展的决定》座谈会，就基层人口结构、人口持续发展等具体问题进行了交流探讨，广泛听取基层意见、建议。省计划生育协会副会长梁文明，省人口健康福利基金会理事长李凡奇，省计划生育协会秘书长蒋建益，省卫健委人口家庭处二级调研员谭国岳，市卫健委党组书记、主任、市计生协会第一副会长刘建能，市计生协会专职副会长彭志刚，市计生协会二级调研员李双元，县领导杨康、宋桂雄、郑水龙、罗成文、郑龙杰等参加启动仪式或座谈会。</w:t>
      </w:r>
    </w:p>
    <w:p>
      <w:pPr>
        <w:pStyle w:val="2"/>
        <w:spacing w:line="360" w:lineRule="auto"/>
        <w:ind w:firstLine="560" w:firstLineChars="200"/>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3、深化主题，积极开展健康教育宣传培训。广泛开展“送健康知识、健康服务下乡活动”。全县各计生协结合实际，组织开展“编印一本健康知识读本、开展一次健康医疗服务、组织一次健康知识讲座”等健康科普活动。深入开展青春健康教育“四进”活动。推进性与生殖健康工作进学校、进社区、进企业、进家庭活动。重新成立青春健康教育知识讲座专家组，聘请了10名理论知识扎实、善于感情交流、授课形式丰富、具有心理咨询师资质等条件的人员长期从事全县的青春健康教育工作。2022全年举办中小学和“成长之道”教育培训——“我成长、我健康、我青春”青春健康教育进校园活动6期。</w:t>
      </w:r>
    </w:p>
    <w:p>
      <w:pPr>
        <w:adjustRightInd w:val="0"/>
        <w:snapToGrid w:val="0"/>
        <w:spacing w:line="500" w:lineRule="exact"/>
        <w:rPr>
          <w:rFonts w:cs="仿宋_GB2312" w:asciiTheme="minorEastAsia" w:hAnsiTheme="minorEastAsia"/>
          <w:b/>
          <w:bCs/>
          <w:sz w:val="28"/>
          <w:szCs w:val="28"/>
        </w:rPr>
      </w:pPr>
      <w:r>
        <w:rPr>
          <w:rFonts w:hint="eastAsia" w:cs="仿宋_GB2312" w:asciiTheme="minorEastAsia" w:hAnsiTheme="minorEastAsia"/>
          <w:b/>
          <w:bCs/>
          <w:sz w:val="28"/>
          <w:szCs w:val="28"/>
        </w:rPr>
        <w:t>三、绩效自评情况及存在的主要问题</w:t>
      </w:r>
    </w:p>
    <w:p>
      <w:pPr>
        <w:tabs>
          <w:tab w:val="left" w:pos="709"/>
        </w:tabs>
        <w:snapToGrid w:val="0"/>
        <w:spacing w:line="500" w:lineRule="exact"/>
        <w:ind w:firstLine="560" w:firstLineChars="200"/>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202</w:t>
      </w:r>
      <w:r>
        <w:rPr>
          <w:rFonts w:hint="eastAsia" w:asciiTheme="minorEastAsia" w:hAnsiTheme="minorEastAsia" w:cstheme="minorBidi"/>
          <w:kern w:val="2"/>
          <w:sz w:val="28"/>
          <w:szCs w:val="28"/>
          <w:lang w:val="en-US" w:eastAsia="zh-CN" w:bidi="ar-SA"/>
        </w:rPr>
        <w:t>2</w:t>
      </w:r>
      <w:r>
        <w:rPr>
          <w:rFonts w:hint="eastAsia" w:asciiTheme="minorEastAsia" w:hAnsiTheme="minorEastAsia" w:eastAsiaTheme="minorEastAsia" w:cstheme="minorBidi"/>
          <w:kern w:val="2"/>
          <w:sz w:val="28"/>
          <w:szCs w:val="28"/>
          <w:lang w:val="en-US" w:eastAsia="zh-CN" w:bidi="ar-SA"/>
        </w:rPr>
        <w:t>年度新田县计划生育协会经费管理使用合规。在资金使用和管理上各级财政拔付及时，项目单位财务制度健全，手续完善，无浪费和套取专项资金行为，不存在挪用及“雁过拔毛”等违规现象。</w:t>
      </w:r>
    </w:p>
    <w:p>
      <w:pPr>
        <w:snapToGrid w:val="0"/>
        <w:spacing w:line="520" w:lineRule="exact"/>
        <w:rPr>
          <w:rFonts w:ascii="仿宋" w:hAnsi="仿宋" w:eastAsia="仿宋"/>
          <w:b/>
          <w:bCs/>
          <w:sz w:val="32"/>
          <w:szCs w:val="32"/>
        </w:rPr>
      </w:pPr>
      <w:r>
        <w:rPr>
          <w:rFonts w:hint="eastAsia" w:asciiTheme="minorEastAsia" w:hAnsiTheme="minorEastAsia"/>
          <w:b/>
          <w:sz w:val="28"/>
          <w:szCs w:val="28"/>
        </w:rPr>
        <w:t>四、当年预算执行及绩效管理中存在问题、原因及改进措施。</w:t>
      </w:r>
    </w:p>
    <w:p>
      <w:pPr>
        <w:spacing w:line="360" w:lineRule="auto"/>
        <w:ind w:firstLine="560" w:firstLineChars="200"/>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希望财政能够考虑实际情况，加大计生协能力建设经费及振兴服务乡村经费预算，满足日常办公开支。我会一定认真贯彻落实党中央、省、市关于厉行勤俭节约、反铺张浪费的各项规定，严格控制“三公”经费，加强会议费、培训费、差旅费的管理，切实降低行政运行成本，努力提高财政资金使用效益。</w:t>
      </w:r>
    </w:p>
    <w:p>
      <w:pPr>
        <w:snapToGrid w:val="0"/>
        <w:spacing w:line="520" w:lineRule="exact"/>
        <w:ind w:firstLine="560" w:firstLineChars="200"/>
        <w:rPr>
          <w:rFonts w:hint="eastAsia" w:asciiTheme="minorEastAsia" w:hAnsiTheme="minorEastAsia" w:eastAsiaTheme="minorEastAsia" w:cstheme="minorBidi"/>
          <w:kern w:val="2"/>
          <w:sz w:val="28"/>
          <w:szCs w:val="28"/>
          <w:lang w:val="en-US" w:eastAsia="zh-CN" w:bidi="ar-SA"/>
        </w:rPr>
      </w:pPr>
      <w:r>
        <w:rPr>
          <w:rFonts w:hint="eastAsia" w:asciiTheme="minorEastAsia" w:hAnsiTheme="minorEastAsia" w:eastAsiaTheme="minorEastAsia" w:cstheme="minorBidi"/>
          <w:kern w:val="2"/>
          <w:sz w:val="28"/>
          <w:szCs w:val="28"/>
          <w:lang w:val="en-US" w:eastAsia="zh-CN" w:bidi="ar-SA"/>
        </w:rPr>
        <w:t xml:space="preserve"> </w:t>
      </w:r>
    </w:p>
    <w:p>
      <w:pPr>
        <w:pStyle w:val="2"/>
        <w:spacing w:line="360" w:lineRule="auto"/>
        <w:ind w:firstLine="560" w:firstLineChars="200"/>
        <w:rPr>
          <w:rFonts w:hint="eastAsia" w:asciiTheme="minorEastAsia" w:hAnsiTheme="minorEastAsia"/>
          <w:sz w:val="28"/>
          <w:szCs w:val="28"/>
          <w:lang w:val="en-US" w:eastAsia="zh-CN"/>
        </w:rPr>
      </w:pPr>
    </w:p>
    <w:p>
      <w:pPr>
        <w:pStyle w:val="2"/>
        <w:spacing w:line="360" w:lineRule="auto"/>
        <w:ind w:firstLine="560" w:firstLineChars="200"/>
        <w:rPr>
          <w:rFonts w:hint="eastAsia" w:asciiTheme="minorEastAsia" w:hAnsiTheme="minorEastAsia"/>
          <w:sz w:val="28"/>
          <w:szCs w:val="28"/>
        </w:rPr>
      </w:pPr>
    </w:p>
    <w:p>
      <w:pPr>
        <w:ind w:firstLine="560" w:firstLineChars="200"/>
        <w:jc w:val="center"/>
        <w:rPr>
          <w:rFonts w:hint="eastAsia" w:asciiTheme="minorEastAsia" w:hAnsiTheme="minorEastAsia" w:eastAsiaTheme="minorEastAsia" w:cstheme="minorEastAsia"/>
          <w:b/>
          <w:color w:val="000000"/>
          <w:kern w:val="0"/>
          <w:sz w:val="28"/>
          <w:szCs w:val="28"/>
        </w:rPr>
      </w:pPr>
    </w:p>
    <w:p>
      <w:pPr>
        <w:pStyle w:val="11"/>
        <w:jc w:val="center"/>
        <w:rPr>
          <w:sz w:val="72"/>
          <w:szCs w:val="7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M2FmNTY1MzE3ZGJiZGNmOTk1YjhlM2UyODhkZm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92C43"/>
    <w:rsid w:val="00FB462F"/>
    <w:rsid w:val="00FE16FA"/>
    <w:rsid w:val="00FE328A"/>
    <w:rsid w:val="00FE6269"/>
    <w:rsid w:val="00FF5CD6"/>
    <w:rsid w:val="026305F6"/>
    <w:rsid w:val="02FE20CD"/>
    <w:rsid w:val="09AA26F7"/>
    <w:rsid w:val="13EE1CEA"/>
    <w:rsid w:val="1BBE6445"/>
    <w:rsid w:val="1ECC422C"/>
    <w:rsid w:val="1F19183F"/>
    <w:rsid w:val="1F4F0EF6"/>
    <w:rsid w:val="26A01A4A"/>
    <w:rsid w:val="2C4E7372"/>
    <w:rsid w:val="2C5A5D16"/>
    <w:rsid w:val="30782C0F"/>
    <w:rsid w:val="315C608D"/>
    <w:rsid w:val="3B20637D"/>
    <w:rsid w:val="3B691AD2"/>
    <w:rsid w:val="3CBC19D3"/>
    <w:rsid w:val="3FE457A9"/>
    <w:rsid w:val="43BF2BD7"/>
    <w:rsid w:val="48BF5A42"/>
    <w:rsid w:val="55AE4859"/>
    <w:rsid w:val="56550C5C"/>
    <w:rsid w:val="5777D4F5"/>
    <w:rsid w:val="59EF71EF"/>
    <w:rsid w:val="5B8D464B"/>
    <w:rsid w:val="5F8F08CA"/>
    <w:rsid w:val="5FC6BB1E"/>
    <w:rsid w:val="5FF720F1"/>
    <w:rsid w:val="60237BF2"/>
    <w:rsid w:val="609B351E"/>
    <w:rsid w:val="60EA0710"/>
    <w:rsid w:val="64A54408"/>
    <w:rsid w:val="6A0B5E2E"/>
    <w:rsid w:val="6C6429CE"/>
    <w:rsid w:val="6D5A330F"/>
    <w:rsid w:val="6EF96718"/>
    <w:rsid w:val="6F9B0B8C"/>
    <w:rsid w:val="737D59BA"/>
    <w:rsid w:val="7395275D"/>
    <w:rsid w:val="75862CA5"/>
    <w:rsid w:val="75BF7F65"/>
    <w:rsid w:val="77B06588"/>
    <w:rsid w:val="77B673DE"/>
    <w:rsid w:val="77C37683"/>
    <w:rsid w:val="79F53F55"/>
    <w:rsid w:val="79FF515B"/>
    <w:rsid w:val="7B160627"/>
    <w:rsid w:val="7C63789C"/>
    <w:rsid w:val="7D1868D9"/>
    <w:rsid w:val="7D31799A"/>
    <w:rsid w:val="7E9F11B4"/>
    <w:rsid w:val="7F08472B"/>
    <w:rsid w:val="7F1B445E"/>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Balloon Text"/>
    <w:basedOn w:val="1"/>
    <w:link w:val="13"/>
    <w:semiHidden/>
    <w:unhideWhenUsed/>
    <w:qFormat/>
    <w:uiPriority w:val="99"/>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2"/>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 w:type="character" w:customStyle="1" w:styleId="14">
    <w:name w:val="font01"/>
    <w:basedOn w:val="7"/>
    <w:qFormat/>
    <w:uiPriority w:val="0"/>
    <w:rPr>
      <w:rFonts w:hint="eastAsia" w:ascii="宋体" w:hAnsi="宋体" w:eastAsia="宋体" w:cs="宋体"/>
      <w:color w:val="000000"/>
      <w:sz w:val="22"/>
      <w:szCs w:val="22"/>
      <w:u w:val="none"/>
    </w:rPr>
  </w:style>
  <w:style w:type="character" w:customStyle="1" w:styleId="15">
    <w:name w:val="font2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9808</Words>
  <Characters>10966</Characters>
  <Lines>63</Lines>
  <Paragraphs>18</Paragraphs>
  <TotalTime>0</TotalTime>
  <ScaleCrop>false</ScaleCrop>
  <LinksUpToDate>false</LinksUpToDate>
  <CharactersWithSpaces>12261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2023-09-22T05:11:15Z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C2AED5B1C1154501921ABC7C7462D743_13</vt:lpwstr>
  </property>
</Properties>
</file>