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3A" w:rsidRPr="007B133A" w:rsidRDefault="007B133A" w:rsidP="007B133A">
      <w:pPr>
        <w:jc w:val="center"/>
        <w:outlineLvl w:val="1"/>
        <w:rPr>
          <w:rFonts w:asciiTheme="minorEastAsia" w:eastAsiaTheme="minorEastAsia" w:hAnsiTheme="minorEastAsia" w:cs="方正仿宋_GBK"/>
          <w:sz w:val="36"/>
          <w:szCs w:val="36"/>
        </w:rPr>
      </w:pPr>
      <w:r w:rsidRPr="007B133A">
        <w:rPr>
          <w:rFonts w:asciiTheme="minorEastAsia" w:eastAsiaTheme="minorEastAsia" w:hAnsiTheme="minorEastAsia" w:cs="方正仿宋_GBK" w:hint="eastAsia"/>
          <w:sz w:val="36"/>
          <w:szCs w:val="36"/>
        </w:rPr>
        <w:t>（</w:t>
      </w:r>
      <w:r w:rsidRPr="007B133A">
        <w:rPr>
          <w:rFonts w:asciiTheme="minorEastAsia" w:eastAsiaTheme="minorEastAsia" w:hAnsiTheme="minorEastAsia" w:cs="方正仿宋_GBK"/>
          <w:sz w:val="36"/>
          <w:szCs w:val="36"/>
        </w:rPr>
        <w:t>三）转移登记</w:t>
      </w:r>
    </w:p>
    <w:p w:rsidR="007B133A" w:rsidRPr="007B133A" w:rsidRDefault="007B133A" w:rsidP="007B133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B133A">
        <w:rPr>
          <w:rFonts w:ascii="仿宋" w:eastAsia="仿宋" w:hAnsi="仿宋"/>
          <w:sz w:val="28"/>
          <w:szCs w:val="28"/>
        </w:rPr>
        <w:t>（1）适用情形</w:t>
      </w:r>
      <w:r w:rsidRPr="007B133A">
        <w:rPr>
          <w:rFonts w:ascii="仿宋" w:eastAsia="仿宋" w:hAnsi="仿宋" w:hint="eastAsia"/>
          <w:sz w:val="28"/>
          <w:szCs w:val="28"/>
        </w:rPr>
        <w:t>：</w:t>
      </w:r>
      <w:r w:rsidRPr="007B133A">
        <w:rPr>
          <w:rFonts w:ascii="仿宋" w:eastAsia="仿宋" w:hAnsi="仿宋"/>
          <w:kern w:val="10"/>
          <w:sz w:val="28"/>
          <w:szCs w:val="28"/>
        </w:rPr>
        <w:t>集体经济组织内部互换的；出租（转包）、入股或者其他方式流转的；继承取得的；因法人或者非法人组织合并、分立等导致权利发生转移的；生效法律文书导致权属转移的；法律、行政法规规定的其他情形。</w:t>
      </w:r>
    </w:p>
    <w:p w:rsidR="007B133A" w:rsidRPr="007B133A" w:rsidRDefault="007B133A" w:rsidP="007B133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B133A">
        <w:rPr>
          <w:rFonts w:ascii="仿宋" w:eastAsia="仿宋" w:hAnsi="仿宋"/>
          <w:sz w:val="28"/>
          <w:szCs w:val="28"/>
        </w:rPr>
        <w:t>（2）申请主体</w:t>
      </w:r>
      <w:r w:rsidRPr="007B133A">
        <w:rPr>
          <w:rFonts w:ascii="仿宋" w:eastAsia="仿宋" w:hAnsi="仿宋" w:hint="eastAsia"/>
          <w:sz w:val="28"/>
          <w:szCs w:val="28"/>
        </w:rPr>
        <w:t>：</w:t>
      </w:r>
      <w:r w:rsidRPr="007B133A">
        <w:rPr>
          <w:rFonts w:ascii="仿宋" w:eastAsia="仿宋" w:hAnsi="仿宋"/>
          <w:sz w:val="28"/>
          <w:szCs w:val="28"/>
        </w:rPr>
        <w:t>转移双方共同申请；持</w:t>
      </w:r>
      <w:r w:rsidRPr="007B133A">
        <w:rPr>
          <w:rFonts w:ascii="仿宋" w:eastAsia="仿宋" w:hAnsi="仿宋"/>
          <w:kern w:val="10"/>
          <w:sz w:val="28"/>
          <w:szCs w:val="28"/>
        </w:rPr>
        <w:t>人民法院、仲裁委员会生效法律文书</w:t>
      </w:r>
      <w:r w:rsidRPr="007B133A">
        <w:rPr>
          <w:rFonts w:ascii="仿宋" w:eastAsia="仿宋" w:hAnsi="仿宋"/>
          <w:sz w:val="28"/>
          <w:szCs w:val="28"/>
        </w:rPr>
        <w:t>可单方申请。</w:t>
      </w:r>
    </w:p>
    <w:p w:rsidR="007B133A" w:rsidRPr="007B133A" w:rsidRDefault="007B133A" w:rsidP="007B133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B133A">
        <w:rPr>
          <w:rFonts w:ascii="仿宋" w:eastAsia="仿宋" w:hAnsi="仿宋"/>
          <w:sz w:val="28"/>
          <w:szCs w:val="28"/>
        </w:rPr>
        <w:t>（3）申请材料和审查要点</w:t>
      </w:r>
      <w:r w:rsidRPr="007B133A">
        <w:rPr>
          <w:rFonts w:ascii="仿宋" w:eastAsia="仿宋" w:hAnsi="仿宋" w:hint="eastAsia"/>
          <w:sz w:val="28"/>
          <w:szCs w:val="28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"/>
        <w:gridCol w:w="3838"/>
        <w:gridCol w:w="2925"/>
        <w:gridCol w:w="781"/>
      </w:tblGrid>
      <w:tr w:rsidR="007B133A" w:rsidTr="005D3D4A">
        <w:trPr>
          <w:tblHeader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7B133A" w:rsidTr="005D3D4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 w:rsidRPr="00F14A1C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B133A" w:rsidTr="005D3D4A">
        <w:trPr>
          <w:trHeight w:val="778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 w:rsidRPr="00F14A1C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7B133A" w:rsidTr="005D3D4A">
        <w:trPr>
          <w:trHeight w:val="780"/>
        </w:trPr>
        <w:tc>
          <w:tcPr>
            <w:tcW w:w="48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不动产权属证书</w:t>
            </w:r>
          </w:p>
        </w:tc>
        <w:tc>
          <w:tcPr>
            <w:tcW w:w="2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真实性、合法性、有效性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B133A" w:rsidTr="005D3D4A">
        <w:trPr>
          <w:trHeight w:val="780"/>
        </w:trPr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水域滩涂养殖权转移的材料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1</w:t>
            </w:r>
            <w:r>
              <w:rPr>
                <w:rFonts w:eastAsia="仿宋_GB2312"/>
                <w:bCs/>
                <w:sz w:val="24"/>
                <w:szCs w:val="24"/>
              </w:rPr>
              <w:t>）集体经济组织内部互换的，提交互换协议和双方为本集体经济组织成员的材料，以及县级农业农村部门审批意见和发包方意见；</w:t>
            </w:r>
          </w:p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2</w:t>
            </w:r>
            <w:r>
              <w:rPr>
                <w:rFonts w:eastAsia="仿宋_GB2312"/>
                <w:bCs/>
                <w:sz w:val="24"/>
                <w:szCs w:val="24"/>
              </w:rPr>
              <w:t>）依法转让的，提交县级渔业水产部门审批意见和发包方意见；</w:t>
            </w:r>
          </w:p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3</w:t>
            </w:r>
            <w:r>
              <w:rPr>
                <w:rFonts w:eastAsia="仿宋_GB2312"/>
                <w:bCs/>
                <w:sz w:val="24"/>
                <w:szCs w:val="24"/>
              </w:rPr>
              <w:t>）因家庭关系、婚姻关系变化等原因导致水域滩涂养殖权分割或者合并的，提交县级渔业水产部门审批意见和发包方意见；</w:t>
            </w:r>
          </w:p>
          <w:p w:rsidR="007B133A" w:rsidRDefault="007B133A" w:rsidP="005D3D4A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4</w:t>
            </w:r>
            <w:r>
              <w:rPr>
                <w:rFonts w:eastAsia="仿宋_GB2312"/>
                <w:bCs/>
                <w:sz w:val="24"/>
                <w:szCs w:val="24"/>
              </w:rPr>
              <w:t>）因人民法院或者仲裁委员会生效法律文书导致权属发生转移的，提交人民法院或者仲裁委员会生效法律文书；</w:t>
            </w:r>
          </w:p>
        </w:tc>
        <w:tc>
          <w:tcPr>
            <w:tcW w:w="2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转移材料是否齐全、有效、合法。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33A" w:rsidRDefault="007B133A" w:rsidP="005D3D4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7B133A" w:rsidRPr="007B133A" w:rsidRDefault="007B133A" w:rsidP="007B133A">
      <w:pPr>
        <w:rPr>
          <w:rFonts w:ascii="仿宋" w:eastAsia="仿宋" w:hAnsi="仿宋"/>
          <w:sz w:val="24"/>
          <w:szCs w:val="24"/>
        </w:rPr>
      </w:pPr>
      <w:r w:rsidRPr="007B133A">
        <w:rPr>
          <w:rFonts w:ascii="仿宋" w:eastAsia="仿宋" w:hAnsi="仿宋" w:hint="eastAsia"/>
          <w:sz w:val="24"/>
          <w:szCs w:val="24"/>
        </w:rPr>
        <w:t>（4）办理流程及时限：</w:t>
      </w:r>
    </w:p>
    <w:p w:rsidR="007B133A" w:rsidRPr="007B133A" w:rsidRDefault="007B133A" w:rsidP="007B133A">
      <w:pPr>
        <w:rPr>
          <w:rFonts w:ascii="仿宋" w:eastAsia="仿宋" w:hAnsi="仿宋"/>
          <w:sz w:val="24"/>
          <w:szCs w:val="24"/>
        </w:rPr>
      </w:pPr>
      <w:r w:rsidRPr="007B133A">
        <w:rPr>
          <w:rFonts w:ascii="仿宋" w:eastAsia="仿宋" w:hAnsi="仿宋" w:hint="eastAsia"/>
          <w:sz w:val="24"/>
          <w:szCs w:val="24"/>
        </w:rPr>
        <w:t>申请（申请、受理）、审核、发证（登簿、缴费、发证）；自受理登记申请之日起3个工作日内办结。</w:t>
      </w:r>
    </w:p>
    <w:p w:rsidR="00B26A0C" w:rsidRPr="007B133A" w:rsidRDefault="00B26A0C">
      <w:pPr>
        <w:rPr>
          <w:rFonts w:ascii="仿宋" w:eastAsia="仿宋" w:hAnsi="仿宋"/>
          <w:sz w:val="24"/>
          <w:szCs w:val="24"/>
        </w:rPr>
      </w:pPr>
    </w:p>
    <w:sectPr w:rsidR="00B26A0C" w:rsidRPr="007B133A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133A"/>
    <w:rsid w:val="007B133A"/>
    <w:rsid w:val="00B2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3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7B133A"/>
    <w:rPr>
      <w:rFonts w:ascii="宋体"/>
    </w:rPr>
  </w:style>
  <w:style w:type="paragraph" w:customStyle="1" w:styleId="a3">
    <w:name w:val="段"/>
    <w:link w:val="Char"/>
    <w:qFormat/>
    <w:rsid w:val="007B133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2021-07-28T02:01:00Z</dcterms:created>
  <dcterms:modified xsi:type="dcterms:W3CDTF">2021-07-28T02:02:00Z</dcterms:modified>
</cp:coreProperties>
</file>