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02" w:rsidRDefault="00F65602" w:rsidP="00F65602">
      <w:pPr>
        <w:jc w:val="center"/>
        <w:outlineLvl w:val="0"/>
      </w:pPr>
      <w:bookmarkStart w:id="0" w:name="_Toc13543"/>
      <w:r>
        <w:rPr>
          <w:rStyle w:val="1Char"/>
          <w:b w:val="0"/>
          <w:sz w:val="36"/>
        </w:rPr>
        <w:t>十五、查封登记</w:t>
      </w:r>
      <w:bookmarkEnd w:id="0"/>
    </w:p>
    <w:p w:rsidR="00F65602" w:rsidRPr="00F65602" w:rsidRDefault="00F65602" w:rsidP="00F65602">
      <w:pPr>
        <w:jc w:val="center"/>
        <w:outlineLvl w:val="1"/>
        <w:rPr>
          <w:rFonts w:asciiTheme="minorEastAsia" w:eastAsiaTheme="minorEastAsia" w:hAnsiTheme="minorEastAsia" w:cs="方正仿宋_GBK"/>
          <w:sz w:val="28"/>
          <w:szCs w:val="28"/>
        </w:rPr>
      </w:pPr>
      <w:bookmarkStart w:id="1" w:name="_Toc5920"/>
      <w:r w:rsidRPr="00F65602">
        <w:rPr>
          <w:rFonts w:asciiTheme="minorEastAsia" w:eastAsiaTheme="minorEastAsia" w:hAnsiTheme="minorEastAsia" w:cs="方正仿宋_GBK"/>
          <w:sz w:val="28"/>
          <w:szCs w:val="28"/>
        </w:rPr>
        <w:t>（一）查封登记</w:t>
      </w:r>
      <w:bookmarkEnd w:id="1"/>
    </w:p>
    <w:p w:rsidR="00F65602" w:rsidRPr="00F65602" w:rsidRDefault="00F65602" w:rsidP="00F65602">
      <w:pPr>
        <w:ind w:firstLineChars="200" w:firstLine="560"/>
        <w:rPr>
          <w:rFonts w:eastAsia="仿宋_GB2312"/>
          <w:sz w:val="28"/>
          <w:szCs w:val="28"/>
        </w:rPr>
      </w:pPr>
      <w:r w:rsidRPr="00F65602">
        <w:rPr>
          <w:rFonts w:eastAsia="仿宋_GB2312"/>
          <w:sz w:val="28"/>
          <w:szCs w:val="28"/>
        </w:rPr>
        <w:t>（</w:t>
      </w:r>
      <w:r w:rsidRPr="00F65602">
        <w:rPr>
          <w:rFonts w:eastAsia="仿宋_GB2312"/>
          <w:sz w:val="28"/>
          <w:szCs w:val="28"/>
        </w:rPr>
        <w:t>1</w:t>
      </w:r>
      <w:r w:rsidRPr="00F65602">
        <w:rPr>
          <w:rFonts w:eastAsia="仿宋_GB2312"/>
          <w:sz w:val="28"/>
          <w:szCs w:val="28"/>
        </w:rPr>
        <w:t>）适用情形</w:t>
      </w:r>
      <w:r w:rsidRPr="00F65602">
        <w:rPr>
          <w:rFonts w:eastAsia="仿宋_GB2312" w:hint="eastAsia"/>
          <w:sz w:val="28"/>
          <w:szCs w:val="28"/>
        </w:rPr>
        <w:t>：</w:t>
      </w:r>
    </w:p>
    <w:p w:rsidR="00F65602" w:rsidRPr="00F65602" w:rsidRDefault="00F65602" w:rsidP="00F65602">
      <w:pPr>
        <w:pStyle w:val="a3"/>
        <w:ind w:firstLine="560"/>
        <w:rPr>
          <w:rFonts w:ascii="Times New Roman" w:eastAsia="仿宋_GB2312" w:hAnsi="Times New Roman" w:cs="Times New Roman"/>
          <w:color w:val="0D1C28"/>
          <w:sz w:val="28"/>
          <w:szCs w:val="28"/>
        </w:rPr>
      </w:pPr>
      <w:r w:rsidRPr="00F65602">
        <w:rPr>
          <w:rFonts w:ascii="Times New Roman" w:eastAsia="仿宋_GB2312" w:hAnsi="Times New Roman" w:cs="Times New Roman"/>
          <w:color w:val="0D1C28"/>
          <w:sz w:val="28"/>
          <w:szCs w:val="28"/>
        </w:rPr>
        <w:t>不动产登记机构依据国家有权机关的嘱托文件依法办理查封登记的，适用查封登记。</w:t>
      </w:r>
    </w:p>
    <w:p w:rsidR="00F65602" w:rsidRPr="00F65602" w:rsidRDefault="00F65602" w:rsidP="00F65602">
      <w:pPr>
        <w:ind w:firstLineChars="200" w:firstLine="560"/>
        <w:rPr>
          <w:rFonts w:eastAsia="仿宋_GB2312"/>
          <w:color w:val="0D1C28"/>
          <w:sz w:val="28"/>
          <w:szCs w:val="28"/>
        </w:rPr>
      </w:pPr>
      <w:r w:rsidRPr="00F65602">
        <w:rPr>
          <w:rFonts w:eastAsia="仿宋_GB2312"/>
          <w:color w:val="0D1C28"/>
          <w:sz w:val="28"/>
          <w:szCs w:val="28"/>
        </w:rPr>
        <w:t>（</w:t>
      </w:r>
      <w:r w:rsidRPr="00F65602">
        <w:rPr>
          <w:rFonts w:eastAsia="仿宋_GB2312"/>
          <w:color w:val="0D1C28"/>
          <w:sz w:val="28"/>
          <w:szCs w:val="28"/>
        </w:rPr>
        <w:t>2</w:t>
      </w:r>
      <w:r w:rsidRPr="00F65602">
        <w:rPr>
          <w:rFonts w:eastAsia="仿宋_GB2312"/>
          <w:color w:val="0D1C28"/>
          <w:sz w:val="28"/>
          <w:szCs w:val="28"/>
        </w:rPr>
        <w:t>）申请主体</w:t>
      </w:r>
      <w:r w:rsidRPr="00F65602">
        <w:rPr>
          <w:rFonts w:eastAsia="仿宋_GB2312" w:hint="eastAsia"/>
          <w:color w:val="0D1C28"/>
          <w:sz w:val="28"/>
          <w:szCs w:val="28"/>
        </w:rPr>
        <w:t>：</w:t>
      </w:r>
    </w:p>
    <w:p w:rsidR="00F65602" w:rsidRPr="00F65602" w:rsidRDefault="00F65602" w:rsidP="00F65602">
      <w:pPr>
        <w:ind w:firstLineChars="200" w:firstLine="560"/>
        <w:rPr>
          <w:rFonts w:eastAsia="仿宋_GB2312"/>
          <w:color w:val="0D1C28"/>
          <w:sz w:val="28"/>
          <w:szCs w:val="28"/>
        </w:rPr>
      </w:pPr>
      <w:r w:rsidRPr="00F65602">
        <w:rPr>
          <w:rFonts w:eastAsia="仿宋_GB2312"/>
          <w:color w:val="0D1C28"/>
          <w:sz w:val="28"/>
          <w:szCs w:val="28"/>
        </w:rPr>
        <w:t>人民法院、人民检察院、监察机关、公安机关等国家有权机关。</w:t>
      </w:r>
    </w:p>
    <w:p w:rsidR="00F65602" w:rsidRPr="00F65602" w:rsidRDefault="00F65602" w:rsidP="00F65602">
      <w:pPr>
        <w:ind w:firstLineChars="200" w:firstLine="560"/>
        <w:rPr>
          <w:rFonts w:eastAsia="仿宋_GB2312"/>
          <w:sz w:val="28"/>
          <w:szCs w:val="28"/>
        </w:rPr>
      </w:pPr>
      <w:r w:rsidRPr="00F65602">
        <w:rPr>
          <w:rFonts w:eastAsia="仿宋_GB2312"/>
          <w:sz w:val="28"/>
          <w:szCs w:val="28"/>
        </w:rPr>
        <w:t>（</w:t>
      </w:r>
      <w:r w:rsidRPr="00F65602">
        <w:rPr>
          <w:rFonts w:eastAsia="仿宋_GB2312"/>
          <w:sz w:val="28"/>
          <w:szCs w:val="28"/>
        </w:rPr>
        <w:t>3</w:t>
      </w:r>
      <w:r w:rsidRPr="00F65602">
        <w:rPr>
          <w:rFonts w:eastAsia="仿宋_GB2312"/>
          <w:sz w:val="28"/>
          <w:szCs w:val="28"/>
        </w:rPr>
        <w:t>）申请材料和审查要点</w:t>
      </w:r>
      <w:r w:rsidRPr="00F65602">
        <w:rPr>
          <w:rFonts w:eastAsia="仿宋_GB2312" w:hint="eastAsia"/>
          <w:sz w:val="28"/>
          <w:szCs w:val="28"/>
        </w:rPr>
        <w:t>：</w:t>
      </w:r>
    </w:p>
    <w:tbl>
      <w:tblPr>
        <w:tblpPr w:leftFromText="180" w:rightFromText="180" w:vertAnchor="text" w:tblpY="1"/>
        <w:tblOverlap w:val="neve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87"/>
        <w:gridCol w:w="4473"/>
        <w:gridCol w:w="557"/>
      </w:tblGrid>
      <w:tr w:rsidR="00F65602" w:rsidTr="00D7352D">
        <w:tc>
          <w:tcPr>
            <w:tcW w:w="2047" w:type="pct"/>
            <w:tcBorders>
              <w:top w:val="single" w:sz="4" w:space="0" w:color="auto"/>
              <w:left w:val="single" w:sz="4" w:space="0" w:color="auto"/>
              <w:bottom w:val="single" w:sz="4" w:space="0" w:color="auto"/>
              <w:right w:val="single" w:sz="4" w:space="0" w:color="auto"/>
            </w:tcBorders>
          </w:tcPr>
          <w:p w:rsidR="00F65602" w:rsidRDefault="00F65602" w:rsidP="00D7352D">
            <w:pPr>
              <w:jc w:val="center"/>
              <w:rPr>
                <w:rFonts w:eastAsia="仿宋_GB2312"/>
                <w:b/>
                <w:sz w:val="24"/>
                <w:szCs w:val="24"/>
              </w:rPr>
            </w:pPr>
            <w:r>
              <w:rPr>
                <w:rFonts w:eastAsia="仿宋_GB2312"/>
                <w:b/>
                <w:sz w:val="24"/>
                <w:szCs w:val="24"/>
              </w:rPr>
              <w:t>申请材料</w:t>
            </w:r>
          </w:p>
        </w:tc>
        <w:tc>
          <w:tcPr>
            <w:tcW w:w="2625" w:type="pct"/>
            <w:tcBorders>
              <w:top w:val="single" w:sz="4" w:space="0" w:color="auto"/>
              <w:left w:val="single" w:sz="4" w:space="0" w:color="auto"/>
              <w:bottom w:val="single" w:sz="4" w:space="0" w:color="auto"/>
              <w:right w:val="single" w:sz="4" w:space="0" w:color="auto"/>
            </w:tcBorders>
          </w:tcPr>
          <w:p w:rsidR="00F65602" w:rsidRDefault="00F65602" w:rsidP="00D7352D">
            <w:pPr>
              <w:jc w:val="center"/>
              <w:rPr>
                <w:rFonts w:eastAsia="仿宋_GB2312"/>
                <w:b/>
                <w:sz w:val="24"/>
                <w:szCs w:val="24"/>
              </w:rPr>
            </w:pPr>
            <w:r>
              <w:rPr>
                <w:rFonts w:eastAsia="仿宋_GB2312"/>
                <w:b/>
                <w:sz w:val="24"/>
                <w:szCs w:val="24"/>
              </w:rPr>
              <w:t>审查要点</w:t>
            </w:r>
          </w:p>
        </w:tc>
        <w:tc>
          <w:tcPr>
            <w:tcW w:w="327" w:type="pct"/>
            <w:tcBorders>
              <w:top w:val="single" w:sz="4" w:space="0" w:color="auto"/>
              <w:left w:val="single" w:sz="4" w:space="0" w:color="auto"/>
              <w:bottom w:val="single" w:sz="4" w:space="0" w:color="auto"/>
              <w:right w:val="single" w:sz="4" w:space="0" w:color="auto"/>
            </w:tcBorders>
          </w:tcPr>
          <w:p w:rsidR="00F65602" w:rsidRDefault="00F65602" w:rsidP="00D7352D">
            <w:pPr>
              <w:jc w:val="center"/>
              <w:rPr>
                <w:rFonts w:eastAsia="仿宋_GB2312"/>
                <w:b/>
                <w:sz w:val="24"/>
                <w:szCs w:val="24"/>
              </w:rPr>
            </w:pPr>
            <w:r>
              <w:rPr>
                <w:rFonts w:eastAsia="仿宋_GB2312"/>
                <w:b/>
                <w:sz w:val="24"/>
                <w:szCs w:val="24"/>
              </w:rPr>
              <w:t>备注</w:t>
            </w:r>
          </w:p>
        </w:tc>
      </w:tr>
      <w:tr w:rsidR="00F65602" w:rsidTr="00D7352D">
        <w:trPr>
          <w:trHeight w:val="1965"/>
        </w:trPr>
        <w:tc>
          <w:tcPr>
            <w:tcW w:w="2047" w:type="pct"/>
            <w:tcBorders>
              <w:top w:val="single" w:sz="4" w:space="0" w:color="auto"/>
              <w:left w:val="single" w:sz="4" w:space="0" w:color="auto"/>
              <w:bottom w:val="single" w:sz="4" w:space="0" w:color="auto"/>
              <w:right w:val="single" w:sz="4" w:space="0" w:color="auto"/>
            </w:tcBorders>
            <w:vAlign w:val="center"/>
          </w:tcPr>
          <w:p w:rsidR="00F65602" w:rsidRDefault="00F65602" w:rsidP="00D7352D">
            <w:pPr>
              <w:rPr>
                <w:rFonts w:eastAsia="仿宋_GB2312"/>
                <w:sz w:val="24"/>
                <w:szCs w:val="24"/>
              </w:rPr>
            </w:pPr>
            <w:r>
              <w:rPr>
                <w:rFonts w:eastAsia="仿宋_GB2312"/>
                <w:sz w:val="24"/>
                <w:szCs w:val="24"/>
              </w:rPr>
              <w:t>1.</w:t>
            </w:r>
            <w:r>
              <w:rPr>
                <w:rFonts w:eastAsia="仿宋_GB2312"/>
                <w:sz w:val="24"/>
                <w:szCs w:val="24"/>
              </w:rPr>
              <w:t>人民法院、人民检察院或公安机关等国家有权机关送达人的工作证和执行公务的证明文件，委托其他法院送达的，应当提交委托送达函</w:t>
            </w:r>
          </w:p>
        </w:tc>
        <w:tc>
          <w:tcPr>
            <w:tcW w:w="2625" w:type="pct"/>
            <w:tcBorders>
              <w:top w:val="single" w:sz="4" w:space="0" w:color="auto"/>
              <w:left w:val="single" w:sz="4" w:space="0" w:color="auto"/>
              <w:bottom w:val="single" w:sz="4" w:space="0" w:color="auto"/>
              <w:right w:val="single" w:sz="4" w:space="0" w:color="auto"/>
            </w:tcBorders>
          </w:tcPr>
          <w:p w:rsidR="00F65602" w:rsidRDefault="00F65602" w:rsidP="00D7352D">
            <w:pPr>
              <w:pStyle w:val="a3"/>
              <w:ind w:firstLineChars="0" w:firstLine="0"/>
              <w:rPr>
                <w:rFonts w:ascii="Times New Roman" w:eastAsia="仿宋_GB2312" w:hAnsi="Times New Roman" w:cs="Times New Roman"/>
                <w:sz w:val="24"/>
                <w:szCs w:val="24"/>
              </w:rPr>
            </w:pPr>
          </w:p>
          <w:p w:rsidR="00F65602" w:rsidRDefault="00F65602" w:rsidP="00D7352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查看嘱托机关送达人的工作证和执行公务证，并与嘱托查封单位进行核实。委托送达的，委托送达函是否已加盖委托机关公章，是否注明委托事项、受委托机关等。</w:t>
            </w:r>
          </w:p>
        </w:tc>
        <w:tc>
          <w:tcPr>
            <w:tcW w:w="327" w:type="pct"/>
            <w:tcBorders>
              <w:top w:val="single" w:sz="4" w:space="0" w:color="auto"/>
              <w:left w:val="single" w:sz="4" w:space="0" w:color="auto"/>
              <w:bottom w:val="single" w:sz="4" w:space="0" w:color="auto"/>
              <w:right w:val="single" w:sz="4" w:space="0" w:color="auto"/>
            </w:tcBorders>
          </w:tcPr>
          <w:p w:rsidR="00F65602" w:rsidRDefault="00F65602" w:rsidP="00D7352D">
            <w:pPr>
              <w:jc w:val="center"/>
              <w:rPr>
                <w:rFonts w:eastAsia="仿宋_GB2312"/>
                <w:sz w:val="24"/>
                <w:szCs w:val="24"/>
              </w:rPr>
            </w:pPr>
          </w:p>
          <w:p w:rsidR="00F65602" w:rsidRDefault="00F65602" w:rsidP="00D7352D">
            <w:pPr>
              <w:jc w:val="center"/>
              <w:rPr>
                <w:rFonts w:eastAsia="仿宋_GB2312"/>
                <w:sz w:val="24"/>
                <w:szCs w:val="24"/>
              </w:rPr>
            </w:pPr>
            <w:r>
              <w:rPr>
                <w:rFonts w:eastAsia="仿宋_GB2312"/>
                <w:sz w:val="24"/>
                <w:szCs w:val="24"/>
              </w:rPr>
              <w:t>原件</w:t>
            </w:r>
          </w:p>
        </w:tc>
      </w:tr>
      <w:tr w:rsidR="00F65602" w:rsidTr="00D7352D">
        <w:trPr>
          <w:trHeight w:val="2235"/>
        </w:trPr>
        <w:tc>
          <w:tcPr>
            <w:tcW w:w="2047" w:type="pct"/>
            <w:tcBorders>
              <w:left w:val="single" w:sz="4" w:space="0" w:color="auto"/>
              <w:right w:val="single" w:sz="4" w:space="0" w:color="auto"/>
            </w:tcBorders>
            <w:vAlign w:val="center"/>
          </w:tcPr>
          <w:p w:rsidR="00F65602" w:rsidRDefault="00F65602" w:rsidP="00D7352D">
            <w:pPr>
              <w:rPr>
                <w:rFonts w:eastAsia="仿宋_GB2312"/>
                <w:sz w:val="24"/>
                <w:szCs w:val="24"/>
              </w:rPr>
            </w:pPr>
            <w:r>
              <w:rPr>
                <w:rFonts w:eastAsia="仿宋_GB2312"/>
                <w:sz w:val="24"/>
                <w:szCs w:val="24"/>
              </w:rPr>
              <w:t>2.</w:t>
            </w:r>
            <w:r>
              <w:rPr>
                <w:rFonts w:eastAsia="仿宋_GB2312"/>
                <w:sz w:val="24"/>
                <w:szCs w:val="24"/>
              </w:rPr>
              <w:t>人民法院查封的，应提交查封或者预查封的协助执行通知书；人民检察院查封的，应提交查封函；公安等国家有权机关查封的，应提交协助查封的有关文件</w:t>
            </w:r>
          </w:p>
        </w:tc>
        <w:tc>
          <w:tcPr>
            <w:tcW w:w="2625" w:type="pct"/>
            <w:tcBorders>
              <w:left w:val="single" w:sz="4" w:space="0" w:color="auto"/>
              <w:right w:val="single" w:sz="4" w:space="0" w:color="auto"/>
            </w:tcBorders>
          </w:tcPr>
          <w:p w:rsidR="00F65602" w:rsidRDefault="00F65602" w:rsidP="00D7352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嘱托文件是否齐全、是否符合规定；</w:t>
            </w:r>
          </w:p>
          <w:p w:rsidR="00F65602" w:rsidRDefault="00F65602" w:rsidP="00D7352D">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嘱托文件所述查封事项是否清晰，是否已注明被查封的不动产的坐落名称、权利人及有效的不动产权属证书号。被查封不动产的内容与不动产登记簿的记载是否一致。</w:t>
            </w:r>
          </w:p>
          <w:p w:rsidR="00F65602" w:rsidRDefault="00F65602" w:rsidP="00D7352D">
            <w:pPr>
              <w:rPr>
                <w:rFonts w:eastAsia="仿宋_GB2312"/>
                <w:sz w:val="24"/>
                <w:szCs w:val="24"/>
              </w:rPr>
            </w:pPr>
          </w:p>
        </w:tc>
        <w:tc>
          <w:tcPr>
            <w:tcW w:w="327" w:type="pct"/>
            <w:tcBorders>
              <w:left w:val="single" w:sz="4" w:space="0" w:color="auto"/>
              <w:right w:val="single" w:sz="4" w:space="0" w:color="auto"/>
            </w:tcBorders>
          </w:tcPr>
          <w:p w:rsidR="00F65602" w:rsidRDefault="00F65602" w:rsidP="00D7352D">
            <w:pPr>
              <w:jc w:val="center"/>
              <w:rPr>
                <w:rFonts w:eastAsia="仿宋_GB2312"/>
                <w:sz w:val="24"/>
                <w:szCs w:val="24"/>
              </w:rPr>
            </w:pPr>
          </w:p>
          <w:p w:rsidR="00F65602" w:rsidRDefault="00F65602" w:rsidP="00D7352D">
            <w:pPr>
              <w:jc w:val="center"/>
              <w:rPr>
                <w:rFonts w:eastAsia="仿宋_GB2312"/>
                <w:sz w:val="24"/>
                <w:szCs w:val="24"/>
              </w:rPr>
            </w:pPr>
            <w:r>
              <w:rPr>
                <w:rFonts w:eastAsia="仿宋_GB2312"/>
                <w:sz w:val="24"/>
                <w:szCs w:val="24"/>
              </w:rPr>
              <w:t>原件</w:t>
            </w:r>
          </w:p>
        </w:tc>
      </w:tr>
    </w:tbl>
    <w:p w:rsidR="00F65602" w:rsidRDefault="00F65602" w:rsidP="00F65602">
      <w:pPr>
        <w:pStyle w:val="a3"/>
        <w:ind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注：不动产登记机构不对查封机关送达的嘱托文件进行实体审查。不动产登记机构认为登记事项存在异议的，不动产登记机构应当办理查封登记，并向嘱托机关提出审查建议。不动产登记机构审查后符合登记条件的，应即时将查封登记事项记载于不动产登记簿。</w:t>
      </w:r>
    </w:p>
    <w:p w:rsidR="00F65602" w:rsidRPr="00F65602" w:rsidRDefault="00F65602" w:rsidP="00F65602">
      <w:pPr>
        <w:ind w:firstLineChars="200" w:firstLine="560"/>
        <w:rPr>
          <w:rFonts w:eastAsia="仿宋_GB2312"/>
          <w:sz w:val="28"/>
          <w:szCs w:val="28"/>
        </w:rPr>
      </w:pPr>
      <w:r w:rsidRPr="00F65602">
        <w:rPr>
          <w:rFonts w:eastAsia="仿宋_GB2312"/>
          <w:sz w:val="28"/>
          <w:szCs w:val="28"/>
        </w:rPr>
        <w:t>（</w:t>
      </w:r>
      <w:r w:rsidRPr="00F65602">
        <w:rPr>
          <w:rFonts w:eastAsia="仿宋_GB2312"/>
          <w:sz w:val="28"/>
          <w:szCs w:val="28"/>
        </w:rPr>
        <w:t>4</w:t>
      </w:r>
      <w:r w:rsidRPr="00F65602">
        <w:rPr>
          <w:rFonts w:eastAsia="仿宋_GB2312"/>
          <w:sz w:val="28"/>
          <w:szCs w:val="28"/>
        </w:rPr>
        <w:t>）办理流程及时限</w:t>
      </w:r>
      <w:r w:rsidRPr="00F65602">
        <w:rPr>
          <w:rFonts w:eastAsia="仿宋_GB2312" w:hint="eastAsia"/>
          <w:sz w:val="28"/>
          <w:szCs w:val="28"/>
        </w:rPr>
        <w:t>：</w:t>
      </w:r>
    </w:p>
    <w:p w:rsidR="00F65602" w:rsidRDefault="00BA6749" w:rsidP="00F65602">
      <w:pPr>
        <w:widowControl/>
        <w:spacing w:line="320" w:lineRule="exact"/>
        <w:ind w:firstLineChars="200" w:firstLine="560"/>
        <w:rPr>
          <w:rFonts w:ascii="仿宋" w:eastAsia="仿宋" w:hAnsi="仿宋" w:hint="eastAsia"/>
          <w:sz w:val="28"/>
          <w:szCs w:val="28"/>
        </w:rPr>
      </w:pPr>
      <w:r>
        <w:rPr>
          <w:rFonts w:ascii="仿宋" w:eastAsia="仿宋" w:hAnsi="仿宋" w:hint="eastAsia"/>
          <w:sz w:val="28"/>
          <w:szCs w:val="28"/>
        </w:rPr>
        <w:t>申请（申请、受理）、审核（</w:t>
      </w:r>
      <w:r w:rsidR="00F65602" w:rsidRPr="00F65602">
        <w:rPr>
          <w:rFonts w:ascii="仿宋" w:eastAsia="仿宋" w:hAnsi="仿宋" w:hint="eastAsia"/>
          <w:sz w:val="28"/>
          <w:szCs w:val="28"/>
        </w:rPr>
        <w:t>登簿</w:t>
      </w:r>
      <w:r>
        <w:rPr>
          <w:rFonts w:ascii="仿宋" w:eastAsia="仿宋" w:hAnsi="仿宋" w:hint="eastAsia"/>
          <w:sz w:val="28"/>
          <w:szCs w:val="28"/>
        </w:rPr>
        <w:t>、发证</w:t>
      </w:r>
      <w:r w:rsidRPr="00BA6749">
        <w:rPr>
          <w:rFonts w:ascii="仿宋" w:eastAsia="仿宋" w:hAnsi="仿宋" w:hint="eastAsia"/>
          <w:sz w:val="28"/>
          <w:szCs w:val="28"/>
        </w:rPr>
        <w:t>）</w:t>
      </w:r>
      <w:r w:rsidR="00F65602" w:rsidRPr="00F65602">
        <w:rPr>
          <w:rFonts w:ascii="仿宋" w:eastAsia="仿宋" w:hAnsi="仿宋" w:hint="eastAsia"/>
          <w:sz w:val="28"/>
          <w:szCs w:val="28"/>
        </w:rPr>
        <w:t>；即时办结。</w:t>
      </w:r>
    </w:p>
    <w:p w:rsidR="00F5215B" w:rsidRPr="00F65602" w:rsidRDefault="00F5215B" w:rsidP="00F5215B">
      <w:pPr>
        <w:widowControl/>
        <w:spacing w:line="320" w:lineRule="exact"/>
        <w:ind w:firstLineChars="200" w:firstLine="560"/>
        <w:rPr>
          <w:rFonts w:ascii="仿宋" w:eastAsia="仿宋" w:hAnsi="仿宋"/>
          <w:sz w:val="28"/>
          <w:szCs w:val="28"/>
        </w:rPr>
      </w:pPr>
      <w:r w:rsidRPr="00F5215B">
        <w:rPr>
          <w:rFonts w:ascii="仿宋" w:eastAsia="仿宋" w:hAnsi="仿宋" w:hint="eastAsia"/>
          <w:sz w:val="28"/>
          <w:szCs w:val="28"/>
        </w:rPr>
        <w:t>（</w:t>
      </w:r>
      <w:r>
        <w:rPr>
          <w:rFonts w:ascii="仿宋" w:eastAsia="仿宋" w:hAnsi="仿宋" w:hint="eastAsia"/>
          <w:sz w:val="28"/>
          <w:szCs w:val="28"/>
        </w:rPr>
        <w:t>5</w:t>
      </w:r>
      <w:r w:rsidRPr="00F5215B">
        <w:rPr>
          <w:rFonts w:ascii="仿宋" w:eastAsia="仿宋" w:hAnsi="仿宋" w:hint="eastAsia"/>
          <w:sz w:val="28"/>
          <w:szCs w:val="28"/>
        </w:rPr>
        <w:t>）收费标准：不收费</w:t>
      </w:r>
      <w:r>
        <w:rPr>
          <w:rFonts w:ascii="仿宋" w:eastAsia="仿宋" w:hAnsi="仿宋" w:hint="eastAsia"/>
          <w:sz w:val="28"/>
          <w:szCs w:val="28"/>
        </w:rPr>
        <w:t>。</w:t>
      </w:r>
    </w:p>
    <w:p w:rsidR="00F65602" w:rsidRDefault="00F65602" w:rsidP="00F65602"/>
    <w:p w:rsidR="00E437A4" w:rsidRDefault="00E437A4"/>
    <w:sectPr w:rsidR="00E437A4"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5602"/>
    <w:rsid w:val="00BA6749"/>
    <w:rsid w:val="00CA706B"/>
    <w:rsid w:val="00E437A4"/>
    <w:rsid w:val="00F5215B"/>
    <w:rsid w:val="00F656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02"/>
    <w:pPr>
      <w:widowControl w:val="0"/>
      <w:jc w:val="both"/>
    </w:pPr>
    <w:rPr>
      <w:rFonts w:ascii="Times New Roman" w:eastAsia="宋体" w:hAnsi="Times New Roman" w:cs="Times New Roman"/>
    </w:rPr>
  </w:style>
  <w:style w:type="paragraph" w:styleId="1">
    <w:name w:val="heading 1"/>
    <w:basedOn w:val="a"/>
    <w:next w:val="a"/>
    <w:link w:val="1Char"/>
    <w:qFormat/>
    <w:rsid w:val="00F65602"/>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65602"/>
    <w:rPr>
      <w:rFonts w:ascii="Times New Roman" w:eastAsia="宋体" w:hAnsi="Times New Roman" w:cs="Times New Roman"/>
      <w:b/>
      <w:kern w:val="44"/>
      <w:sz w:val="44"/>
      <w:szCs w:val="20"/>
    </w:rPr>
  </w:style>
  <w:style w:type="character" w:customStyle="1" w:styleId="Char">
    <w:name w:val="段 Char"/>
    <w:basedOn w:val="a0"/>
    <w:link w:val="a3"/>
    <w:qFormat/>
    <w:rsid w:val="00F65602"/>
    <w:rPr>
      <w:rFonts w:ascii="宋体"/>
    </w:rPr>
  </w:style>
  <w:style w:type="paragraph" w:customStyle="1" w:styleId="a3">
    <w:name w:val="段"/>
    <w:link w:val="Char"/>
    <w:qFormat/>
    <w:rsid w:val="00F65602"/>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2021-07-28T03:31:00Z</dcterms:created>
  <dcterms:modified xsi:type="dcterms:W3CDTF">2021-10-27T06:51:00Z</dcterms:modified>
</cp:coreProperties>
</file>