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F28FDF">
      <w:pPr>
        <w:ind w:firstLine="720"/>
        <w:rPr>
          <w:rFonts w:hint="default" w:ascii="Times New Roman" w:hAnsi="Times New Roman" w:cs="Times New Roman"/>
          <w:sz w:val="36"/>
          <w:szCs w:val="36"/>
        </w:rPr>
      </w:pPr>
    </w:p>
    <w:p w14:paraId="0DB5EA0F">
      <w:pPr>
        <w:pStyle w:val="2"/>
        <w:rPr>
          <w:rFonts w:hint="default" w:ascii="Times New Roman" w:hAnsi="Times New Roman" w:cs="Times New Roman"/>
        </w:rPr>
      </w:pPr>
    </w:p>
    <w:p w14:paraId="4603A89F">
      <w:pPr>
        <w:ind w:firstLine="720"/>
        <w:rPr>
          <w:rFonts w:hint="default" w:ascii="Times New Roman" w:hAnsi="Times New Roman" w:cs="Times New Roman"/>
          <w:sz w:val="36"/>
          <w:szCs w:val="36"/>
        </w:rPr>
      </w:pPr>
    </w:p>
    <w:p w14:paraId="3D485244">
      <w:pPr>
        <w:pStyle w:val="2"/>
        <w:rPr>
          <w:rFonts w:hint="default" w:ascii="Times New Roman" w:hAnsi="Times New Roman" w:cs="Times New Roman"/>
        </w:rPr>
      </w:pPr>
    </w:p>
    <w:p w14:paraId="455E8AB5">
      <w:pPr>
        <w:jc w:val="center"/>
        <w:rPr>
          <w:rFonts w:hint="default" w:ascii="Times New Roman" w:hAnsi="Times New Roman" w:cs="Times New Roman"/>
          <w:bCs/>
          <w:sz w:val="72"/>
          <w:szCs w:val="72"/>
        </w:rPr>
      </w:pPr>
      <w:r>
        <w:rPr>
          <w:rFonts w:hint="default" w:ascii="Times New Roman" w:hAnsi="Times New Roman" w:cs="Times New Roman"/>
          <w:bCs/>
          <w:sz w:val="72"/>
          <w:szCs w:val="72"/>
        </w:rPr>
        <w:t>建设项目环境影响报告表</w:t>
      </w:r>
    </w:p>
    <w:p w14:paraId="0C7F1002">
      <w:pPr>
        <w:spacing w:before="192" w:beforeLines="80"/>
        <w:jc w:val="center"/>
        <w:rPr>
          <w:rFonts w:hint="default" w:ascii="Times New Roman" w:hAnsi="Times New Roman" w:cs="Times New Roman"/>
          <w:bCs/>
          <w:sz w:val="48"/>
          <w:szCs w:val="48"/>
        </w:rPr>
      </w:pPr>
      <w:r>
        <w:rPr>
          <w:rFonts w:hint="default" w:ascii="Times New Roman" w:hAnsi="Times New Roman" w:cs="Times New Roman"/>
          <w:bCs/>
          <w:sz w:val="48"/>
          <w:szCs w:val="48"/>
        </w:rPr>
        <w:t>（污染影响类）</w:t>
      </w:r>
    </w:p>
    <w:p w14:paraId="2E2E3AEB">
      <w:pPr>
        <w:spacing w:line="288" w:lineRule="auto"/>
        <w:ind w:firstLine="880"/>
        <w:jc w:val="center"/>
        <w:rPr>
          <w:rFonts w:hint="default" w:ascii="Times New Roman" w:hAnsi="Times New Roman" w:cs="Times New Roman"/>
          <w:color w:val="000000"/>
          <w:kern w:val="44"/>
          <w:sz w:val="44"/>
          <w:szCs w:val="44"/>
        </w:rPr>
      </w:pPr>
    </w:p>
    <w:p w14:paraId="12ACC781">
      <w:pPr>
        <w:ind w:firstLine="880"/>
        <w:rPr>
          <w:rFonts w:hint="default" w:ascii="Times New Roman" w:hAnsi="Times New Roman" w:cs="Times New Roman"/>
          <w:sz w:val="44"/>
          <w:szCs w:val="44"/>
        </w:rPr>
      </w:pPr>
    </w:p>
    <w:p w14:paraId="1ACD3E95">
      <w:pPr>
        <w:ind w:firstLine="880"/>
        <w:rPr>
          <w:rFonts w:hint="default" w:ascii="Times New Roman" w:hAnsi="Times New Roman" w:cs="Times New Roman"/>
          <w:sz w:val="44"/>
          <w:szCs w:val="44"/>
        </w:rPr>
      </w:pPr>
    </w:p>
    <w:p w14:paraId="180456A9">
      <w:pPr>
        <w:pStyle w:val="2"/>
        <w:rPr>
          <w:rFonts w:hint="default" w:ascii="Times New Roman" w:hAnsi="Times New Roman" w:cs="Times New Roman"/>
          <w:sz w:val="44"/>
          <w:szCs w:val="44"/>
        </w:rPr>
      </w:pPr>
    </w:p>
    <w:p w14:paraId="4B68A7E0">
      <w:pPr>
        <w:pStyle w:val="38"/>
        <w:ind w:firstLine="880"/>
        <w:rPr>
          <w:rFonts w:hint="default" w:ascii="Times New Roman" w:hAnsi="Times New Roman" w:cs="Times New Roman"/>
          <w:sz w:val="44"/>
          <w:szCs w:val="44"/>
        </w:rPr>
      </w:pPr>
    </w:p>
    <w:p w14:paraId="3CCB34BD">
      <w:pPr>
        <w:rPr>
          <w:rFonts w:hint="default" w:ascii="Times New Roman" w:hAnsi="Times New Roman" w:cs="Times New Roman"/>
        </w:rPr>
      </w:pPr>
    </w:p>
    <w:p w14:paraId="1943DEB6">
      <w:pPr>
        <w:pStyle w:val="2"/>
        <w:rPr>
          <w:rFonts w:hint="default" w:ascii="Times New Roman" w:hAnsi="Times New Roman" w:cs="Times New Roman"/>
        </w:rPr>
      </w:pPr>
    </w:p>
    <w:p w14:paraId="27300604">
      <w:pPr>
        <w:ind w:firstLine="880"/>
        <w:rPr>
          <w:rFonts w:hint="default" w:ascii="Times New Roman" w:hAnsi="Times New Roman" w:cs="Times New Roman"/>
          <w:sz w:val="44"/>
          <w:szCs w:val="44"/>
        </w:rPr>
      </w:pPr>
    </w:p>
    <w:p w14:paraId="607C54D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sz w:val="44"/>
          <w:szCs w:val="44"/>
        </w:rPr>
      </w:pPr>
    </w:p>
    <w:p w14:paraId="4F510960">
      <w:pPr>
        <w:keepNext w:val="0"/>
        <w:keepLines w:val="0"/>
        <w:pageBreakBefore w:val="0"/>
        <w:widowControl w:val="0"/>
        <w:kinsoku/>
        <w:wordWrap/>
        <w:overflowPunct/>
        <w:topLinePunct w:val="0"/>
        <w:autoSpaceDE/>
        <w:autoSpaceDN/>
        <w:bidi w:val="0"/>
        <w:adjustRightInd/>
        <w:snapToGrid/>
        <w:spacing w:line="360" w:lineRule="auto"/>
        <w:ind w:firstLine="960" w:firstLineChars="300"/>
        <w:jc w:val="both"/>
        <w:textAlignment w:val="auto"/>
        <w:rPr>
          <w:rFonts w:hint="default" w:ascii="Times New Roman" w:hAnsi="Times New Roman" w:eastAsia="仿宋_GB2312" w:cs="Times New Roman"/>
          <w:color w:val="auto"/>
          <w:sz w:val="32"/>
          <w:szCs w:val="32"/>
          <w:u w:val="single"/>
          <w:lang w:eastAsia="zh-CN"/>
        </w:rPr>
      </w:pPr>
      <w:r>
        <w:rPr>
          <w:rFonts w:hint="default" w:ascii="Times New Roman" w:hAnsi="Times New Roman" w:eastAsia="仿宋_GB2312" w:cs="Times New Roman"/>
          <w:color w:val="auto"/>
          <w:sz w:val="32"/>
          <w:szCs w:val="32"/>
          <w:u w:val="none"/>
          <w:lang w:eastAsia="zh-CN"/>
        </w:rPr>
        <w:t>项目名称：</w:t>
      </w:r>
      <w:r>
        <w:rPr>
          <w:rFonts w:hint="default" w:ascii="Times New Roman" w:hAnsi="Times New Roman" w:eastAsia="仿宋_GB2312" w:cs="Times New Roman"/>
          <w:color w:val="auto"/>
          <w:sz w:val="32"/>
          <w:szCs w:val="32"/>
          <w:u w:val="single"/>
          <w:lang w:eastAsia="zh-CN"/>
        </w:rPr>
        <w:t>年产2万根水泥电杆扩建项目</w:t>
      </w:r>
    </w:p>
    <w:p w14:paraId="422C3E35">
      <w:pPr>
        <w:keepNext w:val="0"/>
        <w:keepLines w:val="0"/>
        <w:pageBreakBefore w:val="0"/>
        <w:widowControl w:val="0"/>
        <w:kinsoku/>
        <w:wordWrap/>
        <w:overflowPunct/>
        <w:topLinePunct w:val="0"/>
        <w:autoSpaceDE/>
        <w:autoSpaceDN/>
        <w:bidi w:val="0"/>
        <w:adjustRightInd/>
        <w:snapToGrid/>
        <w:spacing w:line="360" w:lineRule="auto"/>
        <w:ind w:firstLine="960" w:firstLineChars="300"/>
        <w:jc w:val="both"/>
        <w:textAlignment w:val="auto"/>
        <w:rPr>
          <w:rFonts w:hint="default" w:ascii="Times New Roman" w:hAnsi="Times New Roman" w:eastAsia="仿宋_GB2312" w:cs="Times New Roman"/>
          <w:color w:val="auto"/>
          <w:sz w:val="32"/>
          <w:szCs w:val="32"/>
          <w:u w:val="single"/>
          <w:lang w:eastAsia="zh-CN"/>
        </w:rPr>
      </w:pPr>
      <w:r>
        <w:rPr>
          <w:rFonts w:hint="default" w:ascii="Times New Roman" w:hAnsi="Times New Roman" w:eastAsia="仿宋_GB2312" w:cs="Times New Roman"/>
          <w:color w:val="auto"/>
          <w:sz w:val="32"/>
          <w:szCs w:val="32"/>
          <w:u w:val="none"/>
          <w:lang w:eastAsia="zh-CN"/>
        </w:rPr>
        <w:t>建设单位（盖章）：</w:t>
      </w:r>
      <w:r>
        <w:rPr>
          <w:rFonts w:hint="default" w:ascii="Times New Roman" w:hAnsi="Times New Roman" w:eastAsia="仿宋_GB2312" w:cs="Times New Roman"/>
          <w:color w:val="auto"/>
          <w:sz w:val="32"/>
          <w:szCs w:val="32"/>
          <w:u w:val="single"/>
          <w:lang w:eastAsia="zh-CN"/>
        </w:rPr>
        <w:t>新田县新电东晖混凝土制品有限责任公司</w:t>
      </w:r>
    </w:p>
    <w:p w14:paraId="27C2A467">
      <w:pPr>
        <w:keepNext w:val="0"/>
        <w:keepLines w:val="0"/>
        <w:pageBreakBefore w:val="0"/>
        <w:widowControl w:val="0"/>
        <w:kinsoku/>
        <w:wordWrap/>
        <w:overflowPunct/>
        <w:topLinePunct w:val="0"/>
        <w:autoSpaceDE/>
        <w:autoSpaceDN/>
        <w:bidi w:val="0"/>
        <w:adjustRightInd/>
        <w:snapToGrid/>
        <w:spacing w:line="360" w:lineRule="auto"/>
        <w:ind w:firstLine="960" w:firstLineChars="300"/>
        <w:jc w:val="both"/>
        <w:textAlignment w:val="auto"/>
        <w:rPr>
          <w:rFonts w:hint="default" w:ascii="Times New Roman" w:hAnsi="Times New Roman" w:eastAsia="仿宋_GB2312" w:cs="Times New Roman"/>
          <w:color w:val="auto"/>
          <w:sz w:val="32"/>
          <w:szCs w:val="32"/>
          <w:u w:val="single"/>
          <w:lang w:eastAsia="zh-CN"/>
        </w:rPr>
      </w:pPr>
      <w:r>
        <w:rPr>
          <w:rFonts w:hint="default" w:ascii="Times New Roman" w:hAnsi="Times New Roman" w:eastAsia="仿宋_GB2312" w:cs="Times New Roman"/>
          <w:color w:val="auto"/>
          <w:sz w:val="32"/>
          <w:szCs w:val="32"/>
          <w:u w:val="none"/>
          <w:lang w:eastAsia="zh-CN"/>
        </w:rPr>
        <w:t>编制日期：</w:t>
      </w:r>
      <w:r>
        <w:rPr>
          <w:rFonts w:hint="default" w:ascii="Times New Roman" w:hAnsi="Times New Roman" w:eastAsia="仿宋_GB2312" w:cs="Times New Roman"/>
          <w:color w:val="auto"/>
          <w:sz w:val="32"/>
          <w:szCs w:val="32"/>
          <w:u w:val="single"/>
          <w:lang w:eastAsia="zh-CN"/>
        </w:rPr>
        <w:t>202</w:t>
      </w:r>
      <w:r>
        <w:rPr>
          <w:rFonts w:hint="eastAsia" w:ascii="Times New Roman" w:hAnsi="Times New Roman" w:eastAsia="仿宋_GB2312" w:cs="Times New Roman"/>
          <w:color w:val="auto"/>
          <w:sz w:val="32"/>
          <w:szCs w:val="32"/>
          <w:u w:val="single"/>
          <w:lang w:val="en-US" w:eastAsia="zh-CN"/>
        </w:rPr>
        <w:t>5</w:t>
      </w:r>
      <w:r>
        <w:rPr>
          <w:rFonts w:hint="default" w:ascii="Times New Roman" w:hAnsi="Times New Roman" w:eastAsia="仿宋_GB2312" w:cs="Times New Roman"/>
          <w:color w:val="auto"/>
          <w:sz w:val="32"/>
          <w:szCs w:val="32"/>
          <w:u w:val="single"/>
          <w:lang w:eastAsia="zh-CN"/>
        </w:rPr>
        <w:t>年</w:t>
      </w:r>
      <w:r>
        <w:rPr>
          <w:rFonts w:hint="eastAsia" w:ascii="Times New Roman" w:hAnsi="Times New Roman" w:eastAsia="仿宋_GB2312" w:cs="Times New Roman"/>
          <w:color w:val="auto"/>
          <w:sz w:val="32"/>
          <w:szCs w:val="32"/>
          <w:u w:val="single"/>
          <w:lang w:val="en-US" w:eastAsia="zh-CN"/>
        </w:rPr>
        <w:t>5</w:t>
      </w:r>
      <w:r>
        <w:rPr>
          <w:rFonts w:hint="default" w:ascii="Times New Roman" w:hAnsi="Times New Roman" w:eastAsia="仿宋_GB2312" w:cs="Times New Roman"/>
          <w:color w:val="auto"/>
          <w:sz w:val="32"/>
          <w:szCs w:val="32"/>
          <w:u w:val="single"/>
          <w:lang w:eastAsia="zh-CN"/>
        </w:rPr>
        <w:t>月</w:t>
      </w:r>
    </w:p>
    <w:p w14:paraId="71200681">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sz w:val="36"/>
          <w:szCs w:val="36"/>
        </w:rPr>
      </w:pPr>
    </w:p>
    <w:p w14:paraId="7318EE9B">
      <w:pPr>
        <w:spacing w:line="288" w:lineRule="auto"/>
        <w:ind w:firstLine="720"/>
        <w:rPr>
          <w:rFonts w:hint="default" w:ascii="Times New Roman" w:hAnsi="Times New Roman" w:cs="Times New Roman"/>
          <w:sz w:val="36"/>
          <w:szCs w:val="36"/>
        </w:rPr>
      </w:pPr>
    </w:p>
    <w:p w14:paraId="187A2350">
      <w:pPr>
        <w:spacing w:line="288" w:lineRule="auto"/>
        <w:ind w:firstLine="640"/>
        <w:jc w:val="center"/>
        <w:rPr>
          <w:rFonts w:hint="default" w:ascii="Times New Roman" w:hAnsi="Times New Roman" w:cs="Times New Roman"/>
          <w:sz w:val="32"/>
          <w:szCs w:val="32"/>
        </w:rPr>
      </w:pPr>
    </w:p>
    <w:p w14:paraId="25329C7A">
      <w:pPr>
        <w:spacing w:line="288" w:lineRule="auto"/>
        <w:ind w:firstLine="640"/>
        <w:jc w:val="center"/>
        <w:rPr>
          <w:rFonts w:hint="default" w:ascii="Times New Roman" w:hAnsi="Times New Roman" w:cs="Times New Roman"/>
          <w:sz w:val="32"/>
          <w:szCs w:val="32"/>
        </w:rPr>
      </w:pPr>
      <w:r>
        <w:rPr>
          <w:rFonts w:hint="default" w:ascii="Times New Roman" w:hAnsi="Times New Roman" w:cs="Times New Roman"/>
          <w:sz w:val="32"/>
          <w:szCs w:val="32"/>
        </w:rPr>
        <w:t>中华人民共和国生态环境部制</w:t>
      </w:r>
    </w:p>
    <w:p w14:paraId="33E0E81C">
      <w:pPr>
        <w:ind w:firstLine="640"/>
        <w:rPr>
          <w:rFonts w:hint="default" w:ascii="Times New Roman" w:hAnsi="Times New Roman" w:cs="Times New Roman"/>
          <w:sz w:val="32"/>
          <w:szCs w:val="32"/>
        </w:rPr>
      </w:pPr>
      <w:r>
        <w:rPr>
          <w:rFonts w:hint="default" w:ascii="Times New Roman" w:hAnsi="Times New Roman" w:cs="Times New Roman"/>
          <w:sz w:val="32"/>
          <w:szCs w:val="32"/>
        </w:rPr>
        <w:br w:type="page"/>
      </w:r>
    </w:p>
    <w:p w14:paraId="393D04FD">
      <w:pPr>
        <w:pStyle w:val="16"/>
        <w:rPr>
          <w:rFonts w:hint="default" w:ascii="Times New Roman" w:hAnsi="Times New Roman" w:cs="Times New Roman"/>
        </w:rPr>
        <w:sectPr>
          <w:footerReference r:id="rId3" w:type="default"/>
          <w:footerReference r:id="rId4" w:type="even"/>
          <w:pgSz w:w="11906" w:h="16838"/>
          <w:pgMar w:top="1440" w:right="1080" w:bottom="1440" w:left="1080" w:header="851" w:footer="1077" w:gutter="0"/>
          <w:pgBorders>
            <w:top w:val="none" w:sz="0" w:space="0"/>
            <w:left w:val="none" w:sz="0" w:space="0"/>
            <w:bottom w:val="none" w:sz="0" w:space="0"/>
            <w:right w:val="none" w:sz="0" w:space="0"/>
          </w:pgBorders>
          <w:pgNumType w:start="3"/>
          <w:cols w:space="720" w:num="1"/>
          <w:docGrid w:linePitch="312" w:charSpace="0"/>
        </w:sectPr>
      </w:pPr>
    </w:p>
    <w:sdt>
      <w:sdtPr>
        <w:rPr>
          <w:rFonts w:hint="default" w:ascii="Times New Roman" w:hAnsi="Times New Roman" w:cs="Times New Roman"/>
          <w:b/>
          <w:bCs/>
          <w:sz w:val="36"/>
          <w:szCs w:val="36"/>
        </w:rPr>
        <w:id w:val="147481401"/>
        <w15:color w:val="DBDBDB"/>
        <w:docPartObj>
          <w:docPartGallery w:val="Table of Contents"/>
          <w:docPartUnique/>
        </w:docPartObj>
      </w:sdtPr>
      <w:sdtEndPr>
        <w:rPr>
          <w:rFonts w:hint="default" w:ascii="Times New Roman" w:hAnsi="Times New Roman" w:cs="Times New Roman"/>
          <w:b/>
          <w:bCs/>
          <w:sz w:val="36"/>
          <w:szCs w:val="36"/>
        </w:rPr>
      </w:sdtEndPr>
      <w:sdtContent>
        <w:p w14:paraId="4E3C8225">
          <w:pPr>
            <w:spacing w:line="360" w:lineRule="auto"/>
            <w:ind w:firstLine="723"/>
            <w:jc w:val="center"/>
            <w:rPr>
              <w:rFonts w:hint="default" w:ascii="Times New Roman" w:hAnsi="Times New Roman" w:cs="Times New Roman"/>
              <w:b/>
              <w:bCs/>
              <w:sz w:val="36"/>
              <w:szCs w:val="36"/>
            </w:rPr>
          </w:pPr>
          <w:r>
            <w:rPr>
              <w:rFonts w:hint="default" w:ascii="Times New Roman" w:hAnsi="Times New Roman" w:cs="Times New Roman"/>
              <w:b/>
              <w:bCs/>
              <w:sz w:val="36"/>
              <w:szCs w:val="36"/>
            </w:rPr>
            <w:t>目录</w:t>
          </w:r>
        </w:p>
        <w:p w14:paraId="3E998A02">
          <w:pPr>
            <w:pStyle w:val="31"/>
            <w:keepNext w:val="0"/>
            <w:keepLines w:val="0"/>
            <w:pageBreakBefore w:val="0"/>
            <w:widowControl/>
            <w:tabs>
              <w:tab w:val="right" w:leader="dot" w:pos="8844"/>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TOC \o "1-1" \h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_Toc2059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一、建设项目基本情况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_Toc2059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4EAE286">
          <w:pPr>
            <w:pStyle w:val="31"/>
            <w:keepNext w:val="0"/>
            <w:keepLines w:val="0"/>
            <w:pageBreakBefore w:val="0"/>
            <w:widowControl/>
            <w:tabs>
              <w:tab w:val="right" w:leader="dot" w:pos="8844"/>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_Toc22390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二、建设项目工程分析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_Toc22390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0B0EBAC9">
          <w:pPr>
            <w:pStyle w:val="31"/>
            <w:keepNext w:val="0"/>
            <w:keepLines w:val="0"/>
            <w:pageBreakBefore w:val="0"/>
            <w:widowControl/>
            <w:tabs>
              <w:tab w:val="right" w:leader="dot" w:pos="8844"/>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_Toc26011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三、区域环境质量现状、环境保护目标及评价标准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_Toc26011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DD57AC6">
          <w:pPr>
            <w:pStyle w:val="31"/>
            <w:keepNext w:val="0"/>
            <w:keepLines w:val="0"/>
            <w:pageBreakBefore w:val="0"/>
            <w:widowControl/>
            <w:tabs>
              <w:tab w:val="right" w:leader="dot" w:pos="8844"/>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_Toc16686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四、主要环境影响和保护措施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_Toc16686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663E173">
          <w:pPr>
            <w:pStyle w:val="31"/>
            <w:keepNext w:val="0"/>
            <w:keepLines w:val="0"/>
            <w:pageBreakBefore w:val="0"/>
            <w:widowControl/>
            <w:tabs>
              <w:tab w:val="right" w:leader="dot" w:pos="8844"/>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_Toc27361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五、环境保护措施监督检查清单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_Toc27361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3722F0BE">
          <w:pPr>
            <w:pStyle w:val="31"/>
            <w:keepNext w:val="0"/>
            <w:keepLines w:val="0"/>
            <w:pageBreakBefore w:val="0"/>
            <w:widowControl/>
            <w:tabs>
              <w:tab w:val="right" w:leader="dot" w:pos="8844"/>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_Toc3376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六、结论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_Toc3376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6FD58F9C">
          <w:pPr>
            <w:pStyle w:val="31"/>
            <w:keepNext w:val="0"/>
            <w:keepLines w:val="0"/>
            <w:pageBreakBefore w:val="0"/>
            <w:widowControl/>
            <w:tabs>
              <w:tab w:val="right" w:leader="dot" w:pos="8844"/>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附表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11BD716E">
          <w:pPr>
            <w:pStyle w:val="31"/>
            <w:keepNext w:val="0"/>
            <w:keepLines w:val="0"/>
            <w:pageBreakBefore w:val="0"/>
            <w:widowControl/>
            <w:tabs>
              <w:tab w:val="right" w:leader="dot" w:pos="8844"/>
            </w:tabs>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_Toc25247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建设项目污染物排放量汇总表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_Toc25247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14:paraId="251ED13C">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rPr>
          </w:pPr>
          <w:r>
            <w:rPr>
              <w:rFonts w:hint="default" w:ascii="Times New Roman" w:hAnsi="Times New Roman" w:eastAsia="宋体" w:cs="Times New Roman"/>
              <w:sz w:val="24"/>
              <w:szCs w:val="24"/>
            </w:rPr>
            <w:fldChar w:fldCharType="end"/>
          </w:r>
        </w:p>
      </w:sdtContent>
    </w:sdt>
    <w:p w14:paraId="319A1B4B">
      <w:pPr>
        <w:pStyle w:val="153"/>
        <w:tabs>
          <w:tab w:val="right" w:leader="dot" w:pos="8844"/>
        </w:tabs>
        <w:spacing w:line="360" w:lineRule="auto"/>
        <w:ind w:firstLine="480" w:firstLineChars="200"/>
        <w:rPr>
          <w:rFonts w:hint="default" w:ascii="Times New Roman" w:hAnsi="Times New Roman" w:eastAsia="宋体" w:cs="Times New Roman"/>
          <w:snapToGrid w:val="0"/>
          <w:sz w:val="24"/>
          <w:szCs w:val="24"/>
        </w:rPr>
      </w:pPr>
      <w:r>
        <w:rPr>
          <w:rFonts w:hint="default" w:ascii="Times New Roman" w:hAnsi="Times New Roman" w:eastAsia="宋体" w:cs="Times New Roman"/>
          <w:snapToGrid w:val="0"/>
          <w:sz w:val="24"/>
          <w:szCs w:val="24"/>
        </w:rPr>
        <w:t>附图：</w:t>
      </w:r>
    </w:p>
    <w:p w14:paraId="59DAF9B2">
      <w:pPr>
        <w:pStyle w:val="35"/>
        <w:spacing w:before="0" w:beforeAutospacing="0" w:after="0" w:afterAutospacing="0" w:line="360" w:lineRule="auto"/>
        <w:ind w:firstLine="480"/>
        <w:rPr>
          <w:rFonts w:hint="default" w:ascii="Times New Roman" w:hAnsi="Times New Roman" w:cs="Times New Roman"/>
          <w:snapToGrid w:val="0"/>
          <w:szCs w:val="24"/>
        </w:rPr>
      </w:pPr>
      <w:r>
        <w:rPr>
          <w:rFonts w:hint="default" w:ascii="Times New Roman" w:hAnsi="Times New Roman" w:cs="Times New Roman"/>
          <w:snapToGrid w:val="0"/>
          <w:szCs w:val="24"/>
        </w:rPr>
        <w:t>附图1：项目地理位置图</w:t>
      </w:r>
    </w:p>
    <w:p w14:paraId="464DADF6">
      <w:pPr>
        <w:pStyle w:val="35"/>
        <w:spacing w:before="0" w:beforeAutospacing="0" w:after="0" w:afterAutospacing="0" w:line="360" w:lineRule="auto"/>
        <w:ind w:firstLine="480"/>
        <w:rPr>
          <w:rFonts w:hint="default" w:ascii="Times New Roman" w:hAnsi="Times New Roman" w:cs="Times New Roman"/>
          <w:snapToGrid w:val="0"/>
          <w:szCs w:val="24"/>
        </w:rPr>
      </w:pPr>
      <w:r>
        <w:rPr>
          <w:rFonts w:hint="default" w:ascii="Times New Roman" w:hAnsi="Times New Roman" w:cs="Times New Roman"/>
          <w:snapToGrid w:val="0"/>
          <w:szCs w:val="24"/>
        </w:rPr>
        <w:t>附图2：主要环境保护目标图</w:t>
      </w:r>
    </w:p>
    <w:p w14:paraId="7D3157DA">
      <w:pPr>
        <w:pStyle w:val="35"/>
        <w:spacing w:before="0" w:beforeAutospacing="0" w:after="0" w:afterAutospacing="0" w:line="360" w:lineRule="auto"/>
        <w:ind w:firstLine="480"/>
        <w:rPr>
          <w:rFonts w:hint="default" w:ascii="Times New Roman" w:hAnsi="Times New Roman" w:cs="Times New Roman"/>
          <w:snapToGrid w:val="0"/>
          <w:szCs w:val="24"/>
        </w:rPr>
      </w:pPr>
      <w:r>
        <w:rPr>
          <w:rFonts w:hint="default" w:ascii="Times New Roman" w:hAnsi="Times New Roman" w:cs="Times New Roman"/>
          <w:snapToGrid w:val="0"/>
          <w:szCs w:val="24"/>
        </w:rPr>
        <w:t>附图3：项目平面布置示意图</w:t>
      </w:r>
    </w:p>
    <w:p w14:paraId="614382C3">
      <w:pPr>
        <w:pStyle w:val="35"/>
        <w:spacing w:before="0" w:beforeAutospacing="0" w:after="0" w:afterAutospacing="0" w:line="360" w:lineRule="auto"/>
        <w:ind w:firstLine="480"/>
        <w:rPr>
          <w:rFonts w:hint="default" w:ascii="Times New Roman" w:hAnsi="Times New Roman" w:eastAsia="宋体" w:cs="Times New Roman"/>
          <w:snapToGrid w:val="0"/>
          <w:szCs w:val="24"/>
          <w:lang w:val="en-US" w:eastAsia="zh-CN"/>
        </w:rPr>
      </w:pPr>
      <w:r>
        <w:rPr>
          <w:rFonts w:hint="eastAsia" w:ascii="Times New Roman" w:hAnsi="Times New Roman" w:cs="Times New Roman"/>
          <w:snapToGrid w:val="0"/>
          <w:szCs w:val="24"/>
          <w:lang w:eastAsia="zh-CN"/>
        </w:rPr>
        <w:t>附图</w:t>
      </w:r>
      <w:r>
        <w:rPr>
          <w:rFonts w:hint="eastAsia" w:ascii="Times New Roman" w:hAnsi="Times New Roman" w:cs="Times New Roman"/>
          <w:snapToGrid w:val="0"/>
          <w:szCs w:val="24"/>
          <w:lang w:val="en-US" w:eastAsia="zh-CN"/>
        </w:rPr>
        <w:t>4：本项目与生态保护红线位置关系</w:t>
      </w:r>
    </w:p>
    <w:p w14:paraId="3D1921B0">
      <w:pPr>
        <w:pStyle w:val="35"/>
        <w:spacing w:before="0" w:beforeAutospacing="0" w:after="0" w:afterAutospacing="0" w:line="360" w:lineRule="auto"/>
        <w:ind w:firstLine="480"/>
        <w:rPr>
          <w:rFonts w:hint="default" w:ascii="Times New Roman" w:hAnsi="Times New Roman" w:cs="Times New Roman"/>
          <w:snapToGrid w:val="0"/>
          <w:szCs w:val="24"/>
        </w:rPr>
      </w:pPr>
    </w:p>
    <w:p w14:paraId="2347A0A2">
      <w:pPr>
        <w:pStyle w:val="35"/>
        <w:spacing w:before="0" w:beforeAutospacing="0" w:after="0" w:afterAutospacing="0" w:line="360" w:lineRule="auto"/>
        <w:ind w:firstLine="480"/>
        <w:rPr>
          <w:rFonts w:hint="default" w:ascii="Times New Roman" w:hAnsi="Times New Roman" w:cs="Times New Roman"/>
          <w:snapToGrid w:val="0"/>
          <w:szCs w:val="24"/>
        </w:rPr>
      </w:pPr>
      <w:r>
        <w:rPr>
          <w:rFonts w:hint="default" w:ascii="Times New Roman" w:hAnsi="Times New Roman" w:cs="Times New Roman"/>
          <w:snapToGrid w:val="0"/>
          <w:szCs w:val="24"/>
        </w:rPr>
        <w:t>附件：</w:t>
      </w:r>
    </w:p>
    <w:p w14:paraId="1351F213">
      <w:pPr>
        <w:pStyle w:val="35"/>
        <w:spacing w:before="0" w:beforeAutospacing="0" w:after="0" w:afterAutospacing="0" w:line="360" w:lineRule="auto"/>
        <w:ind w:firstLine="480"/>
        <w:rPr>
          <w:rFonts w:hint="default" w:ascii="Times New Roman" w:hAnsi="Times New Roman" w:cs="Times New Roman"/>
          <w:snapToGrid w:val="0"/>
          <w:szCs w:val="24"/>
        </w:rPr>
      </w:pPr>
      <w:r>
        <w:rPr>
          <w:rFonts w:hint="default" w:ascii="Times New Roman" w:hAnsi="Times New Roman" w:cs="Times New Roman"/>
          <w:snapToGrid w:val="0"/>
          <w:szCs w:val="24"/>
        </w:rPr>
        <w:t>附件</w:t>
      </w:r>
      <w:r>
        <w:rPr>
          <w:rFonts w:hint="eastAsia" w:ascii="Times New Roman" w:hAnsi="Times New Roman" w:cs="Times New Roman"/>
          <w:snapToGrid w:val="0"/>
          <w:szCs w:val="24"/>
          <w:lang w:val="en-US" w:eastAsia="zh-CN"/>
        </w:rPr>
        <w:t>1</w:t>
      </w:r>
      <w:r>
        <w:rPr>
          <w:rFonts w:hint="default" w:ascii="Times New Roman" w:hAnsi="Times New Roman" w:cs="Times New Roman"/>
          <w:snapToGrid w:val="0"/>
          <w:szCs w:val="24"/>
        </w:rPr>
        <w:t>：营业执照</w:t>
      </w:r>
    </w:p>
    <w:p w14:paraId="6C3FDFB6">
      <w:pPr>
        <w:pStyle w:val="35"/>
        <w:spacing w:before="0" w:beforeAutospacing="0" w:after="0" w:afterAutospacing="0" w:line="360" w:lineRule="auto"/>
        <w:ind w:firstLine="480"/>
        <w:rPr>
          <w:rFonts w:hint="default" w:ascii="Times New Roman" w:hAnsi="Times New Roman" w:cs="Times New Roman"/>
          <w:snapToGrid w:val="0"/>
          <w:szCs w:val="24"/>
          <w:lang w:val="en-US" w:eastAsia="zh-CN"/>
        </w:rPr>
      </w:pPr>
      <w:r>
        <w:rPr>
          <w:rFonts w:hint="default" w:ascii="Times New Roman" w:hAnsi="Times New Roman" w:cs="Times New Roman"/>
          <w:snapToGrid w:val="0"/>
          <w:szCs w:val="24"/>
        </w:rPr>
        <w:t>附件</w:t>
      </w:r>
      <w:r>
        <w:rPr>
          <w:rFonts w:hint="eastAsia" w:ascii="Times New Roman" w:hAnsi="Times New Roman" w:cs="Times New Roman"/>
          <w:snapToGrid w:val="0"/>
          <w:szCs w:val="24"/>
          <w:lang w:val="en-US" w:eastAsia="zh-CN"/>
        </w:rPr>
        <w:t>2</w:t>
      </w:r>
      <w:r>
        <w:rPr>
          <w:rFonts w:hint="default" w:ascii="Times New Roman" w:hAnsi="Times New Roman" w:cs="Times New Roman"/>
          <w:snapToGrid w:val="0"/>
          <w:szCs w:val="24"/>
        </w:rPr>
        <w:t>：</w:t>
      </w:r>
      <w:r>
        <w:rPr>
          <w:rFonts w:hint="default" w:ascii="Times New Roman" w:hAnsi="Times New Roman" w:cs="Times New Roman"/>
          <w:snapToGrid w:val="0"/>
          <w:szCs w:val="24"/>
          <w:lang w:val="en-US" w:eastAsia="zh-CN"/>
        </w:rPr>
        <w:t>项目原有环评登记表</w:t>
      </w:r>
    </w:p>
    <w:p w14:paraId="5FFE1224">
      <w:pPr>
        <w:pStyle w:val="35"/>
        <w:spacing w:before="0" w:beforeAutospacing="0" w:after="0" w:afterAutospacing="0" w:line="360" w:lineRule="auto"/>
        <w:ind w:firstLine="480"/>
        <w:rPr>
          <w:rFonts w:hint="eastAsia" w:ascii="Times New Roman" w:hAnsi="Times New Roman" w:cs="Times New Roman"/>
          <w:snapToGrid w:val="0"/>
          <w:szCs w:val="24"/>
          <w:lang w:val="en-US" w:eastAsia="zh-CN"/>
        </w:rPr>
      </w:pPr>
      <w:r>
        <w:rPr>
          <w:rFonts w:hint="eastAsia" w:ascii="Times New Roman" w:hAnsi="Times New Roman" w:cs="Times New Roman"/>
          <w:snapToGrid w:val="0"/>
          <w:szCs w:val="24"/>
          <w:lang w:val="en-US" w:eastAsia="zh-CN"/>
        </w:rPr>
        <w:t>附件3：项目现状监测报告</w:t>
      </w:r>
    </w:p>
    <w:p w14:paraId="41F395A5">
      <w:pPr>
        <w:pStyle w:val="35"/>
        <w:spacing w:before="0" w:beforeAutospacing="0" w:after="0" w:afterAutospacing="0" w:line="360" w:lineRule="auto"/>
        <w:ind w:firstLine="480"/>
        <w:rPr>
          <w:rFonts w:hint="default" w:ascii="Times New Roman" w:hAnsi="Times New Roman" w:cs="Times New Roman"/>
          <w:snapToGrid w:val="0"/>
          <w:szCs w:val="24"/>
          <w:lang w:val="en-US" w:eastAsia="zh-CN"/>
        </w:rPr>
      </w:pPr>
    </w:p>
    <w:p w14:paraId="38819F02">
      <w:pPr>
        <w:pStyle w:val="35"/>
        <w:spacing w:beforeAutospacing="0" w:afterAutospacing="0"/>
        <w:ind w:firstLine="600"/>
        <w:jc w:val="center"/>
        <w:rPr>
          <w:rFonts w:hint="default" w:ascii="Times New Roman" w:hAnsi="Times New Roman" w:cs="Times New Roman"/>
          <w:snapToGrid w:val="0"/>
          <w:sz w:val="30"/>
          <w:szCs w:val="30"/>
        </w:rPr>
      </w:pPr>
    </w:p>
    <w:p w14:paraId="26D99735">
      <w:pPr>
        <w:pStyle w:val="35"/>
        <w:spacing w:beforeAutospacing="0" w:afterAutospacing="0"/>
        <w:ind w:firstLine="600"/>
        <w:jc w:val="center"/>
        <w:rPr>
          <w:rFonts w:hint="default" w:ascii="Times New Roman" w:hAnsi="Times New Roman" w:cs="Times New Roman"/>
          <w:snapToGrid w:val="0"/>
          <w:sz w:val="30"/>
          <w:szCs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21CCD85">
      <w:pPr>
        <w:pStyle w:val="3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0"/>
        <w:jc w:val="center"/>
        <w:textAlignment w:val="auto"/>
        <w:outlineLvl w:val="0"/>
        <w:rPr>
          <w:rFonts w:hint="default" w:ascii="Times New Roman" w:hAnsi="Times New Roman" w:eastAsia="宋体" w:cs="Times New Roman"/>
          <w:b/>
          <w:bCs/>
          <w:snapToGrid w:val="0"/>
          <w:sz w:val="30"/>
          <w:szCs w:val="30"/>
        </w:rPr>
      </w:pPr>
      <w:bookmarkStart w:id="0" w:name="_Toc2059"/>
      <w:r>
        <w:rPr>
          <w:rFonts w:hint="default" w:ascii="Times New Roman" w:hAnsi="Times New Roman" w:eastAsia="宋体" w:cs="Times New Roman"/>
          <w:b/>
          <w:bCs/>
          <w:snapToGrid w:val="0"/>
          <w:sz w:val="30"/>
          <w:szCs w:val="30"/>
        </w:rPr>
        <w:t>一、建设项目基本情况</w:t>
      </w:r>
      <w:bookmarkEnd w:id="0"/>
    </w:p>
    <w:tbl>
      <w:tblPr>
        <w:tblStyle w:val="39"/>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918"/>
        <w:gridCol w:w="2503"/>
        <w:gridCol w:w="2433"/>
        <w:gridCol w:w="2908"/>
      </w:tblGrid>
      <w:tr w14:paraId="44B574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2" w:type="pct"/>
            <w:tcMar>
              <w:top w:w="16" w:type="dxa"/>
              <w:left w:w="16" w:type="dxa"/>
              <w:right w:w="16" w:type="dxa"/>
            </w:tcMar>
            <w:vAlign w:val="center"/>
          </w:tcPr>
          <w:p w14:paraId="50297704">
            <w:pPr>
              <w:jc w:val="center"/>
              <w:rPr>
                <w:rFonts w:hint="default" w:ascii="Times New Roman" w:hAnsi="Times New Roman" w:cs="Times New Roman"/>
                <w:sz w:val="24"/>
                <w:szCs w:val="24"/>
              </w:rPr>
            </w:pPr>
            <w:r>
              <w:rPr>
                <w:rFonts w:hint="default" w:ascii="Times New Roman" w:hAnsi="Times New Roman" w:cs="Times New Roman"/>
                <w:sz w:val="24"/>
                <w:szCs w:val="24"/>
              </w:rPr>
              <w:t>建设项目名称</w:t>
            </w:r>
          </w:p>
        </w:tc>
        <w:tc>
          <w:tcPr>
            <w:tcW w:w="4017" w:type="pct"/>
            <w:gridSpan w:val="3"/>
            <w:vAlign w:val="center"/>
          </w:tcPr>
          <w:p w14:paraId="58490BE6">
            <w:pPr>
              <w:jc w:val="center"/>
              <w:rPr>
                <w:rFonts w:hint="default" w:ascii="Times New Roman" w:hAnsi="Times New Roman" w:cs="Times New Roman"/>
                <w:sz w:val="24"/>
                <w:szCs w:val="24"/>
              </w:rPr>
            </w:pPr>
            <w:r>
              <w:rPr>
                <w:rFonts w:hint="default" w:ascii="Times New Roman" w:hAnsi="Times New Roman" w:cs="Times New Roman"/>
                <w:sz w:val="24"/>
                <w:szCs w:val="24"/>
                <w:lang w:eastAsia="zh-CN"/>
              </w:rPr>
              <w:t>年产2万根水泥电杆扩建项目</w:t>
            </w:r>
          </w:p>
        </w:tc>
      </w:tr>
      <w:tr w14:paraId="67735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2" w:type="pct"/>
            <w:tcMar>
              <w:top w:w="16" w:type="dxa"/>
              <w:left w:w="16" w:type="dxa"/>
              <w:right w:w="16" w:type="dxa"/>
            </w:tcMar>
            <w:vAlign w:val="center"/>
          </w:tcPr>
          <w:p w14:paraId="38BF31BA">
            <w:pPr>
              <w:jc w:val="center"/>
              <w:rPr>
                <w:rFonts w:hint="default" w:ascii="Times New Roman" w:hAnsi="Times New Roman" w:cs="Times New Roman"/>
                <w:sz w:val="24"/>
                <w:szCs w:val="24"/>
              </w:rPr>
            </w:pPr>
            <w:r>
              <w:rPr>
                <w:rFonts w:hint="default" w:ascii="Times New Roman" w:hAnsi="Times New Roman" w:cs="Times New Roman"/>
                <w:sz w:val="24"/>
                <w:szCs w:val="24"/>
              </w:rPr>
              <w:t>项目代码</w:t>
            </w:r>
          </w:p>
        </w:tc>
        <w:tc>
          <w:tcPr>
            <w:tcW w:w="4017" w:type="pct"/>
            <w:gridSpan w:val="3"/>
            <w:vAlign w:val="center"/>
          </w:tcPr>
          <w:p w14:paraId="7893B55E">
            <w:pPr>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val="en-US" w:eastAsia="zh-CN"/>
              </w:rPr>
              <w:t>/</w:t>
            </w:r>
          </w:p>
        </w:tc>
      </w:tr>
      <w:tr w14:paraId="46F32D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2" w:type="pct"/>
            <w:tcMar>
              <w:top w:w="16" w:type="dxa"/>
              <w:left w:w="16" w:type="dxa"/>
              <w:right w:w="16" w:type="dxa"/>
            </w:tcMar>
            <w:vAlign w:val="center"/>
          </w:tcPr>
          <w:p w14:paraId="5478B88E">
            <w:pPr>
              <w:jc w:val="center"/>
              <w:rPr>
                <w:rFonts w:hint="default" w:ascii="Times New Roman" w:hAnsi="Times New Roman" w:cs="Times New Roman"/>
                <w:sz w:val="24"/>
                <w:szCs w:val="24"/>
              </w:rPr>
            </w:pPr>
            <w:r>
              <w:rPr>
                <w:rFonts w:hint="default" w:ascii="Times New Roman" w:hAnsi="Times New Roman" w:cs="Times New Roman"/>
                <w:sz w:val="24"/>
                <w:szCs w:val="24"/>
              </w:rPr>
              <w:t>建设单位联系人</w:t>
            </w:r>
          </w:p>
        </w:tc>
        <w:tc>
          <w:tcPr>
            <w:tcW w:w="1282" w:type="pct"/>
            <w:vAlign w:val="center"/>
          </w:tcPr>
          <w:p w14:paraId="1D4616D2">
            <w:pPr>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周建</w:t>
            </w:r>
          </w:p>
        </w:tc>
        <w:tc>
          <w:tcPr>
            <w:tcW w:w="1246" w:type="pct"/>
            <w:vAlign w:val="center"/>
          </w:tcPr>
          <w:p w14:paraId="4516CE85">
            <w:pPr>
              <w:jc w:val="center"/>
              <w:rPr>
                <w:rFonts w:hint="default" w:ascii="Times New Roman" w:hAnsi="Times New Roman" w:cs="Times New Roman"/>
                <w:sz w:val="24"/>
                <w:szCs w:val="24"/>
              </w:rPr>
            </w:pPr>
            <w:r>
              <w:rPr>
                <w:rFonts w:hint="default" w:ascii="Times New Roman" w:hAnsi="Times New Roman" w:cs="Times New Roman"/>
                <w:sz w:val="24"/>
                <w:szCs w:val="24"/>
              </w:rPr>
              <w:t>联系方式</w:t>
            </w:r>
          </w:p>
        </w:tc>
        <w:tc>
          <w:tcPr>
            <w:tcW w:w="1489" w:type="pct"/>
            <w:vAlign w:val="center"/>
          </w:tcPr>
          <w:p w14:paraId="63AAA23D">
            <w:pPr>
              <w:jc w:val="center"/>
              <w:rPr>
                <w:rFonts w:hint="default" w:ascii="Times New Roman" w:hAnsi="Times New Roman" w:cs="Times New Roman"/>
                <w:sz w:val="24"/>
                <w:szCs w:val="24"/>
              </w:rPr>
            </w:pPr>
            <w:r>
              <w:rPr>
                <w:rFonts w:hint="default" w:ascii="Times New Roman" w:hAnsi="Times New Roman" w:cs="Times New Roman"/>
                <w:sz w:val="24"/>
                <w:szCs w:val="24"/>
              </w:rPr>
              <w:t>13874355666</w:t>
            </w:r>
          </w:p>
        </w:tc>
      </w:tr>
      <w:tr w14:paraId="7DFB1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2" w:type="pct"/>
            <w:tcMar>
              <w:top w:w="16" w:type="dxa"/>
              <w:left w:w="16" w:type="dxa"/>
              <w:right w:w="16" w:type="dxa"/>
            </w:tcMar>
            <w:vAlign w:val="center"/>
          </w:tcPr>
          <w:p w14:paraId="770D6355">
            <w:pPr>
              <w:jc w:val="center"/>
              <w:rPr>
                <w:rFonts w:hint="default" w:ascii="Times New Roman" w:hAnsi="Times New Roman" w:cs="Times New Roman"/>
                <w:sz w:val="24"/>
                <w:szCs w:val="24"/>
              </w:rPr>
            </w:pPr>
            <w:r>
              <w:rPr>
                <w:rFonts w:hint="default" w:ascii="Times New Roman" w:hAnsi="Times New Roman" w:cs="Times New Roman"/>
                <w:sz w:val="24"/>
                <w:szCs w:val="24"/>
              </w:rPr>
              <w:t>建设地点</w:t>
            </w:r>
          </w:p>
        </w:tc>
        <w:tc>
          <w:tcPr>
            <w:tcW w:w="4017" w:type="pct"/>
            <w:gridSpan w:val="3"/>
            <w:vAlign w:val="center"/>
          </w:tcPr>
          <w:p w14:paraId="13AD385F">
            <w:pPr>
              <w:jc w:val="center"/>
              <w:rPr>
                <w:rFonts w:hint="default" w:ascii="Times New Roman" w:hAnsi="Times New Roman" w:cs="Times New Roman"/>
                <w:sz w:val="24"/>
                <w:szCs w:val="24"/>
              </w:rPr>
            </w:pPr>
            <w:r>
              <w:rPr>
                <w:rFonts w:hint="default" w:ascii="Times New Roman" w:hAnsi="Times New Roman" w:cs="Times New Roman"/>
                <w:sz w:val="24"/>
                <w:szCs w:val="24"/>
                <w:lang w:eastAsia="zh-CN"/>
              </w:rPr>
              <w:t>湖南省永州市</w:t>
            </w:r>
            <w:r>
              <w:rPr>
                <w:rFonts w:hint="default" w:ascii="Times New Roman" w:hAnsi="Times New Roman" w:cs="Times New Roman"/>
                <w:sz w:val="24"/>
                <w:szCs w:val="24"/>
              </w:rPr>
              <w:t>新田县中山街道云梯岭村</w:t>
            </w:r>
          </w:p>
        </w:tc>
      </w:tr>
      <w:tr w14:paraId="268BF1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2" w:type="pct"/>
            <w:tcMar>
              <w:top w:w="16" w:type="dxa"/>
              <w:left w:w="16" w:type="dxa"/>
              <w:right w:w="16" w:type="dxa"/>
            </w:tcMar>
            <w:vAlign w:val="center"/>
          </w:tcPr>
          <w:p w14:paraId="0DF48971">
            <w:pPr>
              <w:jc w:val="center"/>
              <w:rPr>
                <w:rFonts w:hint="default" w:ascii="Times New Roman" w:hAnsi="Times New Roman" w:cs="Times New Roman"/>
                <w:sz w:val="24"/>
                <w:szCs w:val="24"/>
              </w:rPr>
            </w:pPr>
            <w:r>
              <w:rPr>
                <w:rFonts w:hint="default" w:ascii="Times New Roman" w:hAnsi="Times New Roman" w:cs="Times New Roman"/>
                <w:sz w:val="24"/>
                <w:szCs w:val="24"/>
              </w:rPr>
              <w:t>地理坐标</w:t>
            </w:r>
          </w:p>
        </w:tc>
        <w:tc>
          <w:tcPr>
            <w:tcW w:w="4017" w:type="pct"/>
            <w:gridSpan w:val="3"/>
            <w:vAlign w:val="center"/>
          </w:tcPr>
          <w:p w14:paraId="31CC6B11">
            <w:pPr>
              <w:jc w:val="center"/>
              <w:rPr>
                <w:rFonts w:hint="default" w:ascii="Times New Roman" w:hAnsi="Times New Roman" w:cs="Times New Roman"/>
                <w:sz w:val="24"/>
                <w:szCs w:val="24"/>
              </w:rPr>
            </w:pPr>
            <w:r>
              <w:rPr>
                <w:rFonts w:hint="default" w:ascii="Times New Roman" w:hAnsi="Times New Roman" w:cs="Times New Roman"/>
                <w:sz w:val="24"/>
                <w:szCs w:val="24"/>
                <w:u w:val="single"/>
              </w:rPr>
              <w:t>（</w:t>
            </w:r>
            <w:r>
              <w:rPr>
                <w:rFonts w:hint="eastAsia" w:ascii="Times New Roman" w:hAnsi="Times New Roman" w:cs="Times New Roman"/>
                <w:sz w:val="24"/>
                <w:szCs w:val="24"/>
                <w:u w:val="single"/>
                <w:lang w:val="en-US" w:eastAsia="zh-CN"/>
              </w:rPr>
              <w:t>E</w:t>
            </w:r>
            <w:r>
              <w:rPr>
                <w:rFonts w:hint="default" w:ascii="Times New Roman" w:hAnsi="Times New Roman" w:cs="Times New Roman"/>
                <w:sz w:val="24"/>
                <w:szCs w:val="24"/>
                <w:u w:val="single"/>
              </w:rPr>
              <w:t>112°14′9.02014″，</w:t>
            </w:r>
            <w:r>
              <w:rPr>
                <w:rFonts w:hint="eastAsia" w:ascii="Times New Roman" w:hAnsi="Times New Roman" w:cs="Times New Roman"/>
                <w:sz w:val="24"/>
                <w:szCs w:val="24"/>
                <w:u w:val="single"/>
                <w:lang w:val="en-US" w:eastAsia="zh-CN"/>
              </w:rPr>
              <w:t>N</w:t>
            </w:r>
            <w:r>
              <w:rPr>
                <w:rFonts w:hint="default" w:ascii="Times New Roman" w:hAnsi="Times New Roman" w:cs="Times New Roman"/>
                <w:sz w:val="24"/>
                <w:szCs w:val="24"/>
                <w:u w:val="single"/>
              </w:rPr>
              <w:t>25°52′47.38647″）</w:t>
            </w:r>
          </w:p>
        </w:tc>
      </w:tr>
      <w:tr w14:paraId="624BEB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2" w:type="pct"/>
            <w:tcMar>
              <w:top w:w="16" w:type="dxa"/>
              <w:left w:w="16" w:type="dxa"/>
              <w:right w:w="16" w:type="dxa"/>
            </w:tcMar>
            <w:vAlign w:val="center"/>
          </w:tcPr>
          <w:p w14:paraId="416B77A3">
            <w:pPr>
              <w:jc w:val="center"/>
              <w:rPr>
                <w:rFonts w:hint="default" w:ascii="Times New Roman" w:hAnsi="Times New Roman" w:cs="Times New Roman"/>
                <w:sz w:val="24"/>
                <w:szCs w:val="24"/>
              </w:rPr>
            </w:pPr>
            <w:r>
              <w:rPr>
                <w:rFonts w:hint="default" w:ascii="Times New Roman" w:hAnsi="Times New Roman" w:cs="Times New Roman"/>
                <w:sz w:val="24"/>
                <w:szCs w:val="24"/>
              </w:rPr>
              <w:t>国民经济</w:t>
            </w:r>
          </w:p>
          <w:p w14:paraId="2D5D3078">
            <w:pPr>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p>
        </w:tc>
        <w:tc>
          <w:tcPr>
            <w:tcW w:w="1282" w:type="pct"/>
            <w:vAlign w:val="center"/>
          </w:tcPr>
          <w:p w14:paraId="6F2AFFA2">
            <w:pPr>
              <w:jc w:val="center"/>
              <w:rPr>
                <w:rFonts w:hint="default" w:ascii="Times New Roman" w:hAnsi="Times New Roman" w:cs="Times New Roman"/>
                <w:sz w:val="24"/>
                <w:szCs w:val="24"/>
              </w:rPr>
            </w:pPr>
            <w:r>
              <w:rPr>
                <w:rFonts w:hint="default" w:ascii="Times New Roman" w:hAnsi="Times New Roman" w:cs="Times New Roman"/>
                <w:sz w:val="24"/>
                <w:szCs w:val="24"/>
              </w:rPr>
              <w:t>C3021水泥制品制造</w:t>
            </w:r>
          </w:p>
        </w:tc>
        <w:tc>
          <w:tcPr>
            <w:tcW w:w="1246" w:type="pct"/>
            <w:vAlign w:val="center"/>
          </w:tcPr>
          <w:p w14:paraId="56DE1FD8">
            <w:pPr>
              <w:jc w:val="center"/>
              <w:rPr>
                <w:rFonts w:hint="default" w:ascii="Times New Roman" w:hAnsi="Times New Roman" w:cs="Times New Roman"/>
                <w:sz w:val="24"/>
                <w:szCs w:val="24"/>
              </w:rPr>
            </w:pPr>
            <w:r>
              <w:rPr>
                <w:rFonts w:hint="default" w:ascii="Times New Roman" w:hAnsi="Times New Roman" w:cs="Times New Roman"/>
                <w:sz w:val="24"/>
                <w:szCs w:val="24"/>
              </w:rPr>
              <w:t>建设项目</w:t>
            </w:r>
          </w:p>
          <w:p w14:paraId="1469C9DE">
            <w:pPr>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p>
        </w:tc>
        <w:tc>
          <w:tcPr>
            <w:tcW w:w="1489" w:type="pct"/>
            <w:vAlign w:val="center"/>
          </w:tcPr>
          <w:p w14:paraId="047E6EF0">
            <w:pPr>
              <w:rPr>
                <w:rFonts w:hint="default" w:ascii="Times New Roman" w:hAnsi="Times New Roman" w:cs="Times New Roman"/>
                <w:sz w:val="24"/>
                <w:szCs w:val="24"/>
              </w:rPr>
            </w:pPr>
            <w:r>
              <w:rPr>
                <w:rFonts w:hint="default" w:ascii="Times New Roman" w:hAnsi="Times New Roman" w:cs="Times New Roman"/>
                <w:sz w:val="24"/>
                <w:szCs w:val="24"/>
              </w:rPr>
              <w:t>“二十七、非金属矿物制品业”中的“石膏、水泥制品及类似制品制造302”中的水泥制品制造</w:t>
            </w:r>
          </w:p>
        </w:tc>
      </w:tr>
      <w:tr w14:paraId="35E79B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2" w:type="pct"/>
            <w:tcMar>
              <w:top w:w="16" w:type="dxa"/>
              <w:left w:w="16" w:type="dxa"/>
              <w:right w:w="16" w:type="dxa"/>
            </w:tcMar>
            <w:vAlign w:val="center"/>
          </w:tcPr>
          <w:p w14:paraId="7C6D9228">
            <w:pPr>
              <w:jc w:val="center"/>
              <w:rPr>
                <w:rFonts w:hint="default" w:ascii="Times New Roman" w:hAnsi="Times New Roman" w:cs="Times New Roman"/>
                <w:sz w:val="24"/>
                <w:szCs w:val="24"/>
              </w:rPr>
            </w:pPr>
            <w:r>
              <w:rPr>
                <w:rFonts w:hint="default" w:ascii="Times New Roman" w:hAnsi="Times New Roman" w:cs="Times New Roman"/>
                <w:sz w:val="24"/>
                <w:szCs w:val="24"/>
              </w:rPr>
              <w:t>建设性质</w:t>
            </w:r>
          </w:p>
        </w:tc>
        <w:tc>
          <w:tcPr>
            <w:tcW w:w="1282" w:type="pct"/>
            <w:vAlign w:val="center"/>
          </w:tcPr>
          <w:p w14:paraId="72B98ED5">
            <w:pPr>
              <w:jc w:val="left"/>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新建（迁建）</w:t>
            </w:r>
          </w:p>
          <w:p w14:paraId="35971EE3">
            <w:pPr>
              <w:jc w:val="left"/>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改建</w:t>
            </w:r>
          </w:p>
          <w:p w14:paraId="6511BC84">
            <w:pPr>
              <w:jc w:val="left"/>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扩建</w:t>
            </w:r>
          </w:p>
          <w:p w14:paraId="47E8A408">
            <w:pPr>
              <w:jc w:val="left"/>
              <w:rPr>
                <w:rFonts w:hint="default" w:ascii="Times New Roman" w:hAnsi="Times New Roman" w:cs="Times New Roman"/>
                <w:sz w:val="24"/>
                <w:szCs w:val="24"/>
              </w:rPr>
            </w:pPr>
            <w:r>
              <w:rPr>
                <w:rFonts w:hint="default" w:ascii="Times New Roman" w:hAnsi="Times New Roman" w:cs="Times New Roman"/>
                <w:sz w:val="24"/>
                <w:szCs w:val="24"/>
              </w:rPr>
              <w:t>□技术改造</w:t>
            </w:r>
          </w:p>
        </w:tc>
        <w:tc>
          <w:tcPr>
            <w:tcW w:w="1246" w:type="pct"/>
            <w:vAlign w:val="center"/>
          </w:tcPr>
          <w:p w14:paraId="65646961">
            <w:pPr>
              <w:jc w:val="center"/>
              <w:rPr>
                <w:rFonts w:hint="default" w:ascii="Times New Roman" w:hAnsi="Times New Roman" w:cs="Times New Roman"/>
                <w:sz w:val="24"/>
                <w:szCs w:val="24"/>
              </w:rPr>
            </w:pPr>
            <w:r>
              <w:rPr>
                <w:rFonts w:hint="default" w:ascii="Times New Roman" w:hAnsi="Times New Roman" w:cs="Times New Roman"/>
                <w:sz w:val="24"/>
                <w:szCs w:val="24"/>
              </w:rPr>
              <w:t>建设项目</w:t>
            </w:r>
          </w:p>
          <w:p w14:paraId="50E39201">
            <w:pPr>
              <w:jc w:val="center"/>
              <w:rPr>
                <w:rFonts w:hint="default" w:ascii="Times New Roman" w:hAnsi="Times New Roman" w:cs="Times New Roman"/>
                <w:sz w:val="24"/>
                <w:szCs w:val="24"/>
              </w:rPr>
            </w:pPr>
            <w:r>
              <w:rPr>
                <w:rFonts w:hint="default" w:ascii="Times New Roman" w:hAnsi="Times New Roman" w:cs="Times New Roman"/>
                <w:sz w:val="24"/>
                <w:szCs w:val="24"/>
              </w:rPr>
              <w:t>申报情形</w:t>
            </w:r>
          </w:p>
        </w:tc>
        <w:tc>
          <w:tcPr>
            <w:tcW w:w="1489" w:type="pct"/>
            <w:vAlign w:val="center"/>
          </w:tcPr>
          <w:p w14:paraId="4F5F3BAD">
            <w:pPr>
              <w:jc w:val="left"/>
              <w:rPr>
                <w:rFonts w:hint="default" w:ascii="Times New Roman" w:hAnsi="Times New Roman" w:cs="Times New Roman"/>
                <w:sz w:val="24"/>
                <w:szCs w:val="24"/>
              </w:rPr>
            </w:pPr>
            <w:r>
              <w:rPr>
                <w:rFonts w:hint="default" w:ascii="Times New Roman" w:hAnsi="Times New Roman" w:cs="Times New Roman"/>
                <w:sz w:val="24"/>
                <w:szCs w:val="24"/>
              </w:rPr>
              <w:t xml:space="preserve">☑首次申报项目             </w:t>
            </w:r>
          </w:p>
          <w:p w14:paraId="2DE80EDD">
            <w:pPr>
              <w:jc w:val="left"/>
              <w:rPr>
                <w:rFonts w:hint="default" w:ascii="Times New Roman" w:hAnsi="Times New Roman" w:cs="Times New Roman"/>
                <w:sz w:val="24"/>
                <w:szCs w:val="24"/>
              </w:rPr>
            </w:pPr>
            <w:r>
              <w:rPr>
                <w:rFonts w:hint="default" w:ascii="Times New Roman" w:hAnsi="Times New Roman" w:cs="Times New Roman"/>
                <w:sz w:val="24"/>
                <w:szCs w:val="24"/>
              </w:rPr>
              <w:t>□不予批准后再次申报项目</w:t>
            </w:r>
          </w:p>
          <w:p w14:paraId="311695D7">
            <w:pPr>
              <w:jc w:val="left"/>
              <w:rPr>
                <w:rFonts w:hint="default" w:ascii="Times New Roman" w:hAnsi="Times New Roman" w:cs="Times New Roman"/>
                <w:sz w:val="24"/>
                <w:szCs w:val="24"/>
              </w:rPr>
            </w:pPr>
            <w:r>
              <w:rPr>
                <w:rFonts w:hint="default" w:ascii="Times New Roman" w:hAnsi="Times New Roman" w:cs="Times New Roman"/>
                <w:sz w:val="24"/>
                <w:szCs w:val="24"/>
              </w:rPr>
              <w:t xml:space="preserve">□超五年重新审核项目     </w:t>
            </w:r>
          </w:p>
          <w:p w14:paraId="215C4452">
            <w:pPr>
              <w:jc w:val="left"/>
              <w:rPr>
                <w:rFonts w:hint="default" w:ascii="Times New Roman" w:hAnsi="Times New Roman" w:cs="Times New Roman"/>
                <w:sz w:val="24"/>
                <w:szCs w:val="24"/>
              </w:rPr>
            </w:pPr>
            <w:r>
              <w:rPr>
                <w:rFonts w:hint="default" w:ascii="Times New Roman" w:hAnsi="Times New Roman" w:cs="Times New Roman"/>
                <w:sz w:val="24"/>
                <w:szCs w:val="24"/>
              </w:rPr>
              <w:t>□重大变动重新报批项目</w:t>
            </w:r>
          </w:p>
        </w:tc>
      </w:tr>
      <w:tr w14:paraId="4F3D6E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2" w:type="pct"/>
            <w:tcMar>
              <w:top w:w="16" w:type="dxa"/>
              <w:left w:w="16" w:type="dxa"/>
              <w:right w:w="16" w:type="dxa"/>
            </w:tcMar>
            <w:vAlign w:val="center"/>
          </w:tcPr>
          <w:p w14:paraId="51D3A2C6">
            <w:pPr>
              <w:jc w:val="center"/>
              <w:rPr>
                <w:rFonts w:hint="default" w:ascii="Times New Roman" w:hAnsi="Times New Roman" w:cs="Times New Roman"/>
                <w:sz w:val="24"/>
                <w:szCs w:val="24"/>
              </w:rPr>
            </w:pPr>
            <w:r>
              <w:rPr>
                <w:rFonts w:hint="default" w:ascii="Times New Roman" w:hAnsi="Times New Roman" w:cs="Times New Roman"/>
                <w:sz w:val="24"/>
                <w:szCs w:val="24"/>
              </w:rPr>
              <w:t>项目审批（核准/</w:t>
            </w:r>
          </w:p>
          <w:p w14:paraId="197FD1FE">
            <w:pPr>
              <w:jc w:val="center"/>
              <w:rPr>
                <w:rFonts w:hint="default" w:ascii="Times New Roman" w:hAnsi="Times New Roman" w:cs="Times New Roman"/>
                <w:sz w:val="24"/>
                <w:szCs w:val="24"/>
              </w:rPr>
            </w:pPr>
            <w:r>
              <w:rPr>
                <w:rFonts w:hint="default" w:ascii="Times New Roman" w:hAnsi="Times New Roman" w:cs="Times New Roman"/>
                <w:sz w:val="24"/>
                <w:szCs w:val="24"/>
              </w:rPr>
              <w:t>备案）部门</w:t>
            </w:r>
          </w:p>
          <w:p w14:paraId="7E79CBD5">
            <w:pPr>
              <w:jc w:val="center"/>
              <w:rPr>
                <w:rFonts w:hint="default" w:ascii="Times New Roman" w:hAnsi="Times New Roman" w:cs="Times New Roman"/>
                <w:sz w:val="24"/>
                <w:szCs w:val="24"/>
              </w:rPr>
            </w:pPr>
            <w:r>
              <w:rPr>
                <w:rFonts w:hint="default" w:ascii="Times New Roman" w:hAnsi="Times New Roman" w:cs="Times New Roman"/>
                <w:sz w:val="24"/>
                <w:szCs w:val="24"/>
              </w:rPr>
              <w:t>（选填）</w:t>
            </w:r>
          </w:p>
        </w:tc>
        <w:tc>
          <w:tcPr>
            <w:tcW w:w="1282" w:type="pct"/>
            <w:vAlign w:val="center"/>
          </w:tcPr>
          <w:p w14:paraId="56F35B83">
            <w:pPr>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1246" w:type="pct"/>
            <w:vAlign w:val="center"/>
          </w:tcPr>
          <w:p w14:paraId="72E9213C">
            <w:pPr>
              <w:jc w:val="center"/>
              <w:rPr>
                <w:rFonts w:hint="default" w:ascii="Times New Roman" w:hAnsi="Times New Roman" w:cs="Times New Roman"/>
                <w:sz w:val="24"/>
                <w:szCs w:val="24"/>
              </w:rPr>
            </w:pPr>
            <w:r>
              <w:rPr>
                <w:rFonts w:hint="default" w:ascii="Times New Roman" w:hAnsi="Times New Roman" w:cs="Times New Roman"/>
                <w:sz w:val="24"/>
                <w:szCs w:val="24"/>
              </w:rPr>
              <w:t>项目审批（核准/</w:t>
            </w:r>
          </w:p>
          <w:p w14:paraId="09B7EE93">
            <w:pPr>
              <w:jc w:val="center"/>
              <w:rPr>
                <w:rFonts w:hint="default" w:ascii="Times New Roman" w:hAnsi="Times New Roman" w:cs="Times New Roman"/>
                <w:sz w:val="24"/>
                <w:szCs w:val="24"/>
              </w:rPr>
            </w:pPr>
            <w:r>
              <w:rPr>
                <w:rFonts w:hint="default" w:ascii="Times New Roman" w:hAnsi="Times New Roman" w:cs="Times New Roman"/>
                <w:sz w:val="24"/>
                <w:szCs w:val="24"/>
              </w:rPr>
              <w:t>备案）文号（选填）</w:t>
            </w:r>
          </w:p>
        </w:tc>
        <w:tc>
          <w:tcPr>
            <w:tcW w:w="1489" w:type="pct"/>
            <w:vAlign w:val="center"/>
          </w:tcPr>
          <w:p w14:paraId="22DCF8DC">
            <w:pPr>
              <w:jc w:val="center"/>
              <w:rPr>
                <w:rFonts w:hint="default" w:ascii="Times New Roman" w:hAnsi="Times New Roman" w:cs="Times New Roman"/>
                <w:sz w:val="24"/>
                <w:szCs w:val="24"/>
              </w:rPr>
            </w:pPr>
            <w:r>
              <w:rPr>
                <w:rFonts w:hint="default" w:ascii="Times New Roman" w:hAnsi="Times New Roman" w:cs="Times New Roman"/>
                <w:sz w:val="24"/>
                <w:szCs w:val="24"/>
              </w:rPr>
              <w:t>/</w:t>
            </w:r>
          </w:p>
        </w:tc>
      </w:tr>
      <w:tr w14:paraId="22F6F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2" w:type="pct"/>
            <w:tcMar>
              <w:top w:w="16" w:type="dxa"/>
              <w:left w:w="16" w:type="dxa"/>
              <w:right w:w="16" w:type="dxa"/>
            </w:tcMar>
            <w:vAlign w:val="center"/>
          </w:tcPr>
          <w:p w14:paraId="05FAFFDE">
            <w:pPr>
              <w:jc w:val="center"/>
              <w:rPr>
                <w:rFonts w:hint="default" w:ascii="Times New Roman" w:hAnsi="Times New Roman" w:cs="Times New Roman"/>
                <w:sz w:val="24"/>
                <w:szCs w:val="24"/>
              </w:rPr>
            </w:pPr>
            <w:r>
              <w:rPr>
                <w:rFonts w:hint="default" w:ascii="Times New Roman" w:hAnsi="Times New Roman" w:cs="Times New Roman"/>
                <w:sz w:val="24"/>
                <w:szCs w:val="24"/>
              </w:rPr>
              <w:t>总投资（万元）</w:t>
            </w:r>
          </w:p>
        </w:tc>
        <w:tc>
          <w:tcPr>
            <w:tcW w:w="1282" w:type="pct"/>
            <w:vAlign w:val="center"/>
          </w:tcPr>
          <w:p w14:paraId="4452AEBD">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400</w:t>
            </w:r>
          </w:p>
        </w:tc>
        <w:tc>
          <w:tcPr>
            <w:tcW w:w="1246" w:type="pct"/>
            <w:tcMar>
              <w:top w:w="16" w:type="dxa"/>
              <w:left w:w="16" w:type="dxa"/>
              <w:right w:w="16" w:type="dxa"/>
            </w:tcMar>
            <w:vAlign w:val="center"/>
          </w:tcPr>
          <w:p w14:paraId="291A85FB">
            <w:pPr>
              <w:jc w:val="center"/>
              <w:rPr>
                <w:rFonts w:hint="default" w:ascii="Times New Roman" w:hAnsi="Times New Roman" w:cs="Times New Roman"/>
                <w:sz w:val="24"/>
                <w:szCs w:val="24"/>
              </w:rPr>
            </w:pPr>
            <w:r>
              <w:rPr>
                <w:rFonts w:hint="default" w:ascii="Times New Roman" w:hAnsi="Times New Roman" w:cs="Times New Roman"/>
                <w:sz w:val="24"/>
                <w:szCs w:val="24"/>
              </w:rPr>
              <w:t>环保投资（万元）</w:t>
            </w:r>
          </w:p>
        </w:tc>
        <w:tc>
          <w:tcPr>
            <w:tcW w:w="1489" w:type="pct"/>
            <w:vAlign w:val="center"/>
          </w:tcPr>
          <w:p w14:paraId="645B0612">
            <w:pPr>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val="en-US" w:eastAsia="zh-CN"/>
              </w:rPr>
              <w:t>8</w:t>
            </w:r>
          </w:p>
        </w:tc>
      </w:tr>
      <w:tr w14:paraId="55E491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2" w:type="pct"/>
            <w:tcMar>
              <w:top w:w="16" w:type="dxa"/>
              <w:left w:w="16" w:type="dxa"/>
              <w:right w:w="16" w:type="dxa"/>
            </w:tcMar>
            <w:vAlign w:val="center"/>
          </w:tcPr>
          <w:p w14:paraId="28B36C0F">
            <w:pPr>
              <w:jc w:val="center"/>
              <w:rPr>
                <w:rFonts w:hint="default" w:ascii="Times New Roman" w:hAnsi="Times New Roman" w:cs="Times New Roman"/>
                <w:sz w:val="24"/>
                <w:szCs w:val="24"/>
              </w:rPr>
            </w:pPr>
            <w:r>
              <w:rPr>
                <w:rFonts w:hint="default" w:ascii="Times New Roman" w:hAnsi="Times New Roman" w:cs="Times New Roman"/>
                <w:sz w:val="24"/>
                <w:szCs w:val="24"/>
              </w:rPr>
              <w:t>环保投资占比（%）</w:t>
            </w:r>
          </w:p>
        </w:tc>
        <w:tc>
          <w:tcPr>
            <w:tcW w:w="1282" w:type="pct"/>
            <w:vAlign w:val="center"/>
          </w:tcPr>
          <w:p w14:paraId="2498C91D">
            <w:pPr>
              <w:jc w:val="center"/>
              <w:rPr>
                <w:rFonts w:hint="default" w:ascii="Times New Roman" w:hAnsi="Times New Roman" w:cs="Times New Roman"/>
                <w:sz w:val="24"/>
                <w:szCs w:val="24"/>
              </w:rPr>
            </w:pP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w:t>
            </w:r>
          </w:p>
        </w:tc>
        <w:tc>
          <w:tcPr>
            <w:tcW w:w="1246" w:type="pct"/>
            <w:tcMar>
              <w:top w:w="16" w:type="dxa"/>
              <w:left w:w="16" w:type="dxa"/>
              <w:right w:w="16" w:type="dxa"/>
            </w:tcMar>
            <w:vAlign w:val="center"/>
          </w:tcPr>
          <w:p w14:paraId="18E6AC91">
            <w:pPr>
              <w:jc w:val="center"/>
              <w:rPr>
                <w:rFonts w:hint="default" w:ascii="Times New Roman" w:hAnsi="Times New Roman" w:cs="Times New Roman"/>
                <w:sz w:val="24"/>
                <w:szCs w:val="24"/>
              </w:rPr>
            </w:pPr>
            <w:r>
              <w:rPr>
                <w:rFonts w:hint="default" w:ascii="Times New Roman" w:hAnsi="Times New Roman" w:cs="Times New Roman"/>
                <w:sz w:val="24"/>
                <w:szCs w:val="24"/>
              </w:rPr>
              <w:t>施工工期</w:t>
            </w:r>
          </w:p>
        </w:tc>
        <w:tc>
          <w:tcPr>
            <w:tcW w:w="1489" w:type="pct"/>
            <w:vAlign w:val="center"/>
          </w:tcPr>
          <w:p w14:paraId="3A641AE4">
            <w:pPr>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val="en-US" w:eastAsia="zh-CN"/>
              </w:rPr>
              <w:t>3个月</w:t>
            </w:r>
          </w:p>
        </w:tc>
      </w:tr>
      <w:tr w14:paraId="602C5D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82" w:type="pct"/>
            <w:tcMar>
              <w:top w:w="16" w:type="dxa"/>
              <w:left w:w="16" w:type="dxa"/>
              <w:right w:w="16" w:type="dxa"/>
            </w:tcMar>
            <w:vAlign w:val="center"/>
          </w:tcPr>
          <w:p w14:paraId="6A9FF758">
            <w:pPr>
              <w:jc w:val="center"/>
              <w:rPr>
                <w:rFonts w:hint="default" w:ascii="Times New Roman" w:hAnsi="Times New Roman" w:cs="Times New Roman"/>
                <w:sz w:val="24"/>
                <w:szCs w:val="24"/>
              </w:rPr>
            </w:pPr>
            <w:r>
              <w:rPr>
                <w:rFonts w:hint="default" w:ascii="Times New Roman" w:hAnsi="Times New Roman" w:cs="Times New Roman"/>
                <w:sz w:val="24"/>
                <w:szCs w:val="24"/>
              </w:rPr>
              <w:t>是否开工建设</w:t>
            </w:r>
          </w:p>
        </w:tc>
        <w:tc>
          <w:tcPr>
            <w:tcW w:w="1282" w:type="pct"/>
            <w:vAlign w:val="center"/>
          </w:tcPr>
          <w:p w14:paraId="24469886">
            <w:pPr>
              <w:jc w:val="center"/>
              <w:rPr>
                <w:rFonts w:hint="default" w:ascii="Times New Roman" w:hAnsi="Times New Roman" w:cs="Times New Roman"/>
                <w:sz w:val="24"/>
                <w:szCs w:val="24"/>
              </w:rPr>
            </w:pPr>
            <w:r>
              <w:rPr>
                <w:rFonts w:hint="eastAsia" w:ascii="Times New Roman" w:hAnsi="Times New Roman" w:cs="Times New Roman"/>
                <w:sz w:val="24"/>
                <w:szCs w:val="24"/>
                <w:lang w:eastAsia="zh-CN"/>
              </w:rPr>
              <w:t>□</w:t>
            </w:r>
            <w:r>
              <w:rPr>
                <w:rFonts w:hint="default" w:ascii="Times New Roman" w:hAnsi="Times New Roman" w:cs="Times New Roman"/>
                <w:sz w:val="24"/>
                <w:szCs w:val="24"/>
              </w:rPr>
              <w:t>否</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是</w:t>
            </w:r>
          </w:p>
        </w:tc>
        <w:tc>
          <w:tcPr>
            <w:tcW w:w="1246" w:type="pct"/>
            <w:tcMar>
              <w:top w:w="16" w:type="dxa"/>
              <w:left w:w="16" w:type="dxa"/>
              <w:right w:w="16" w:type="dxa"/>
            </w:tcMar>
            <w:vAlign w:val="center"/>
          </w:tcPr>
          <w:p w14:paraId="5C1ECB34">
            <w:pPr>
              <w:ind w:firstLine="408"/>
              <w:jc w:val="center"/>
              <w:rPr>
                <w:rFonts w:hint="default" w:ascii="Times New Roman" w:hAnsi="Times New Roman" w:cs="Times New Roman"/>
                <w:spacing w:val="-6"/>
                <w:sz w:val="24"/>
                <w:szCs w:val="24"/>
              </w:rPr>
            </w:pPr>
            <w:r>
              <w:rPr>
                <w:rFonts w:hint="default" w:ascii="Times New Roman" w:hAnsi="Times New Roman" w:cs="Times New Roman"/>
                <w:spacing w:val="-6"/>
                <w:sz w:val="24"/>
                <w:szCs w:val="24"/>
              </w:rPr>
              <w:t>用地（用海）</w:t>
            </w:r>
          </w:p>
          <w:p w14:paraId="77E1C495">
            <w:pPr>
              <w:ind w:firstLine="408"/>
              <w:jc w:val="center"/>
              <w:rPr>
                <w:rFonts w:hint="default" w:ascii="Times New Roman" w:hAnsi="Times New Roman" w:cs="Times New Roman"/>
                <w:sz w:val="24"/>
                <w:szCs w:val="24"/>
              </w:rPr>
            </w:pPr>
            <w:r>
              <w:rPr>
                <w:rFonts w:hint="default" w:ascii="Times New Roman" w:hAnsi="Times New Roman" w:cs="Times New Roman"/>
                <w:spacing w:val="-6"/>
                <w:sz w:val="24"/>
                <w:szCs w:val="24"/>
              </w:rPr>
              <w:t>面积（m</w:t>
            </w:r>
            <w:r>
              <w:rPr>
                <w:rFonts w:hint="default" w:ascii="Times New Roman" w:hAnsi="Times New Roman" w:cs="Times New Roman"/>
                <w:spacing w:val="-6"/>
                <w:sz w:val="24"/>
                <w:szCs w:val="24"/>
                <w:vertAlign w:val="superscript"/>
              </w:rPr>
              <w:t>2</w:t>
            </w:r>
            <w:r>
              <w:rPr>
                <w:rFonts w:hint="default" w:ascii="Times New Roman" w:hAnsi="Times New Roman" w:cs="Times New Roman"/>
                <w:spacing w:val="-6"/>
                <w:sz w:val="24"/>
                <w:szCs w:val="24"/>
              </w:rPr>
              <w:t>）</w:t>
            </w:r>
          </w:p>
        </w:tc>
        <w:tc>
          <w:tcPr>
            <w:tcW w:w="1489" w:type="pct"/>
            <w:vAlign w:val="center"/>
          </w:tcPr>
          <w:p w14:paraId="54ADBE13">
            <w:pPr>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不新增用地</w:t>
            </w:r>
          </w:p>
        </w:tc>
      </w:tr>
      <w:tr w14:paraId="302D6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2" w:hRule="atLeast"/>
          <w:jc w:val="center"/>
        </w:trPr>
        <w:tc>
          <w:tcPr>
            <w:tcW w:w="982" w:type="pct"/>
            <w:vAlign w:val="center"/>
          </w:tcPr>
          <w:p w14:paraId="59027214">
            <w:pPr>
              <w:autoSpaceDE w:val="0"/>
              <w:autoSpaceDN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专项评价设置情况</w:t>
            </w:r>
          </w:p>
        </w:tc>
        <w:tc>
          <w:tcPr>
            <w:tcW w:w="4017" w:type="pct"/>
            <w:gridSpan w:val="3"/>
            <w:vAlign w:val="center"/>
          </w:tcPr>
          <w:tbl>
            <w:tblPr>
              <w:tblStyle w:val="39"/>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4925"/>
              <w:gridCol w:w="1216"/>
            </w:tblGrid>
            <w:tr w14:paraId="54E2D9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3" w:type="pct"/>
                  <w:noWrap w:val="0"/>
                  <w:vAlign w:val="center"/>
                </w:tcPr>
                <w:p w14:paraId="6E40E0B0">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专项评价的类别</w:t>
                  </w:r>
                </w:p>
              </w:tc>
              <w:tc>
                <w:tcPr>
                  <w:tcW w:w="3237" w:type="pct"/>
                  <w:noWrap w:val="0"/>
                  <w:vAlign w:val="center"/>
                </w:tcPr>
                <w:p w14:paraId="6C8E0166">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设置原则</w:t>
                  </w:r>
                </w:p>
              </w:tc>
              <w:tc>
                <w:tcPr>
                  <w:tcW w:w="799" w:type="pct"/>
                  <w:noWrap w:val="0"/>
                  <w:vAlign w:val="center"/>
                </w:tcPr>
                <w:p w14:paraId="4A205E72">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是否设置专项评价</w:t>
                  </w:r>
                </w:p>
              </w:tc>
            </w:tr>
            <w:tr w14:paraId="4D3BAD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3" w:type="pct"/>
                  <w:noWrap w:val="0"/>
                  <w:vAlign w:val="center"/>
                </w:tcPr>
                <w:p w14:paraId="261F6B04">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大气</w:t>
                  </w:r>
                </w:p>
              </w:tc>
              <w:tc>
                <w:tcPr>
                  <w:tcW w:w="3237" w:type="pct"/>
                  <w:noWrap w:val="0"/>
                  <w:vAlign w:val="center"/>
                </w:tcPr>
                <w:p w14:paraId="5D88660E">
                  <w:pPr>
                    <w:autoSpaceDE w:val="0"/>
                    <w:autoSpaceDN w:val="0"/>
                    <w:adjustRightInd w:val="0"/>
                    <w:snapToGrid w:val="0"/>
                    <w:jc w:val="left"/>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排放废气含有毒有害污染物、二噁英、 苯并[a]芘、氰化物、氯气且厂界外500米范围内有环境空气保护目标的建设项目。本项目排放废气中不含有毒有害污染物、二噁英、苯并[a]芘、氰化物、氯气，根据《建设项目环境影响报告表编制技术指南(污染影响类)(试行)》无需设置大气专项评价。</w:t>
                  </w:r>
                </w:p>
              </w:tc>
              <w:tc>
                <w:tcPr>
                  <w:tcW w:w="799" w:type="pct"/>
                  <w:noWrap w:val="0"/>
                  <w:vAlign w:val="center"/>
                </w:tcPr>
                <w:p w14:paraId="6BF932A1">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否</w:t>
                  </w:r>
                </w:p>
              </w:tc>
            </w:tr>
            <w:tr w14:paraId="5382C5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3" w:type="pct"/>
                  <w:noWrap w:val="0"/>
                  <w:vAlign w:val="center"/>
                </w:tcPr>
                <w:p w14:paraId="1CA597E6">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地表水</w:t>
                  </w:r>
                </w:p>
              </w:tc>
              <w:tc>
                <w:tcPr>
                  <w:tcW w:w="3237" w:type="pct"/>
                  <w:noWrap w:val="0"/>
                  <w:vAlign w:val="center"/>
                </w:tcPr>
                <w:p w14:paraId="16725A49">
                  <w:pPr>
                    <w:autoSpaceDE w:val="0"/>
                    <w:autoSpaceDN w:val="0"/>
                    <w:adjustRightInd w:val="0"/>
                    <w:snapToGrid w:val="0"/>
                    <w:jc w:val="left"/>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新增工业废水直排建设项目（槽罐车外送污水处理厂的除外）；新增废水直排的污水集中处理厂</w:t>
                  </w:r>
                </w:p>
              </w:tc>
              <w:tc>
                <w:tcPr>
                  <w:tcW w:w="799" w:type="pct"/>
                  <w:noWrap w:val="0"/>
                  <w:vAlign w:val="center"/>
                </w:tcPr>
                <w:p w14:paraId="516A6071">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否</w:t>
                  </w:r>
                </w:p>
              </w:tc>
            </w:tr>
            <w:tr w14:paraId="230BFD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3" w:type="pct"/>
                  <w:noWrap w:val="0"/>
                  <w:vAlign w:val="center"/>
                </w:tcPr>
                <w:p w14:paraId="407CE9EE">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环境风险</w:t>
                  </w:r>
                </w:p>
              </w:tc>
              <w:tc>
                <w:tcPr>
                  <w:tcW w:w="3237" w:type="pct"/>
                  <w:noWrap w:val="0"/>
                  <w:vAlign w:val="center"/>
                </w:tcPr>
                <w:p w14:paraId="4B11959B">
                  <w:pPr>
                    <w:autoSpaceDE w:val="0"/>
                    <w:autoSpaceDN w:val="0"/>
                    <w:adjustRightInd w:val="0"/>
                    <w:snapToGrid w:val="0"/>
                    <w:jc w:val="left"/>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有毒有害危险物质存储量超过临界量的建设项目</w:t>
                  </w:r>
                </w:p>
              </w:tc>
              <w:tc>
                <w:tcPr>
                  <w:tcW w:w="799" w:type="pct"/>
                  <w:noWrap w:val="0"/>
                  <w:vAlign w:val="center"/>
                </w:tcPr>
                <w:p w14:paraId="7CBD7BCF">
                  <w:pPr>
                    <w:autoSpaceDE w:val="0"/>
                    <w:autoSpaceDN w:val="0"/>
                    <w:adjustRightInd w:val="0"/>
                    <w:snapToGrid w:val="0"/>
                    <w:jc w:val="center"/>
                    <w:rPr>
                      <w:rFonts w:hint="default" w:ascii="Times New Roman" w:hAnsi="Times New Roman" w:eastAsia="宋体" w:cs="Times New Roman"/>
                      <w:kern w:val="0"/>
                      <w:szCs w:val="21"/>
                      <w:lang w:eastAsia="zh-CN"/>
                    </w:rPr>
                  </w:pPr>
                  <w:r>
                    <w:rPr>
                      <w:rFonts w:hint="default" w:ascii="Times New Roman" w:hAnsi="Times New Roman" w:eastAsia="宋体" w:cs="Times New Roman"/>
                      <w:kern w:val="0"/>
                      <w:szCs w:val="21"/>
                      <w:lang w:eastAsia="zh-CN"/>
                    </w:rPr>
                    <w:t>否</w:t>
                  </w:r>
                </w:p>
              </w:tc>
            </w:tr>
            <w:tr w14:paraId="37E590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3" w:type="pct"/>
                  <w:noWrap w:val="0"/>
                  <w:vAlign w:val="center"/>
                </w:tcPr>
                <w:p w14:paraId="0D27791A">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生态</w:t>
                  </w:r>
                </w:p>
              </w:tc>
              <w:tc>
                <w:tcPr>
                  <w:tcW w:w="3237" w:type="pct"/>
                  <w:noWrap w:val="0"/>
                  <w:vAlign w:val="center"/>
                </w:tcPr>
                <w:p w14:paraId="0D7B3A61">
                  <w:pPr>
                    <w:autoSpaceDE w:val="0"/>
                    <w:autoSpaceDN w:val="0"/>
                    <w:adjustRightInd w:val="0"/>
                    <w:snapToGrid w:val="0"/>
                    <w:jc w:val="left"/>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取水口下游500米范围内有重要水生生物的自然产卵场、索饵场、越冬场和洄游通道的新增河道取水的污染类建设项目</w:t>
                  </w:r>
                </w:p>
              </w:tc>
              <w:tc>
                <w:tcPr>
                  <w:tcW w:w="799" w:type="pct"/>
                  <w:noWrap w:val="0"/>
                  <w:vAlign w:val="center"/>
                </w:tcPr>
                <w:p w14:paraId="0F1884EB">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否</w:t>
                  </w:r>
                </w:p>
              </w:tc>
            </w:tr>
            <w:tr w14:paraId="29A1BC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3" w:type="pct"/>
                  <w:noWrap w:val="0"/>
                  <w:vAlign w:val="center"/>
                </w:tcPr>
                <w:p w14:paraId="7C41AFFF">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海洋</w:t>
                  </w:r>
                </w:p>
              </w:tc>
              <w:tc>
                <w:tcPr>
                  <w:tcW w:w="3237" w:type="pct"/>
                  <w:noWrap w:val="0"/>
                  <w:vAlign w:val="center"/>
                </w:tcPr>
                <w:p w14:paraId="55ECABD4">
                  <w:pPr>
                    <w:autoSpaceDE w:val="0"/>
                    <w:autoSpaceDN w:val="0"/>
                    <w:adjustRightInd w:val="0"/>
                    <w:snapToGrid w:val="0"/>
                    <w:jc w:val="left"/>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直接向海排放污染物的海洋工程建设项目</w:t>
                  </w:r>
                </w:p>
              </w:tc>
              <w:tc>
                <w:tcPr>
                  <w:tcW w:w="799" w:type="pct"/>
                  <w:noWrap w:val="0"/>
                  <w:vAlign w:val="center"/>
                </w:tcPr>
                <w:p w14:paraId="33AC6099">
                  <w:pPr>
                    <w:autoSpaceDE w:val="0"/>
                    <w:autoSpaceDN w:val="0"/>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否</w:t>
                  </w:r>
                </w:p>
              </w:tc>
            </w:tr>
          </w:tbl>
          <w:p w14:paraId="28EE25BB">
            <w:pPr>
              <w:autoSpaceDE w:val="0"/>
              <w:autoSpaceDN w:val="0"/>
              <w:jc w:val="both"/>
              <w:rPr>
                <w:rFonts w:hint="default" w:ascii="Times New Roman" w:hAnsi="Times New Roman" w:eastAsia="宋体" w:cs="Times New Roman"/>
                <w:kern w:val="0"/>
                <w:sz w:val="24"/>
                <w:szCs w:val="24"/>
                <w:lang w:eastAsia="zh-CN"/>
              </w:rPr>
            </w:pPr>
          </w:p>
        </w:tc>
      </w:tr>
      <w:tr w14:paraId="5D823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pct"/>
            <w:vAlign w:val="center"/>
          </w:tcPr>
          <w:p w14:paraId="20995B98">
            <w:pPr>
              <w:autoSpaceDE w:val="0"/>
              <w:autoSpaceDN w:val="0"/>
              <w:jc w:val="center"/>
              <w:rPr>
                <w:rFonts w:hint="default" w:ascii="Times New Roman" w:hAnsi="Times New Roman" w:cs="Times New Roman"/>
                <w:kern w:val="0"/>
                <w:sz w:val="24"/>
                <w:szCs w:val="24"/>
              </w:rPr>
            </w:pPr>
            <w:r>
              <w:rPr>
                <w:rFonts w:hint="default" w:ascii="Times New Roman" w:hAnsi="Times New Roman" w:cs="Times New Roman"/>
                <w:sz w:val="24"/>
                <w:szCs w:val="24"/>
              </w:rPr>
              <w:t>规划情况</w:t>
            </w:r>
          </w:p>
        </w:tc>
        <w:tc>
          <w:tcPr>
            <w:tcW w:w="4017" w:type="pct"/>
            <w:gridSpan w:val="3"/>
            <w:vAlign w:val="center"/>
          </w:tcPr>
          <w:p w14:paraId="1BFC9BA8">
            <w:pPr>
              <w:autoSpaceDE w:val="0"/>
              <w:autoSpaceDN w:val="0"/>
              <w:spacing w:line="360" w:lineRule="auto"/>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无</w:t>
            </w:r>
          </w:p>
        </w:tc>
      </w:tr>
      <w:tr w14:paraId="354AE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pct"/>
            <w:vAlign w:val="center"/>
          </w:tcPr>
          <w:p w14:paraId="6DA05785">
            <w:pPr>
              <w:jc w:val="center"/>
              <w:rPr>
                <w:rFonts w:hint="default" w:ascii="Times New Roman" w:hAnsi="Times New Roman" w:cs="Times New Roman"/>
                <w:sz w:val="24"/>
                <w:szCs w:val="24"/>
              </w:rPr>
            </w:pPr>
            <w:r>
              <w:rPr>
                <w:rFonts w:hint="default" w:ascii="Times New Roman" w:hAnsi="Times New Roman" w:cs="Times New Roman"/>
                <w:sz w:val="24"/>
                <w:szCs w:val="24"/>
              </w:rPr>
              <w:t>规划环境影响</w:t>
            </w:r>
          </w:p>
          <w:p w14:paraId="4978B0BF">
            <w:pPr>
              <w:jc w:val="center"/>
              <w:rPr>
                <w:rFonts w:hint="default" w:ascii="Times New Roman" w:hAnsi="Times New Roman" w:cs="Times New Roman"/>
                <w:kern w:val="0"/>
                <w:sz w:val="24"/>
                <w:szCs w:val="24"/>
              </w:rPr>
            </w:pPr>
            <w:r>
              <w:rPr>
                <w:rFonts w:hint="default" w:ascii="Times New Roman" w:hAnsi="Times New Roman" w:cs="Times New Roman"/>
                <w:sz w:val="24"/>
                <w:szCs w:val="24"/>
              </w:rPr>
              <w:t>评价情况</w:t>
            </w:r>
          </w:p>
        </w:tc>
        <w:tc>
          <w:tcPr>
            <w:tcW w:w="4017" w:type="pct"/>
            <w:gridSpan w:val="3"/>
            <w:vAlign w:val="center"/>
          </w:tcPr>
          <w:p w14:paraId="13F0FB45">
            <w:pPr>
              <w:autoSpaceDE w:val="0"/>
              <w:autoSpaceDN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无</w:t>
            </w:r>
          </w:p>
        </w:tc>
      </w:tr>
      <w:tr w14:paraId="378B9D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pct"/>
            <w:vAlign w:val="center"/>
          </w:tcPr>
          <w:p w14:paraId="38FD6A46">
            <w:pPr>
              <w:autoSpaceDE w:val="0"/>
              <w:autoSpaceDN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规划及规划环境</w:t>
            </w:r>
          </w:p>
          <w:p w14:paraId="0F4CC43D">
            <w:pPr>
              <w:autoSpaceDE w:val="0"/>
              <w:autoSpaceDN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影响评价符合性分析</w:t>
            </w:r>
          </w:p>
        </w:tc>
        <w:tc>
          <w:tcPr>
            <w:tcW w:w="4017" w:type="pct"/>
            <w:gridSpan w:val="3"/>
            <w:vAlign w:val="center"/>
          </w:tcPr>
          <w:p w14:paraId="71DA1E27">
            <w:pPr>
              <w:autoSpaceDE w:val="0"/>
              <w:autoSpaceDN w:val="0"/>
              <w:spacing w:line="360" w:lineRule="auto"/>
              <w:jc w:val="center"/>
              <w:rPr>
                <w:rFonts w:hint="default" w:ascii="Times New Roman" w:hAnsi="Times New Roman" w:cs="Times New Roman"/>
                <w:sz w:val="24"/>
                <w:szCs w:val="24"/>
              </w:rPr>
            </w:pPr>
            <w:r>
              <w:rPr>
                <w:rFonts w:hint="default" w:ascii="Times New Roman" w:hAnsi="Times New Roman" w:cs="Times New Roman"/>
                <w:kern w:val="0"/>
                <w:sz w:val="24"/>
                <w:szCs w:val="24"/>
              </w:rPr>
              <w:t>无</w:t>
            </w:r>
          </w:p>
        </w:tc>
      </w:tr>
      <w:tr w14:paraId="6B04B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2" w:type="pct"/>
            <w:vAlign w:val="center"/>
          </w:tcPr>
          <w:p w14:paraId="7CAF9F44">
            <w:pPr>
              <w:autoSpaceDE w:val="0"/>
              <w:autoSpaceDN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其他符合性分析</w:t>
            </w:r>
          </w:p>
        </w:tc>
        <w:tc>
          <w:tcPr>
            <w:tcW w:w="4017" w:type="pct"/>
            <w:gridSpan w:val="3"/>
          </w:tcPr>
          <w:p w14:paraId="0B781FAF">
            <w:pPr>
              <w:autoSpaceDE w:val="0"/>
              <w:autoSpaceDN w:val="0"/>
              <w:adjustRightInd w:val="0"/>
              <w:snapToGrid w:val="0"/>
              <w:spacing w:before="120" w:beforeLines="50" w:line="360" w:lineRule="auto"/>
              <w:rPr>
                <w:rFonts w:hint="default" w:ascii="Times New Roman" w:hAnsi="Times New Roman" w:cs="Times New Roman"/>
                <w:b/>
                <w:bCs/>
                <w:color w:val="auto"/>
                <w:kern w:val="0"/>
                <w:sz w:val="24"/>
                <w:u w:val="single" w:color="auto"/>
              </w:rPr>
            </w:pPr>
            <w:r>
              <w:rPr>
                <w:rFonts w:hint="default" w:ascii="Times New Roman" w:hAnsi="Times New Roman" w:cs="Times New Roman"/>
                <w:b/>
                <w:bCs/>
                <w:color w:val="auto"/>
                <w:kern w:val="0"/>
                <w:sz w:val="24"/>
                <w:u w:val="single" w:color="auto"/>
                <w:lang w:val="en-US" w:eastAsia="zh-CN"/>
              </w:rPr>
              <w:t>1、</w:t>
            </w:r>
            <w:r>
              <w:rPr>
                <w:rFonts w:hint="eastAsia" w:ascii="Times New Roman" w:hAnsi="Times New Roman" w:cs="Times New Roman"/>
                <w:b/>
                <w:bCs/>
                <w:color w:val="auto"/>
                <w:kern w:val="0"/>
                <w:sz w:val="24"/>
                <w:u w:val="single" w:color="auto"/>
                <w:lang w:val="en-US" w:eastAsia="zh-CN"/>
              </w:rPr>
              <w:t>“</w:t>
            </w:r>
            <w:r>
              <w:rPr>
                <w:rFonts w:hint="eastAsia" w:ascii="Times New Roman" w:hAnsi="Times New Roman" w:cs="Times New Roman"/>
                <w:b/>
                <w:bCs/>
                <w:color w:val="auto"/>
                <w:kern w:val="0"/>
                <w:sz w:val="24"/>
                <w:u w:val="single" w:color="auto"/>
                <w:lang w:eastAsia="zh-CN"/>
              </w:rPr>
              <w:t>三线一单</w:t>
            </w:r>
            <w:r>
              <w:rPr>
                <w:rFonts w:hint="eastAsia" w:ascii="Times New Roman" w:hAnsi="Times New Roman" w:cs="Times New Roman"/>
                <w:b/>
                <w:bCs/>
                <w:color w:val="auto"/>
                <w:kern w:val="0"/>
                <w:sz w:val="24"/>
                <w:u w:val="single" w:color="auto"/>
                <w:lang w:val="en-US" w:eastAsia="zh-CN"/>
              </w:rPr>
              <w:t>”</w:t>
            </w:r>
            <w:r>
              <w:rPr>
                <w:rFonts w:hint="eastAsia" w:ascii="Times New Roman" w:hAnsi="Times New Roman" w:cs="Times New Roman"/>
                <w:b/>
                <w:bCs/>
                <w:color w:val="auto"/>
                <w:kern w:val="0"/>
                <w:sz w:val="24"/>
                <w:u w:val="single" w:color="auto"/>
                <w:lang w:eastAsia="zh-CN"/>
              </w:rPr>
              <w:t>符合性</w:t>
            </w:r>
            <w:r>
              <w:rPr>
                <w:rFonts w:hint="default" w:ascii="Times New Roman" w:hAnsi="Times New Roman" w:cs="Times New Roman"/>
                <w:b/>
                <w:bCs/>
                <w:color w:val="auto"/>
                <w:kern w:val="0"/>
                <w:sz w:val="24"/>
                <w:u w:val="single" w:color="auto"/>
              </w:rPr>
              <w:t>分析</w:t>
            </w:r>
          </w:p>
          <w:p w14:paraId="29DA50D6">
            <w:pPr>
              <w:spacing w:line="360" w:lineRule="auto"/>
              <w:ind w:firstLine="480" w:firstLineChars="200"/>
              <w:rPr>
                <w:rFonts w:hint="default" w:ascii="Times New Roman" w:hAnsi="Times New Roman" w:cs="Times New Roman"/>
                <w:color w:val="auto"/>
                <w:kern w:val="0"/>
                <w:sz w:val="24"/>
                <w:szCs w:val="24"/>
                <w:u w:val="single" w:color="auto"/>
              </w:rPr>
            </w:pPr>
            <w:r>
              <w:rPr>
                <w:rFonts w:hint="default" w:ascii="Times New Roman" w:hAnsi="Times New Roman" w:cs="Times New Roman"/>
                <w:color w:val="auto"/>
                <w:kern w:val="0"/>
                <w:sz w:val="24"/>
                <w:szCs w:val="24"/>
                <w:u w:val="single" w:color="auto"/>
              </w:rPr>
              <w:t>（1）生态保护红线</w:t>
            </w:r>
          </w:p>
          <w:p w14:paraId="7ACD0787">
            <w:pPr>
              <w:spacing w:line="360" w:lineRule="auto"/>
              <w:ind w:firstLine="480" w:firstLineChars="200"/>
              <w:rPr>
                <w:rFonts w:hint="default" w:ascii="Times New Roman" w:hAnsi="Times New Roman" w:cs="Times New Roman"/>
                <w:color w:val="auto"/>
                <w:kern w:val="0"/>
                <w:sz w:val="24"/>
                <w:szCs w:val="24"/>
                <w:u w:val="single" w:color="auto"/>
                <w:lang w:val="en-US" w:eastAsia="zh-CN"/>
              </w:rPr>
            </w:pPr>
            <w:r>
              <w:rPr>
                <w:rFonts w:hint="default" w:ascii="Times New Roman" w:hAnsi="Times New Roman" w:cs="Times New Roman"/>
                <w:color w:val="auto"/>
                <w:kern w:val="0"/>
                <w:sz w:val="24"/>
                <w:szCs w:val="24"/>
                <w:u w:val="single" w:color="auto"/>
                <w:lang w:val="en-US" w:eastAsia="zh-CN"/>
              </w:rPr>
              <w:t>本项目位于</w:t>
            </w:r>
            <w:r>
              <w:rPr>
                <w:rFonts w:hint="eastAsia" w:ascii="Times New Roman" w:hAnsi="Times New Roman" w:cs="Times New Roman"/>
                <w:color w:val="auto"/>
                <w:kern w:val="0"/>
                <w:sz w:val="24"/>
                <w:szCs w:val="24"/>
                <w:u w:val="single" w:color="auto"/>
                <w:lang w:val="en-US" w:eastAsia="zh-CN"/>
              </w:rPr>
              <w:t>湖南省永州市新田县中山街道云梯岭村</w:t>
            </w:r>
            <w:r>
              <w:rPr>
                <w:rFonts w:hint="default" w:ascii="Times New Roman" w:hAnsi="Times New Roman" w:cs="Times New Roman"/>
                <w:color w:val="auto"/>
                <w:kern w:val="0"/>
                <w:sz w:val="24"/>
                <w:szCs w:val="24"/>
                <w:u w:val="single" w:color="auto"/>
                <w:lang w:val="en-US" w:eastAsia="zh-CN"/>
              </w:rPr>
              <w:t>，根据《湖南省人民政府关于印发&lt;湖南省生态保护红线&gt;的通知》（湘政发〔2018〕20 号）和</w:t>
            </w:r>
            <w:r>
              <w:rPr>
                <w:rFonts w:hint="default" w:ascii="Times New Roman" w:hAnsi="Times New Roman" w:cs="Times New Roman"/>
                <w:color w:val="0000FF"/>
                <w:kern w:val="0"/>
                <w:sz w:val="24"/>
                <w:szCs w:val="24"/>
                <w:u w:val="single" w:color="auto"/>
                <w:lang w:val="en-US" w:eastAsia="zh-CN"/>
              </w:rPr>
              <w:t>长沙市生态保护红线划定情况</w:t>
            </w:r>
            <w:r>
              <w:rPr>
                <w:rFonts w:hint="default" w:ascii="Times New Roman" w:hAnsi="Times New Roman" w:cs="Times New Roman"/>
                <w:color w:val="auto"/>
                <w:kern w:val="0"/>
                <w:sz w:val="24"/>
                <w:szCs w:val="24"/>
                <w:u w:val="single" w:color="auto"/>
                <w:lang w:val="en-US" w:eastAsia="zh-CN"/>
              </w:rPr>
              <w:t>，本项目不在生态保护红线范围内。</w:t>
            </w:r>
          </w:p>
          <w:p w14:paraId="7A0E54DD">
            <w:pPr>
              <w:spacing w:line="360" w:lineRule="auto"/>
              <w:ind w:firstLine="480" w:firstLineChars="200"/>
              <w:rPr>
                <w:rFonts w:hint="default" w:ascii="Times New Roman" w:hAnsi="Times New Roman" w:cs="Times New Roman"/>
                <w:color w:val="auto"/>
                <w:kern w:val="0"/>
                <w:sz w:val="24"/>
                <w:szCs w:val="24"/>
                <w:u w:val="single" w:color="auto"/>
                <w:lang w:eastAsia="zh-CN"/>
              </w:rPr>
            </w:pPr>
            <w:r>
              <w:rPr>
                <w:rFonts w:hint="default" w:ascii="Times New Roman" w:hAnsi="Times New Roman" w:cs="Times New Roman"/>
                <w:color w:val="auto"/>
                <w:kern w:val="0"/>
                <w:sz w:val="24"/>
                <w:szCs w:val="24"/>
                <w:u w:val="single" w:color="auto"/>
                <w:lang w:eastAsia="zh-CN"/>
              </w:rPr>
              <w:t>（</w:t>
            </w:r>
            <w:r>
              <w:rPr>
                <w:rFonts w:hint="default" w:ascii="Times New Roman" w:hAnsi="Times New Roman" w:cs="Times New Roman"/>
                <w:color w:val="auto"/>
                <w:kern w:val="0"/>
                <w:sz w:val="24"/>
                <w:szCs w:val="24"/>
                <w:u w:val="single" w:color="auto"/>
                <w:lang w:val="en-US" w:eastAsia="zh-CN"/>
              </w:rPr>
              <w:t>2</w:t>
            </w:r>
            <w:r>
              <w:rPr>
                <w:rFonts w:hint="default" w:ascii="Times New Roman" w:hAnsi="Times New Roman" w:cs="Times New Roman"/>
                <w:color w:val="auto"/>
                <w:kern w:val="0"/>
                <w:sz w:val="24"/>
                <w:szCs w:val="24"/>
                <w:u w:val="single" w:color="auto"/>
                <w:lang w:eastAsia="zh-CN"/>
              </w:rPr>
              <w:t>）环境质量底线</w:t>
            </w:r>
            <w:bookmarkStart w:id="8" w:name="_GoBack"/>
            <w:bookmarkEnd w:id="8"/>
          </w:p>
          <w:p w14:paraId="10C115A2">
            <w:pPr>
              <w:spacing w:line="360" w:lineRule="auto"/>
              <w:ind w:firstLine="480" w:firstLineChars="200"/>
              <w:rPr>
                <w:rFonts w:hint="default" w:ascii="Times New Roman" w:hAnsi="Times New Roman" w:cs="Times New Roman"/>
                <w:color w:val="auto"/>
                <w:kern w:val="0"/>
                <w:sz w:val="24"/>
                <w:szCs w:val="24"/>
                <w:u w:val="single" w:color="auto"/>
                <w:lang w:eastAsia="zh-CN"/>
              </w:rPr>
            </w:pPr>
            <w:r>
              <w:rPr>
                <w:rFonts w:hint="default" w:ascii="Times New Roman" w:hAnsi="Times New Roman" w:cs="Times New Roman"/>
                <w:color w:val="auto"/>
                <w:kern w:val="0"/>
                <w:sz w:val="24"/>
                <w:szCs w:val="24"/>
                <w:u w:val="single" w:color="auto"/>
              </w:rPr>
              <w:t>本项目所在地环境空气污染物基本项目参照</w:t>
            </w:r>
            <w:r>
              <w:rPr>
                <w:rFonts w:hint="eastAsia" w:ascii="Times New Roman" w:hAnsi="Times New Roman" w:cs="Times New Roman"/>
                <w:color w:val="auto"/>
                <w:kern w:val="0"/>
                <w:sz w:val="24"/>
                <w:szCs w:val="24"/>
                <w:u w:val="single" w:color="auto"/>
                <w:lang w:eastAsia="zh-CN"/>
              </w:rPr>
              <w:t>新田县</w:t>
            </w:r>
            <w:r>
              <w:rPr>
                <w:rFonts w:hint="default" w:ascii="Times New Roman" w:hAnsi="Times New Roman" w:cs="Times New Roman"/>
                <w:color w:val="auto"/>
                <w:kern w:val="0"/>
                <w:sz w:val="24"/>
                <w:szCs w:val="24"/>
                <w:u w:val="single" w:color="auto"/>
              </w:rPr>
              <w:t>2023年环境空气质量监测数据，均达到《环境空气质量标准》（GB3095-2012）及 2018 年修改单中的二级标准，属于环境空气达标区</w:t>
            </w:r>
            <w:r>
              <w:rPr>
                <w:rFonts w:hint="default" w:ascii="Times New Roman" w:hAnsi="Times New Roman" w:cs="Times New Roman"/>
                <w:color w:val="auto"/>
                <w:kern w:val="0"/>
                <w:sz w:val="24"/>
                <w:szCs w:val="24"/>
                <w:u w:val="single" w:color="auto"/>
                <w:lang w:eastAsia="zh-CN"/>
              </w:rPr>
              <w:t>；新田河上的大历县村断面、纱帽岭村断面水质均满足《地表水环境质量标准》（GB3838-2002）Ⅲ类水质标准要求；项目周边 50m 范围内</w:t>
            </w:r>
            <w:r>
              <w:rPr>
                <w:rFonts w:hint="eastAsia" w:ascii="Times New Roman" w:hAnsi="Times New Roman" w:cs="Times New Roman"/>
                <w:color w:val="auto"/>
                <w:kern w:val="0"/>
                <w:sz w:val="24"/>
                <w:szCs w:val="24"/>
                <w:u w:val="single" w:color="auto"/>
                <w:lang w:eastAsia="zh-CN"/>
              </w:rPr>
              <w:t>有一户声环境敏感点，根据现状监测结果，满足《声环境质量标准》（GB3096-2008）Ⅲ类标准要求</w:t>
            </w:r>
            <w:r>
              <w:rPr>
                <w:rFonts w:hint="default" w:ascii="Times New Roman" w:hAnsi="Times New Roman" w:cs="Times New Roman"/>
                <w:color w:val="auto"/>
                <w:kern w:val="0"/>
                <w:sz w:val="24"/>
                <w:szCs w:val="24"/>
                <w:u w:val="single" w:color="auto"/>
                <w:lang w:eastAsia="zh-CN"/>
              </w:rPr>
              <w:t>。</w:t>
            </w:r>
          </w:p>
          <w:p w14:paraId="6CA38C6D">
            <w:pPr>
              <w:spacing w:line="360" w:lineRule="auto"/>
              <w:ind w:firstLine="480" w:firstLineChars="200"/>
              <w:rPr>
                <w:rFonts w:hint="default" w:ascii="Times New Roman" w:hAnsi="Times New Roman" w:cs="Times New Roman"/>
                <w:color w:val="auto"/>
                <w:kern w:val="0"/>
                <w:sz w:val="24"/>
                <w:szCs w:val="24"/>
                <w:u w:val="single" w:color="auto"/>
                <w:lang w:val="en-US" w:eastAsia="zh-CN"/>
              </w:rPr>
            </w:pPr>
            <w:r>
              <w:rPr>
                <w:rFonts w:hint="default" w:ascii="Times New Roman" w:hAnsi="Times New Roman" w:cs="Times New Roman"/>
                <w:color w:val="auto"/>
                <w:kern w:val="0"/>
                <w:sz w:val="24"/>
                <w:szCs w:val="24"/>
                <w:u w:val="single" w:color="auto"/>
              </w:rPr>
              <w:t>项目运营期采取相应的环保治理措施技术后，各类污染物能够达标排放，项目</w:t>
            </w:r>
            <w:r>
              <w:rPr>
                <w:rFonts w:hint="default" w:ascii="Times New Roman" w:hAnsi="Times New Roman" w:cs="Times New Roman"/>
                <w:color w:val="auto"/>
                <w:kern w:val="0"/>
                <w:sz w:val="24"/>
                <w:szCs w:val="24"/>
                <w:u w:val="single" w:color="auto"/>
                <w:lang w:val="en-US" w:eastAsia="zh-CN"/>
              </w:rPr>
              <w:t>运营</w:t>
            </w:r>
            <w:r>
              <w:rPr>
                <w:rFonts w:hint="default" w:ascii="Times New Roman" w:hAnsi="Times New Roman" w:cs="Times New Roman"/>
                <w:color w:val="auto"/>
                <w:kern w:val="0"/>
                <w:sz w:val="24"/>
                <w:szCs w:val="24"/>
                <w:u w:val="single" w:color="auto"/>
              </w:rPr>
              <w:t>后对区域内环境影响较小，环境质量可以保持现有水平，因此符合环境质量底线要求。</w:t>
            </w:r>
            <w:r>
              <w:rPr>
                <w:rFonts w:hint="default" w:ascii="Times New Roman" w:hAnsi="Times New Roman" w:cs="Times New Roman"/>
                <w:color w:val="auto"/>
                <w:kern w:val="0"/>
                <w:sz w:val="24"/>
                <w:szCs w:val="24"/>
                <w:u w:val="single" w:color="auto"/>
                <w:lang w:val="en-US" w:eastAsia="zh-CN"/>
              </w:rPr>
              <w:t xml:space="preserve"> </w:t>
            </w:r>
          </w:p>
          <w:p w14:paraId="41A54F2B">
            <w:pPr>
              <w:spacing w:line="360" w:lineRule="auto"/>
              <w:ind w:firstLine="480" w:firstLineChars="200"/>
              <w:rPr>
                <w:rFonts w:hint="default" w:ascii="Times New Roman" w:hAnsi="Times New Roman" w:cs="Times New Roman"/>
                <w:color w:val="auto"/>
                <w:kern w:val="0"/>
                <w:sz w:val="24"/>
                <w:szCs w:val="24"/>
                <w:u w:val="single" w:color="auto"/>
                <w:lang w:eastAsia="zh-CN"/>
              </w:rPr>
            </w:pPr>
            <w:r>
              <w:rPr>
                <w:rFonts w:hint="default" w:ascii="Times New Roman" w:hAnsi="Times New Roman" w:cs="Times New Roman"/>
                <w:color w:val="auto"/>
                <w:kern w:val="0"/>
                <w:sz w:val="24"/>
                <w:szCs w:val="24"/>
                <w:u w:val="single" w:color="auto"/>
                <w:lang w:eastAsia="zh-CN"/>
              </w:rPr>
              <w:t>（</w:t>
            </w:r>
            <w:r>
              <w:rPr>
                <w:rFonts w:hint="default" w:ascii="Times New Roman" w:hAnsi="Times New Roman" w:cs="Times New Roman"/>
                <w:color w:val="auto"/>
                <w:kern w:val="0"/>
                <w:sz w:val="24"/>
                <w:szCs w:val="24"/>
                <w:u w:val="single" w:color="auto"/>
                <w:lang w:val="en-US" w:eastAsia="zh-CN"/>
              </w:rPr>
              <w:t>3</w:t>
            </w:r>
            <w:r>
              <w:rPr>
                <w:rFonts w:hint="default" w:ascii="Times New Roman" w:hAnsi="Times New Roman" w:cs="Times New Roman"/>
                <w:color w:val="auto"/>
                <w:kern w:val="0"/>
                <w:sz w:val="24"/>
                <w:szCs w:val="24"/>
                <w:u w:val="single" w:color="auto"/>
                <w:lang w:eastAsia="zh-CN"/>
              </w:rPr>
              <w:t>）资源利用上线</w:t>
            </w:r>
          </w:p>
          <w:p w14:paraId="2D5FFE81">
            <w:pPr>
              <w:spacing w:line="360" w:lineRule="auto"/>
              <w:ind w:firstLine="480" w:firstLineChars="200"/>
              <w:rPr>
                <w:rFonts w:hint="default" w:ascii="Times New Roman" w:hAnsi="Times New Roman" w:cs="Times New Roman"/>
                <w:color w:val="auto"/>
                <w:kern w:val="0"/>
                <w:sz w:val="24"/>
                <w:szCs w:val="24"/>
                <w:u w:val="single" w:color="auto"/>
              </w:rPr>
            </w:pPr>
            <w:r>
              <w:rPr>
                <w:rFonts w:hint="default" w:ascii="Times New Roman" w:hAnsi="Times New Roman" w:cs="Times New Roman"/>
                <w:color w:val="auto"/>
                <w:kern w:val="0"/>
                <w:sz w:val="24"/>
                <w:szCs w:val="24"/>
                <w:u w:val="single" w:color="auto"/>
              </w:rPr>
              <w:t>指按照自然资源资产“只能增值、不能贬值”的原则，以保障生态安全和改善环境质量为目的，利用自然资源资产负债表，结合自然资源开发管控，提出的分区域分阶段的资源开发利用总量、强度、效率等上线管控要求。</w:t>
            </w:r>
          </w:p>
          <w:p w14:paraId="42684EE4">
            <w:pPr>
              <w:spacing w:line="360" w:lineRule="auto"/>
              <w:ind w:firstLine="480" w:firstLineChars="200"/>
              <w:rPr>
                <w:rFonts w:hint="default" w:ascii="Times New Roman" w:hAnsi="Times New Roman" w:cs="Times New Roman"/>
                <w:color w:val="auto"/>
                <w:kern w:val="0"/>
                <w:sz w:val="24"/>
                <w:szCs w:val="24"/>
                <w:u w:val="single" w:color="auto"/>
              </w:rPr>
            </w:pPr>
            <w:r>
              <w:rPr>
                <w:rFonts w:hint="default" w:ascii="Times New Roman" w:hAnsi="Times New Roman" w:cs="Times New Roman"/>
                <w:color w:val="auto"/>
                <w:kern w:val="0"/>
                <w:sz w:val="24"/>
                <w:szCs w:val="24"/>
                <w:u w:val="single" w:color="auto"/>
              </w:rPr>
              <w:t>本项目为生产制造型项目，不对自然资源进行开发，购置原料生产加工，使已开发的资源提高价值，达到增值的目的。本项目能源</w:t>
            </w:r>
            <w:r>
              <w:rPr>
                <w:rFonts w:hint="default" w:ascii="Times New Roman" w:hAnsi="Times New Roman" w:cs="Times New Roman"/>
                <w:color w:val="auto"/>
                <w:kern w:val="0"/>
                <w:sz w:val="24"/>
                <w:szCs w:val="24"/>
                <w:u w:val="single" w:color="auto"/>
                <w:lang w:val="en-US" w:eastAsia="zh-CN"/>
              </w:rPr>
              <w:t>为</w:t>
            </w:r>
            <w:r>
              <w:rPr>
                <w:rFonts w:hint="default" w:ascii="Times New Roman" w:hAnsi="Times New Roman" w:cs="Times New Roman"/>
                <w:color w:val="auto"/>
                <w:kern w:val="0"/>
                <w:sz w:val="24"/>
                <w:szCs w:val="24"/>
                <w:u w:val="single" w:color="auto"/>
              </w:rPr>
              <w:t>电能，</w:t>
            </w:r>
            <w:r>
              <w:rPr>
                <w:rFonts w:hint="default" w:ascii="Times New Roman" w:hAnsi="Times New Roman" w:cs="Times New Roman"/>
                <w:color w:val="auto"/>
                <w:kern w:val="0"/>
                <w:sz w:val="24"/>
                <w:szCs w:val="24"/>
                <w:u w:val="single" w:color="auto"/>
                <w:lang w:val="en-US" w:eastAsia="zh-CN"/>
              </w:rPr>
              <w:t>项目运营期</w:t>
            </w:r>
            <w:r>
              <w:rPr>
                <w:rFonts w:hint="default" w:ascii="Times New Roman" w:hAnsi="Times New Roman" w:cs="Times New Roman"/>
                <w:color w:val="auto"/>
                <w:kern w:val="0"/>
                <w:sz w:val="24"/>
                <w:szCs w:val="24"/>
                <w:u w:val="single" w:color="auto"/>
              </w:rPr>
              <w:t>污染</w:t>
            </w:r>
            <w:r>
              <w:rPr>
                <w:rFonts w:hint="default" w:ascii="Times New Roman" w:hAnsi="Times New Roman" w:cs="Times New Roman"/>
                <w:color w:val="auto"/>
                <w:kern w:val="0"/>
                <w:sz w:val="24"/>
                <w:szCs w:val="24"/>
                <w:u w:val="single" w:color="auto"/>
                <w:lang w:val="en-US" w:eastAsia="zh-CN"/>
              </w:rPr>
              <w:t>产生</w:t>
            </w:r>
            <w:r>
              <w:rPr>
                <w:rFonts w:hint="default" w:ascii="Times New Roman" w:hAnsi="Times New Roman" w:cs="Times New Roman"/>
                <w:color w:val="auto"/>
                <w:kern w:val="0"/>
                <w:sz w:val="24"/>
                <w:szCs w:val="24"/>
                <w:u w:val="single" w:color="auto"/>
              </w:rPr>
              <w:t>小，能够有效的利用资源能源。</w:t>
            </w:r>
          </w:p>
          <w:p w14:paraId="3AE088A5">
            <w:pPr>
              <w:spacing w:line="360" w:lineRule="auto"/>
              <w:ind w:firstLine="480" w:firstLineChars="200"/>
              <w:rPr>
                <w:rFonts w:hint="default" w:ascii="Times New Roman" w:hAnsi="Times New Roman" w:cs="Times New Roman"/>
                <w:color w:val="auto"/>
                <w:kern w:val="0"/>
                <w:sz w:val="24"/>
                <w:szCs w:val="24"/>
                <w:u w:val="single" w:color="auto"/>
                <w:lang w:val="en-US" w:eastAsia="zh-CN"/>
              </w:rPr>
            </w:pPr>
            <w:r>
              <w:rPr>
                <w:rFonts w:hint="default" w:ascii="Times New Roman" w:hAnsi="Times New Roman" w:cs="Times New Roman"/>
                <w:color w:val="auto"/>
                <w:kern w:val="0"/>
                <w:sz w:val="24"/>
                <w:szCs w:val="24"/>
                <w:u w:val="single" w:color="auto"/>
              </w:rPr>
              <w:t>因此，本项目符合资源利用上线要求。</w:t>
            </w:r>
            <w:r>
              <w:rPr>
                <w:rFonts w:hint="default" w:ascii="Times New Roman" w:hAnsi="Times New Roman" w:cs="Times New Roman"/>
                <w:color w:val="auto"/>
                <w:kern w:val="0"/>
                <w:sz w:val="24"/>
                <w:szCs w:val="24"/>
                <w:u w:val="single" w:color="auto"/>
                <w:lang w:val="en-US" w:eastAsia="zh-CN"/>
              </w:rPr>
              <w:t xml:space="preserve"> </w:t>
            </w:r>
          </w:p>
          <w:p w14:paraId="6E771BC7">
            <w:pPr>
              <w:spacing w:line="360" w:lineRule="auto"/>
              <w:ind w:firstLine="480" w:firstLineChars="200"/>
              <w:rPr>
                <w:rFonts w:hint="default" w:ascii="Times New Roman" w:hAnsi="Times New Roman" w:cs="Times New Roman"/>
                <w:color w:val="auto"/>
                <w:kern w:val="0"/>
                <w:sz w:val="24"/>
                <w:szCs w:val="24"/>
                <w:u w:val="single" w:color="auto"/>
              </w:rPr>
            </w:pPr>
            <w:r>
              <w:rPr>
                <w:rFonts w:hint="default" w:ascii="Times New Roman" w:hAnsi="Times New Roman" w:cs="Times New Roman"/>
                <w:color w:val="auto"/>
                <w:kern w:val="0"/>
                <w:sz w:val="24"/>
                <w:szCs w:val="24"/>
                <w:u w:val="single" w:color="auto"/>
              </w:rPr>
              <w:t>（4）生态环境准入清单</w:t>
            </w:r>
          </w:p>
          <w:p w14:paraId="2564EC83">
            <w:pPr>
              <w:spacing w:line="360" w:lineRule="auto"/>
              <w:ind w:firstLine="480" w:firstLineChars="200"/>
              <w:rPr>
                <w:rFonts w:hint="default" w:ascii="Times New Roman" w:hAnsi="Times New Roman" w:cs="Times New Roman"/>
                <w:color w:val="auto"/>
                <w:kern w:val="0"/>
                <w:sz w:val="24"/>
                <w:szCs w:val="24"/>
                <w:u w:val="single" w:color="auto"/>
                <w:lang w:val="en-US" w:eastAsia="zh-CN"/>
              </w:rPr>
            </w:pPr>
            <w:r>
              <w:rPr>
                <w:rFonts w:hint="default" w:ascii="Times New Roman" w:hAnsi="Times New Roman" w:cs="Times New Roman"/>
                <w:color w:val="auto"/>
                <w:kern w:val="0"/>
                <w:sz w:val="24"/>
                <w:szCs w:val="24"/>
                <w:u w:val="single" w:color="auto"/>
              </w:rPr>
              <w:t>根据《永州市生态环境分区管控更新成果（2023版）》，</w:t>
            </w:r>
            <w:r>
              <w:rPr>
                <w:rFonts w:hint="default" w:ascii="Times New Roman" w:hAnsi="Times New Roman" w:cs="Times New Roman"/>
                <w:color w:val="auto"/>
                <w:kern w:val="0"/>
                <w:sz w:val="24"/>
                <w:szCs w:val="24"/>
                <w:u w:val="single" w:color="auto"/>
                <w:lang w:val="en-US" w:eastAsia="zh-CN"/>
              </w:rPr>
              <w:t>本项目位于湖南省永州市新田县中山街道云梯岭村，属于</w:t>
            </w:r>
            <w:r>
              <w:rPr>
                <w:rFonts w:hint="eastAsia" w:ascii="Times New Roman" w:hAnsi="Times New Roman" w:cs="Times New Roman"/>
                <w:color w:val="auto"/>
                <w:kern w:val="0"/>
                <w:sz w:val="24"/>
                <w:szCs w:val="24"/>
                <w:u w:val="single" w:color="auto"/>
                <w:lang w:eastAsia="zh-CN"/>
              </w:rPr>
              <w:t>中山街道</w:t>
            </w:r>
            <w:r>
              <w:rPr>
                <w:rFonts w:hint="default" w:ascii="Times New Roman" w:hAnsi="Times New Roman" w:cs="Times New Roman"/>
                <w:color w:val="auto"/>
                <w:kern w:val="0"/>
                <w:sz w:val="24"/>
                <w:szCs w:val="24"/>
                <w:u w:val="single" w:color="auto"/>
              </w:rPr>
              <w:t>，为</w:t>
            </w:r>
            <w:r>
              <w:rPr>
                <w:rFonts w:hint="default" w:ascii="Times New Roman" w:hAnsi="Times New Roman" w:cs="Times New Roman"/>
                <w:color w:val="auto"/>
                <w:kern w:val="0"/>
                <w:sz w:val="24"/>
                <w:szCs w:val="24"/>
                <w:u w:val="single" w:color="auto"/>
                <w:lang w:val="en-US" w:eastAsia="zh-CN"/>
              </w:rPr>
              <w:t>优先保护</w:t>
            </w:r>
            <w:r>
              <w:rPr>
                <w:rFonts w:hint="default" w:ascii="Times New Roman" w:hAnsi="Times New Roman" w:cs="Times New Roman"/>
                <w:color w:val="auto"/>
                <w:kern w:val="0"/>
                <w:sz w:val="24"/>
                <w:szCs w:val="24"/>
                <w:u w:val="single" w:color="auto"/>
              </w:rPr>
              <w:t>单元</w:t>
            </w:r>
            <w:r>
              <w:rPr>
                <w:rFonts w:hint="default" w:ascii="Times New Roman" w:hAnsi="Times New Roman" w:cs="Times New Roman"/>
                <w:color w:val="auto"/>
                <w:sz w:val="24"/>
                <w:szCs w:val="24"/>
                <w:highlight w:val="none"/>
                <w:u w:val="single" w:color="auto"/>
                <w:lang w:val="en-US" w:eastAsia="zh-CN"/>
              </w:rPr>
              <w:t>ZH43112810001</w:t>
            </w:r>
            <w:r>
              <w:rPr>
                <w:rFonts w:hint="default" w:ascii="Times New Roman" w:hAnsi="Times New Roman" w:cs="Times New Roman"/>
                <w:color w:val="auto"/>
                <w:kern w:val="0"/>
                <w:sz w:val="24"/>
                <w:szCs w:val="24"/>
                <w:u w:val="single" w:color="auto"/>
                <w:lang w:val="en-US" w:eastAsia="zh-CN"/>
              </w:rPr>
              <w:t>。</w:t>
            </w:r>
          </w:p>
          <w:p w14:paraId="6E2005C7">
            <w:pPr>
              <w:spacing w:line="360" w:lineRule="auto"/>
              <w:ind w:firstLine="480" w:firstLineChars="200"/>
              <w:rPr>
                <w:rFonts w:hint="default" w:ascii="Times New Roman" w:hAnsi="Times New Roman" w:cs="Times New Roman"/>
                <w:color w:val="auto"/>
                <w:kern w:val="0"/>
                <w:sz w:val="24"/>
                <w:szCs w:val="24"/>
                <w:u w:val="single" w:color="auto"/>
              </w:rPr>
            </w:pPr>
            <w:r>
              <w:rPr>
                <w:rFonts w:hint="default" w:ascii="Times New Roman" w:hAnsi="Times New Roman" w:cs="Times New Roman"/>
                <w:color w:val="auto"/>
                <w:kern w:val="0"/>
                <w:sz w:val="24"/>
                <w:szCs w:val="24"/>
                <w:u w:val="single" w:color="auto"/>
              </w:rPr>
              <w:t>项目与《永州市生态环境分区管控更新成果（2023版）》符合性分析情况见</w:t>
            </w:r>
            <w:r>
              <w:rPr>
                <w:rFonts w:hint="default" w:ascii="Times New Roman" w:hAnsi="Times New Roman" w:cs="Times New Roman"/>
                <w:color w:val="auto"/>
                <w:kern w:val="0"/>
                <w:sz w:val="24"/>
                <w:szCs w:val="24"/>
                <w:u w:val="single" w:color="auto"/>
                <w:lang w:val="en-US" w:eastAsia="zh-CN"/>
              </w:rPr>
              <w:t>表1-</w:t>
            </w:r>
            <w:r>
              <w:rPr>
                <w:rFonts w:hint="eastAsia" w:ascii="Times New Roman" w:hAnsi="Times New Roman" w:cs="Times New Roman"/>
                <w:color w:val="auto"/>
                <w:kern w:val="0"/>
                <w:sz w:val="24"/>
                <w:szCs w:val="24"/>
                <w:u w:val="single" w:color="auto"/>
                <w:lang w:val="en-US" w:eastAsia="zh-CN"/>
              </w:rPr>
              <w:t>1</w:t>
            </w:r>
            <w:r>
              <w:rPr>
                <w:rFonts w:hint="default" w:ascii="Times New Roman" w:hAnsi="Times New Roman" w:cs="Times New Roman"/>
                <w:color w:val="auto"/>
                <w:kern w:val="0"/>
                <w:sz w:val="24"/>
                <w:szCs w:val="24"/>
                <w:u w:val="single" w:color="auto"/>
                <w:lang w:val="en-US" w:eastAsia="zh-CN"/>
              </w:rPr>
              <w:t>。</w:t>
            </w:r>
          </w:p>
          <w:p w14:paraId="2FD37EE9">
            <w:pPr>
              <w:adjustRightInd w:val="0"/>
              <w:snapToGrid w:val="0"/>
              <w:spacing w:line="360" w:lineRule="auto"/>
              <w:jc w:val="center"/>
              <w:rPr>
                <w:rFonts w:hint="default" w:ascii="Times New Roman" w:hAnsi="Times New Roman" w:eastAsia="宋体" w:cs="Times New Roman"/>
                <w:b/>
                <w:bCs/>
                <w:sz w:val="24"/>
                <w:u w:val="single"/>
                <w:lang w:val="en-US" w:eastAsia="zh-CN"/>
              </w:rPr>
            </w:pPr>
            <w:r>
              <w:rPr>
                <w:rFonts w:hint="default" w:ascii="Times New Roman" w:hAnsi="Times New Roman" w:eastAsia="宋体" w:cs="Times New Roman"/>
                <w:b/>
                <w:bCs/>
                <w:sz w:val="24"/>
                <w:u w:val="single"/>
                <w:lang w:val="en-US" w:eastAsia="zh-CN"/>
              </w:rPr>
              <w:t>表1-1 本项目与永州市（新田县）生态环境管控要求的相符性分析</w:t>
            </w:r>
          </w:p>
          <w:tbl>
            <w:tblPr>
              <w:tblStyle w:val="39"/>
              <w:tblW w:w="5000"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3627"/>
              <w:gridCol w:w="2537"/>
              <w:gridCol w:w="708"/>
            </w:tblGrid>
            <w:tr w14:paraId="38425B8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Borders>
                    <w:tl2br w:val="nil"/>
                    <w:tr2bl w:val="nil"/>
                  </w:tcBorders>
                  <w:noWrap w:val="0"/>
                  <w:vAlign w:val="center"/>
                </w:tcPr>
                <w:p w14:paraId="0BF7FC7D">
                  <w:pPr>
                    <w:pStyle w:val="174"/>
                    <w:rPr>
                      <w:rFonts w:hint="default" w:ascii="Times New Roman" w:hAnsi="Times New Roman" w:cs="Times New Roman"/>
                      <w:b/>
                      <w:color w:val="000000"/>
                      <w:sz w:val="21"/>
                      <w:szCs w:val="24"/>
                      <w:highlight w:val="none"/>
                      <w:u w:val="single"/>
                    </w:rPr>
                  </w:pPr>
                  <w:r>
                    <w:rPr>
                      <w:rFonts w:hint="default" w:ascii="Times New Roman" w:hAnsi="Times New Roman" w:cs="Times New Roman"/>
                      <w:b/>
                      <w:color w:val="000000"/>
                      <w:sz w:val="21"/>
                      <w:szCs w:val="24"/>
                      <w:highlight w:val="none"/>
                      <w:u w:val="single"/>
                    </w:rPr>
                    <w:t>管控维度</w:t>
                  </w:r>
                </w:p>
              </w:tc>
              <w:tc>
                <w:tcPr>
                  <w:tcW w:w="3627" w:type="dxa"/>
                  <w:tcBorders>
                    <w:tl2br w:val="nil"/>
                    <w:tr2bl w:val="nil"/>
                  </w:tcBorders>
                  <w:noWrap w:val="0"/>
                  <w:vAlign w:val="center"/>
                </w:tcPr>
                <w:p w14:paraId="536A8520">
                  <w:pPr>
                    <w:pStyle w:val="174"/>
                    <w:rPr>
                      <w:rFonts w:hint="default" w:ascii="Times New Roman" w:hAnsi="Times New Roman" w:cs="Times New Roman"/>
                      <w:b/>
                      <w:color w:val="000000"/>
                      <w:sz w:val="21"/>
                      <w:szCs w:val="24"/>
                      <w:highlight w:val="none"/>
                      <w:u w:val="single"/>
                    </w:rPr>
                  </w:pPr>
                  <w:r>
                    <w:rPr>
                      <w:rFonts w:hint="default" w:ascii="Times New Roman" w:hAnsi="Times New Roman" w:cs="Times New Roman"/>
                      <w:b/>
                      <w:color w:val="000000"/>
                      <w:sz w:val="21"/>
                      <w:szCs w:val="24"/>
                      <w:highlight w:val="none"/>
                      <w:u w:val="single"/>
                    </w:rPr>
                    <w:t>管控要求</w:t>
                  </w:r>
                </w:p>
              </w:tc>
              <w:tc>
                <w:tcPr>
                  <w:tcW w:w="2537" w:type="dxa"/>
                  <w:tcBorders>
                    <w:tl2br w:val="nil"/>
                    <w:tr2bl w:val="nil"/>
                  </w:tcBorders>
                  <w:noWrap w:val="0"/>
                  <w:vAlign w:val="center"/>
                </w:tcPr>
                <w:p w14:paraId="44C39871">
                  <w:pPr>
                    <w:pStyle w:val="174"/>
                    <w:rPr>
                      <w:rFonts w:hint="default" w:ascii="Times New Roman" w:hAnsi="Times New Roman" w:cs="Times New Roman"/>
                      <w:b/>
                      <w:color w:val="000000"/>
                      <w:sz w:val="21"/>
                      <w:szCs w:val="24"/>
                      <w:highlight w:val="none"/>
                      <w:u w:val="single"/>
                    </w:rPr>
                  </w:pPr>
                  <w:r>
                    <w:rPr>
                      <w:rFonts w:hint="default" w:ascii="Times New Roman" w:hAnsi="Times New Roman" w:cs="Times New Roman"/>
                      <w:b/>
                      <w:color w:val="000000"/>
                      <w:sz w:val="21"/>
                      <w:szCs w:val="24"/>
                      <w:highlight w:val="none"/>
                      <w:u w:val="single"/>
                    </w:rPr>
                    <w:t>实际情况</w:t>
                  </w:r>
                </w:p>
              </w:tc>
              <w:tc>
                <w:tcPr>
                  <w:tcW w:w="708" w:type="dxa"/>
                  <w:tcBorders>
                    <w:tl2br w:val="nil"/>
                    <w:tr2bl w:val="nil"/>
                  </w:tcBorders>
                  <w:noWrap w:val="0"/>
                  <w:vAlign w:val="center"/>
                </w:tcPr>
                <w:p w14:paraId="689B851E">
                  <w:pPr>
                    <w:pStyle w:val="174"/>
                    <w:rPr>
                      <w:rFonts w:hint="default" w:ascii="Times New Roman" w:hAnsi="Times New Roman" w:cs="Times New Roman"/>
                      <w:b/>
                      <w:color w:val="000000"/>
                      <w:sz w:val="21"/>
                      <w:szCs w:val="24"/>
                      <w:highlight w:val="none"/>
                      <w:u w:val="single"/>
                    </w:rPr>
                  </w:pPr>
                  <w:r>
                    <w:rPr>
                      <w:rFonts w:hint="default" w:ascii="Times New Roman" w:hAnsi="Times New Roman" w:cs="Times New Roman"/>
                      <w:b/>
                      <w:color w:val="000000"/>
                      <w:sz w:val="21"/>
                      <w:szCs w:val="24"/>
                      <w:highlight w:val="none"/>
                      <w:u w:val="single"/>
                    </w:rPr>
                    <w:t>是否符合</w:t>
                  </w:r>
                </w:p>
              </w:tc>
            </w:tr>
            <w:tr w14:paraId="31E1855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Borders>
                    <w:tl2br w:val="nil"/>
                    <w:tr2bl w:val="nil"/>
                  </w:tcBorders>
                  <w:noWrap w:val="0"/>
                  <w:vAlign w:val="center"/>
                </w:tcPr>
                <w:p w14:paraId="648FFBFA">
                  <w:pPr>
                    <w:pStyle w:val="174"/>
                    <w:rPr>
                      <w:rFonts w:hint="default" w:ascii="Times New Roman" w:hAnsi="Times New Roman" w:cs="Times New Roman"/>
                      <w:color w:val="000000"/>
                      <w:sz w:val="21"/>
                      <w:szCs w:val="24"/>
                      <w:highlight w:val="none"/>
                      <w:u w:val="single"/>
                    </w:rPr>
                  </w:pPr>
                  <w:r>
                    <w:rPr>
                      <w:rFonts w:hint="default" w:ascii="Times New Roman" w:hAnsi="Times New Roman" w:cs="Times New Roman"/>
                      <w:color w:val="000000"/>
                      <w:sz w:val="21"/>
                      <w:szCs w:val="24"/>
                      <w:highlight w:val="none"/>
                      <w:u w:val="single"/>
                    </w:rPr>
                    <w:t>空间布局约束</w:t>
                  </w:r>
                </w:p>
              </w:tc>
              <w:tc>
                <w:tcPr>
                  <w:tcW w:w="3627" w:type="dxa"/>
                  <w:tcBorders>
                    <w:tl2br w:val="nil"/>
                    <w:tr2bl w:val="nil"/>
                  </w:tcBorders>
                  <w:noWrap w:val="0"/>
                  <w:vAlign w:val="center"/>
                </w:tcPr>
                <w:p w14:paraId="5CBB3905">
                  <w:pPr>
                    <w:pStyle w:val="174"/>
                    <w:jc w:val="both"/>
                    <w:rPr>
                      <w:rFonts w:hint="default" w:ascii="Times New Roman" w:hAnsi="Times New Roman" w:cs="Times New Roman"/>
                      <w:color w:val="000000"/>
                      <w:sz w:val="21"/>
                      <w:szCs w:val="24"/>
                      <w:highlight w:val="none"/>
                      <w:u w:val="single"/>
                    </w:rPr>
                  </w:pPr>
                  <w:r>
                    <w:rPr>
                      <w:rFonts w:hint="default" w:ascii="Times New Roman" w:hAnsi="Times New Roman" w:cs="Times New Roman"/>
                      <w:color w:val="000000"/>
                      <w:sz w:val="21"/>
                      <w:szCs w:val="24"/>
                      <w:highlight w:val="none"/>
                      <w:u w:val="single"/>
                    </w:rPr>
                    <w:t>（1.1）产业准入应严格执行国家、省级关于主体功能区划的环境保护及产业准入负面清单要求。</w:t>
                  </w:r>
                </w:p>
                <w:p w14:paraId="38B36C53">
                  <w:pPr>
                    <w:pStyle w:val="174"/>
                    <w:jc w:val="both"/>
                    <w:rPr>
                      <w:rFonts w:hint="default" w:ascii="Times New Roman" w:hAnsi="Times New Roman" w:cs="Times New Roman"/>
                      <w:color w:val="000000"/>
                      <w:sz w:val="21"/>
                      <w:szCs w:val="24"/>
                      <w:highlight w:val="none"/>
                      <w:u w:val="single"/>
                    </w:rPr>
                  </w:pPr>
                  <w:r>
                    <w:rPr>
                      <w:rFonts w:hint="default" w:ascii="Times New Roman" w:hAnsi="Times New Roman" w:cs="Times New Roman"/>
                      <w:color w:val="000000"/>
                      <w:sz w:val="21"/>
                      <w:szCs w:val="24"/>
                      <w:highlight w:val="none"/>
                      <w:u w:val="single"/>
                    </w:rPr>
                    <w:t>（1.2）城市规划区内禁止新建烧制建筑砖瓦厂；城市建成区内禁止沥青搅拌站。</w:t>
                  </w:r>
                </w:p>
                <w:p w14:paraId="48847829">
                  <w:pPr>
                    <w:pStyle w:val="174"/>
                    <w:jc w:val="both"/>
                    <w:rPr>
                      <w:rFonts w:hint="default" w:ascii="Times New Roman" w:hAnsi="Times New Roman" w:cs="Times New Roman"/>
                      <w:color w:val="000000"/>
                      <w:sz w:val="21"/>
                      <w:szCs w:val="24"/>
                      <w:highlight w:val="none"/>
                      <w:u w:val="single"/>
                    </w:rPr>
                  </w:pPr>
                  <w:r>
                    <w:rPr>
                      <w:rFonts w:hint="default" w:ascii="Times New Roman" w:hAnsi="Times New Roman" w:cs="Times New Roman"/>
                      <w:color w:val="000000"/>
                      <w:sz w:val="21"/>
                      <w:szCs w:val="24"/>
                      <w:highlight w:val="none"/>
                      <w:u w:val="single"/>
                    </w:rPr>
                    <w:t>（1.3）新田工业集中区调区扩区原则上不应超出省级主管部门确定的拓展空间；对园区外的现有企业加强环境监管，确保污染物达标排放。</w:t>
                  </w:r>
                </w:p>
              </w:tc>
              <w:tc>
                <w:tcPr>
                  <w:tcW w:w="2537" w:type="dxa"/>
                  <w:tcBorders>
                    <w:tl2br w:val="nil"/>
                    <w:tr2bl w:val="nil"/>
                  </w:tcBorders>
                  <w:noWrap w:val="0"/>
                  <w:vAlign w:val="center"/>
                </w:tcPr>
                <w:p w14:paraId="3836CB06">
                  <w:pPr>
                    <w:pStyle w:val="174"/>
                    <w:jc w:val="both"/>
                    <w:rPr>
                      <w:rFonts w:hint="eastAsia" w:ascii="Times New Roman" w:hAnsi="Times New Roman" w:cs="Times New Roman"/>
                      <w:color w:val="000000"/>
                      <w:sz w:val="21"/>
                      <w:szCs w:val="24"/>
                      <w:highlight w:val="none"/>
                      <w:u w:val="single"/>
                      <w:lang w:val="en-US" w:eastAsia="zh-CN"/>
                    </w:rPr>
                  </w:pPr>
                  <w:r>
                    <w:rPr>
                      <w:rFonts w:hint="eastAsia" w:ascii="Times New Roman" w:hAnsi="Times New Roman" w:cs="Times New Roman"/>
                      <w:color w:val="000000"/>
                      <w:sz w:val="21"/>
                      <w:szCs w:val="24"/>
                      <w:highlight w:val="none"/>
                      <w:u w:val="single"/>
                      <w:lang w:val="en-US" w:eastAsia="zh-CN"/>
                    </w:rPr>
                    <w:t>（1.1）本项目符合当地产业准入负面清单要求；</w:t>
                  </w:r>
                </w:p>
                <w:p w14:paraId="7300DA82">
                  <w:pPr>
                    <w:pStyle w:val="174"/>
                    <w:jc w:val="both"/>
                    <w:rPr>
                      <w:rFonts w:hint="eastAsia" w:ascii="Times New Roman" w:hAnsi="Times New Roman" w:cs="Times New Roman"/>
                      <w:color w:val="000000"/>
                      <w:sz w:val="21"/>
                      <w:szCs w:val="24"/>
                      <w:highlight w:val="none"/>
                      <w:u w:val="single"/>
                      <w:lang w:val="en-US" w:eastAsia="zh-CN"/>
                    </w:rPr>
                  </w:pPr>
                  <w:r>
                    <w:rPr>
                      <w:rFonts w:hint="eastAsia" w:ascii="Times New Roman" w:hAnsi="Times New Roman" w:cs="Times New Roman"/>
                      <w:color w:val="000000"/>
                      <w:sz w:val="21"/>
                      <w:szCs w:val="24"/>
                      <w:highlight w:val="none"/>
                      <w:u w:val="single"/>
                      <w:lang w:val="en-US" w:eastAsia="zh-CN"/>
                    </w:rPr>
                    <w:t>（1.2）本项目位于湖南省永州市新田县中山街道云梯岭村，不位于城市建成区，不属于砖瓦与沥青搅拌行业；</w:t>
                  </w:r>
                </w:p>
                <w:p w14:paraId="4E4776C6">
                  <w:pPr>
                    <w:pStyle w:val="174"/>
                    <w:jc w:val="both"/>
                    <w:rPr>
                      <w:rFonts w:hint="default" w:ascii="Times New Roman" w:hAnsi="Times New Roman" w:cs="Times New Roman"/>
                      <w:color w:val="000000"/>
                      <w:sz w:val="21"/>
                      <w:szCs w:val="24"/>
                      <w:highlight w:val="none"/>
                      <w:u w:val="single"/>
                      <w:lang w:val="en-US" w:eastAsia="zh-CN"/>
                    </w:rPr>
                  </w:pPr>
                  <w:r>
                    <w:rPr>
                      <w:rFonts w:hint="eastAsia" w:ascii="Times New Roman" w:hAnsi="Times New Roman" w:cs="Times New Roman"/>
                      <w:color w:val="000000"/>
                      <w:sz w:val="21"/>
                      <w:szCs w:val="24"/>
                      <w:highlight w:val="none"/>
                      <w:u w:val="single"/>
                      <w:lang w:val="en-US" w:eastAsia="zh-CN"/>
                    </w:rPr>
                    <w:t>（1.3）本项目采取有效环保措施，排放废气废水均满足相应标准要求</w:t>
                  </w:r>
                </w:p>
              </w:tc>
              <w:tc>
                <w:tcPr>
                  <w:tcW w:w="708" w:type="dxa"/>
                  <w:tcBorders>
                    <w:tl2br w:val="nil"/>
                    <w:tr2bl w:val="nil"/>
                  </w:tcBorders>
                  <w:noWrap w:val="0"/>
                  <w:vAlign w:val="center"/>
                </w:tcPr>
                <w:p w14:paraId="55BCB4BF">
                  <w:pPr>
                    <w:pStyle w:val="174"/>
                    <w:spacing w:beforeLines="0" w:afterLines="0"/>
                    <w:jc w:val="center"/>
                    <w:rPr>
                      <w:rFonts w:hint="default" w:ascii="Times New Roman" w:hAnsi="Times New Roman" w:cs="Times New Roman"/>
                      <w:color w:val="000000"/>
                      <w:sz w:val="21"/>
                      <w:szCs w:val="24"/>
                      <w:highlight w:val="none"/>
                      <w:u w:val="single"/>
                    </w:rPr>
                  </w:pPr>
                  <w:r>
                    <w:rPr>
                      <w:rFonts w:hint="default" w:ascii="Times New Roman" w:hAnsi="Times New Roman" w:cs="Times New Roman"/>
                      <w:color w:val="000000"/>
                      <w:sz w:val="21"/>
                      <w:szCs w:val="24"/>
                      <w:highlight w:val="none"/>
                      <w:u w:val="single"/>
                    </w:rPr>
                    <w:t>符合</w:t>
                  </w:r>
                </w:p>
              </w:tc>
            </w:tr>
            <w:tr w14:paraId="48C80A8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726" w:type="dxa"/>
                  <w:tcBorders>
                    <w:tl2br w:val="nil"/>
                    <w:tr2bl w:val="nil"/>
                  </w:tcBorders>
                  <w:noWrap w:val="0"/>
                  <w:vAlign w:val="center"/>
                </w:tcPr>
                <w:p w14:paraId="1034DEB6">
                  <w:pPr>
                    <w:pStyle w:val="174"/>
                    <w:rPr>
                      <w:rFonts w:hint="default" w:ascii="Times New Roman" w:hAnsi="Times New Roman" w:cs="Times New Roman"/>
                      <w:color w:val="000000"/>
                      <w:sz w:val="21"/>
                      <w:szCs w:val="24"/>
                      <w:highlight w:val="none"/>
                      <w:u w:val="single"/>
                    </w:rPr>
                  </w:pPr>
                  <w:r>
                    <w:rPr>
                      <w:rFonts w:hint="default" w:ascii="Times New Roman" w:hAnsi="Times New Roman" w:cs="Times New Roman"/>
                      <w:color w:val="000000"/>
                      <w:sz w:val="21"/>
                      <w:szCs w:val="24"/>
                      <w:highlight w:val="none"/>
                      <w:u w:val="single"/>
                    </w:rPr>
                    <w:t>污染物排放管控</w:t>
                  </w:r>
                </w:p>
              </w:tc>
              <w:tc>
                <w:tcPr>
                  <w:tcW w:w="3627" w:type="dxa"/>
                  <w:tcBorders>
                    <w:tl2br w:val="nil"/>
                    <w:tr2bl w:val="nil"/>
                  </w:tcBorders>
                  <w:noWrap w:val="0"/>
                  <w:vAlign w:val="center"/>
                </w:tcPr>
                <w:p w14:paraId="3F9FF17F">
                  <w:pPr>
                    <w:pStyle w:val="174"/>
                    <w:jc w:val="both"/>
                    <w:rPr>
                      <w:rFonts w:hint="default" w:ascii="Times New Roman" w:hAnsi="Times New Roman" w:cs="Times New Roman"/>
                      <w:color w:val="000000"/>
                      <w:sz w:val="21"/>
                      <w:szCs w:val="24"/>
                      <w:highlight w:val="none"/>
                      <w:u w:val="single"/>
                    </w:rPr>
                  </w:pPr>
                  <w:r>
                    <w:rPr>
                      <w:rFonts w:hint="default" w:ascii="Times New Roman" w:hAnsi="Times New Roman" w:cs="Times New Roman"/>
                      <w:color w:val="000000"/>
                      <w:sz w:val="21"/>
                      <w:szCs w:val="24"/>
                      <w:highlight w:val="none"/>
                      <w:u w:val="single"/>
                    </w:rPr>
                    <w:t>（2.1）有关行业新建项目必须执行《新田县环境突出问题集中整治重点行业操作规范（试行）》，现有项目必须在规定期限内达到《规范》要求，否则自行淘汰退出。</w:t>
                  </w:r>
                </w:p>
                <w:p w14:paraId="75AFF378">
                  <w:pPr>
                    <w:pStyle w:val="174"/>
                    <w:jc w:val="both"/>
                    <w:rPr>
                      <w:rFonts w:hint="default" w:ascii="Times New Roman" w:hAnsi="Times New Roman" w:cs="Times New Roman"/>
                      <w:color w:val="000000"/>
                      <w:sz w:val="21"/>
                      <w:szCs w:val="24"/>
                      <w:highlight w:val="none"/>
                      <w:u w:val="single"/>
                    </w:rPr>
                  </w:pPr>
                  <w:r>
                    <w:rPr>
                      <w:rFonts w:hint="default" w:ascii="Times New Roman" w:hAnsi="Times New Roman" w:cs="Times New Roman"/>
                      <w:color w:val="000000"/>
                      <w:sz w:val="21"/>
                      <w:szCs w:val="24"/>
                      <w:highlight w:val="none"/>
                      <w:u w:val="single"/>
                    </w:rPr>
                    <w:t>（2.2）加大露天焚烧垃圾和露天烧烤的查处力度、禁止露天烧烤直排。及时处理群众对露天焚烧的投诉，依法查处露天焚烧建筑垃圾、生活垃圾、秸秆等行为。全面推广并形成“户分类减量、村收集利用、镇少量中转、县处理处置”等符合农村实情、具有新田县特色的农村垃圾收集处理体系。</w:t>
                  </w:r>
                </w:p>
              </w:tc>
              <w:tc>
                <w:tcPr>
                  <w:tcW w:w="2537" w:type="dxa"/>
                  <w:tcBorders>
                    <w:tl2br w:val="nil"/>
                    <w:tr2bl w:val="nil"/>
                  </w:tcBorders>
                  <w:noWrap w:val="0"/>
                  <w:vAlign w:val="center"/>
                </w:tcPr>
                <w:p w14:paraId="4E186965">
                  <w:pPr>
                    <w:pStyle w:val="174"/>
                    <w:jc w:val="both"/>
                    <w:rPr>
                      <w:rFonts w:hint="eastAsia" w:ascii="Times New Roman" w:hAnsi="Times New Roman" w:cs="Times New Roman"/>
                      <w:color w:val="000000"/>
                      <w:sz w:val="21"/>
                      <w:szCs w:val="24"/>
                      <w:highlight w:val="none"/>
                      <w:u w:val="single"/>
                      <w:lang w:eastAsia="zh-CN"/>
                    </w:rPr>
                  </w:pPr>
                  <w:r>
                    <w:rPr>
                      <w:rFonts w:hint="eastAsia" w:ascii="Times New Roman" w:hAnsi="Times New Roman" w:cs="Times New Roman"/>
                      <w:color w:val="000000"/>
                      <w:sz w:val="21"/>
                      <w:szCs w:val="24"/>
                      <w:highlight w:val="none"/>
                      <w:u w:val="single"/>
                      <w:lang w:eastAsia="zh-CN"/>
                    </w:rPr>
                    <w:t>（</w:t>
                  </w:r>
                  <w:r>
                    <w:rPr>
                      <w:rFonts w:hint="eastAsia" w:ascii="Times New Roman" w:hAnsi="Times New Roman" w:cs="Times New Roman"/>
                      <w:color w:val="000000"/>
                      <w:sz w:val="21"/>
                      <w:szCs w:val="24"/>
                      <w:highlight w:val="none"/>
                      <w:u w:val="single"/>
                      <w:lang w:val="en-US" w:eastAsia="zh-CN"/>
                    </w:rPr>
                    <w:t>2.1</w:t>
                  </w:r>
                  <w:r>
                    <w:rPr>
                      <w:rFonts w:hint="eastAsia" w:ascii="Times New Roman" w:hAnsi="Times New Roman" w:cs="Times New Roman"/>
                      <w:color w:val="000000"/>
                      <w:sz w:val="21"/>
                      <w:szCs w:val="24"/>
                      <w:highlight w:val="none"/>
                      <w:u w:val="single"/>
                      <w:lang w:eastAsia="zh-CN"/>
                    </w:rPr>
                    <w:t>）本项目属于扩建项目，严格按照《规范》要求操作；</w:t>
                  </w:r>
                </w:p>
                <w:p w14:paraId="34D493ED">
                  <w:pPr>
                    <w:pStyle w:val="174"/>
                    <w:jc w:val="both"/>
                    <w:rPr>
                      <w:rFonts w:hint="eastAsia" w:ascii="Times New Roman" w:hAnsi="Times New Roman" w:cs="Times New Roman"/>
                      <w:color w:val="000000"/>
                      <w:sz w:val="21"/>
                      <w:szCs w:val="24"/>
                      <w:highlight w:val="none"/>
                      <w:u w:val="single"/>
                      <w:lang w:eastAsia="zh-CN"/>
                    </w:rPr>
                  </w:pPr>
                  <w:r>
                    <w:rPr>
                      <w:rFonts w:hint="eastAsia" w:ascii="Times New Roman" w:hAnsi="Times New Roman" w:cs="Times New Roman"/>
                      <w:color w:val="000000"/>
                      <w:sz w:val="21"/>
                      <w:szCs w:val="24"/>
                      <w:highlight w:val="none"/>
                      <w:u w:val="single"/>
                      <w:lang w:eastAsia="zh-CN"/>
                    </w:rPr>
                    <w:t>（</w:t>
                  </w:r>
                  <w:r>
                    <w:rPr>
                      <w:rFonts w:hint="eastAsia" w:ascii="Times New Roman" w:hAnsi="Times New Roman" w:cs="Times New Roman"/>
                      <w:color w:val="000000"/>
                      <w:sz w:val="21"/>
                      <w:szCs w:val="24"/>
                      <w:highlight w:val="none"/>
                      <w:u w:val="single"/>
                      <w:lang w:val="en-US" w:eastAsia="zh-CN"/>
                    </w:rPr>
                    <w:t>2.2</w:t>
                  </w:r>
                  <w:r>
                    <w:rPr>
                      <w:rFonts w:hint="eastAsia" w:ascii="Times New Roman" w:hAnsi="Times New Roman" w:cs="Times New Roman"/>
                      <w:color w:val="000000"/>
                      <w:sz w:val="21"/>
                      <w:szCs w:val="24"/>
                      <w:highlight w:val="none"/>
                      <w:u w:val="single"/>
                      <w:lang w:eastAsia="zh-CN"/>
                    </w:rPr>
                    <w:t>）本项目不涉及露天焚烧垃圾</w:t>
                  </w:r>
                </w:p>
              </w:tc>
              <w:tc>
                <w:tcPr>
                  <w:tcW w:w="708" w:type="dxa"/>
                  <w:tcBorders>
                    <w:tl2br w:val="nil"/>
                    <w:tr2bl w:val="nil"/>
                  </w:tcBorders>
                  <w:noWrap w:val="0"/>
                  <w:vAlign w:val="center"/>
                </w:tcPr>
                <w:p w14:paraId="1AA793A2">
                  <w:pPr>
                    <w:pStyle w:val="174"/>
                    <w:jc w:val="center"/>
                    <w:rPr>
                      <w:rFonts w:hint="default" w:ascii="Times New Roman" w:hAnsi="Times New Roman" w:cs="Times New Roman"/>
                      <w:color w:val="000000"/>
                      <w:sz w:val="21"/>
                      <w:szCs w:val="24"/>
                      <w:highlight w:val="none"/>
                      <w:u w:val="single"/>
                    </w:rPr>
                  </w:pPr>
                  <w:r>
                    <w:rPr>
                      <w:rFonts w:hint="default" w:ascii="Times New Roman" w:hAnsi="Times New Roman" w:cs="Times New Roman"/>
                      <w:color w:val="000000"/>
                      <w:sz w:val="21"/>
                      <w:szCs w:val="24"/>
                      <w:highlight w:val="none"/>
                      <w:u w:val="single"/>
                    </w:rPr>
                    <w:t>符合</w:t>
                  </w:r>
                </w:p>
              </w:tc>
            </w:tr>
            <w:tr w14:paraId="3138BBD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726" w:type="dxa"/>
                  <w:tcBorders>
                    <w:tl2br w:val="nil"/>
                    <w:tr2bl w:val="nil"/>
                  </w:tcBorders>
                  <w:noWrap w:val="0"/>
                  <w:vAlign w:val="center"/>
                </w:tcPr>
                <w:p w14:paraId="5BB99842">
                  <w:pPr>
                    <w:pStyle w:val="174"/>
                    <w:rPr>
                      <w:rFonts w:hint="default" w:ascii="Times New Roman" w:hAnsi="Times New Roman" w:cs="Times New Roman"/>
                      <w:color w:val="000000"/>
                      <w:sz w:val="21"/>
                      <w:szCs w:val="24"/>
                      <w:highlight w:val="none"/>
                      <w:u w:val="single"/>
                    </w:rPr>
                  </w:pPr>
                  <w:r>
                    <w:rPr>
                      <w:rFonts w:hint="default" w:ascii="Times New Roman" w:hAnsi="Times New Roman" w:cs="Times New Roman"/>
                      <w:color w:val="000000"/>
                      <w:sz w:val="21"/>
                      <w:szCs w:val="24"/>
                      <w:highlight w:val="none"/>
                      <w:u w:val="single"/>
                    </w:rPr>
                    <w:t>环境风险防控</w:t>
                  </w:r>
                </w:p>
              </w:tc>
              <w:tc>
                <w:tcPr>
                  <w:tcW w:w="3627" w:type="dxa"/>
                  <w:tcBorders>
                    <w:tl2br w:val="nil"/>
                    <w:tr2bl w:val="nil"/>
                  </w:tcBorders>
                  <w:noWrap w:val="0"/>
                  <w:vAlign w:val="center"/>
                </w:tcPr>
                <w:p w14:paraId="1470CAA3">
                  <w:pPr>
                    <w:pStyle w:val="174"/>
                    <w:jc w:val="both"/>
                    <w:rPr>
                      <w:rFonts w:hint="default" w:ascii="Times New Roman" w:hAnsi="Times New Roman" w:cs="Times New Roman"/>
                      <w:color w:val="000000"/>
                      <w:sz w:val="21"/>
                      <w:szCs w:val="24"/>
                      <w:highlight w:val="none"/>
                      <w:u w:val="single"/>
                    </w:rPr>
                  </w:pPr>
                  <w:r>
                    <w:rPr>
                      <w:rFonts w:hint="default" w:ascii="Times New Roman" w:hAnsi="Times New Roman" w:cs="Times New Roman"/>
                      <w:color w:val="000000"/>
                      <w:sz w:val="21"/>
                      <w:szCs w:val="24"/>
                      <w:highlight w:val="none"/>
                      <w:u w:val="single"/>
                    </w:rPr>
                    <w:t>（3.1）加强饮用水水源地风险管控，严格保护饮用水水质安全。</w:t>
                  </w:r>
                </w:p>
              </w:tc>
              <w:tc>
                <w:tcPr>
                  <w:tcW w:w="2537" w:type="dxa"/>
                  <w:tcBorders>
                    <w:tl2br w:val="nil"/>
                    <w:tr2bl w:val="nil"/>
                  </w:tcBorders>
                  <w:noWrap w:val="0"/>
                  <w:vAlign w:val="center"/>
                </w:tcPr>
                <w:p w14:paraId="6B14C7B7">
                  <w:pPr>
                    <w:pStyle w:val="174"/>
                    <w:jc w:val="both"/>
                    <w:rPr>
                      <w:rFonts w:hint="default" w:ascii="Times New Roman" w:hAnsi="Times New Roman" w:eastAsia="宋体" w:cs="Times New Roman"/>
                      <w:color w:val="000000"/>
                      <w:sz w:val="21"/>
                      <w:szCs w:val="24"/>
                      <w:highlight w:val="none"/>
                      <w:u w:val="single"/>
                      <w:lang w:val="en-US" w:eastAsia="zh-CN"/>
                    </w:rPr>
                  </w:pPr>
                  <w:r>
                    <w:rPr>
                      <w:rFonts w:hint="eastAsia" w:ascii="Times New Roman" w:hAnsi="Times New Roman" w:cs="Times New Roman"/>
                      <w:color w:val="000000"/>
                      <w:sz w:val="21"/>
                      <w:szCs w:val="24"/>
                      <w:highlight w:val="none"/>
                      <w:u w:val="single"/>
                      <w:lang w:val="en-US" w:eastAsia="zh-CN"/>
                    </w:rPr>
                    <w:t>本项目不涉及饮用水源地</w:t>
                  </w:r>
                </w:p>
              </w:tc>
              <w:tc>
                <w:tcPr>
                  <w:tcW w:w="708" w:type="dxa"/>
                  <w:tcBorders>
                    <w:tl2br w:val="nil"/>
                    <w:tr2bl w:val="nil"/>
                  </w:tcBorders>
                  <w:noWrap w:val="0"/>
                  <w:vAlign w:val="center"/>
                </w:tcPr>
                <w:p w14:paraId="0EC5E2D7">
                  <w:pPr>
                    <w:pStyle w:val="174"/>
                    <w:jc w:val="center"/>
                    <w:rPr>
                      <w:rFonts w:hint="default" w:ascii="Times New Roman" w:hAnsi="Times New Roman" w:cs="Times New Roman"/>
                      <w:color w:val="000000"/>
                      <w:sz w:val="21"/>
                      <w:szCs w:val="24"/>
                      <w:highlight w:val="none"/>
                      <w:u w:val="single"/>
                    </w:rPr>
                  </w:pPr>
                  <w:r>
                    <w:rPr>
                      <w:rFonts w:hint="default" w:ascii="Times New Roman" w:hAnsi="Times New Roman" w:cs="Times New Roman"/>
                      <w:color w:val="000000"/>
                      <w:sz w:val="21"/>
                      <w:szCs w:val="24"/>
                      <w:highlight w:val="none"/>
                      <w:u w:val="single"/>
                    </w:rPr>
                    <w:t>符合</w:t>
                  </w:r>
                </w:p>
              </w:tc>
            </w:tr>
            <w:tr w14:paraId="5996FFA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26" w:type="dxa"/>
                  <w:tcBorders>
                    <w:tl2br w:val="nil"/>
                    <w:tr2bl w:val="nil"/>
                  </w:tcBorders>
                  <w:noWrap w:val="0"/>
                  <w:vAlign w:val="center"/>
                </w:tcPr>
                <w:p w14:paraId="3128FC78">
                  <w:pPr>
                    <w:pStyle w:val="174"/>
                    <w:rPr>
                      <w:rFonts w:hint="default" w:ascii="Times New Roman" w:hAnsi="Times New Roman" w:cs="Times New Roman"/>
                      <w:color w:val="000000"/>
                      <w:sz w:val="21"/>
                      <w:szCs w:val="24"/>
                      <w:highlight w:val="none"/>
                      <w:u w:val="single"/>
                    </w:rPr>
                  </w:pPr>
                  <w:r>
                    <w:rPr>
                      <w:rFonts w:hint="default" w:ascii="Times New Roman" w:hAnsi="Times New Roman" w:cs="Times New Roman"/>
                      <w:color w:val="000000"/>
                      <w:sz w:val="21"/>
                      <w:szCs w:val="24"/>
                      <w:highlight w:val="none"/>
                      <w:u w:val="single"/>
                    </w:rPr>
                    <w:t>资源开发效率要求</w:t>
                  </w:r>
                </w:p>
              </w:tc>
              <w:tc>
                <w:tcPr>
                  <w:tcW w:w="3627" w:type="dxa"/>
                  <w:tcBorders>
                    <w:tl2br w:val="nil"/>
                    <w:tr2bl w:val="nil"/>
                  </w:tcBorders>
                  <w:noWrap w:val="0"/>
                  <w:vAlign w:val="center"/>
                </w:tcPr>
                <w:p w14:paraId="64D06992">
                  <w:pPr>
                    <w:pStyle w:val="174"/>
                    <w:jc w:val="both"/>
                    <w:rPr>
                      <w:rFonts w:hint="default" w:ascii="Times New Roman" w:hAnsi="Times New Roman" w:cs="Times New Roman"/>
                      <w:color w:val="000000"/>
                      <w:sz w:val="21"/>
                      <w:szCs w:val="24"/>
                      <w:highlight w:val="none"/>
                      <w:u w:val="single"/>
                    </w:rPr>
                  </w:pPr>
                  <w:r>
                    <w:rPr>
                      <w:rFonts w:hint="default" w:ascii="Times New Roman" w:hAnsi="Times New Roman" w:cs="Times New Roman"/>
                      <w:color w:val="000000"/>
                      <w:sz w:val="21"/>
                      <w:szCs w:val="24"/>
                      <w:highlight w:val="none"/>
                      <w:u w:val="single"/>
                    </w:rPr>
                    <w:t>（4.1）高污染燃料禁燃区严格执行新田县人民政府办公室关于印发《新田县高污染燃料禁燃区划定方案》的通知（新政办函〔2019〕15号）。</w:t>
                  </w:r>
                </w:p>
                <w:p w14:paraId="35CB1687">
                  <w:pPr>
                    <w:pStyle w:val="174"/>
                    <w:jc w:val="both"/>
                    <w:rPr>
                      <w:rFonts w:hint="default" w:ascii="Times New Roman" w:hAnsi="Times New Roman" w:cs="Times New Roman"/>
                      <w:color w:val="000000"/>
                      <w:sz w:val="21"/>
                      <w:szCs w:val="24"/>
                      <w:highlight w:val="none"/>
                      <w:u w:val="single"/>
                    </w:rPr>
                  </w:pPr>
                  <w:r>
                    <w:rPr>
                      <w:rFonts w:hint="default" w:ascii="Times New Roman" w:hAnsi="Times New Roman" w:cs="Times New Roman"/>
                      <w:color w:val="000000"/>
                      <w:sz w:val="21"/>
                      <w:szCs w:val="24"/>
                      <w:highlight w:val="none"/>
                      <w:u w:val="single"/>
                    </w:rPr>
                    <w:t>（4.2）到2025年，新田县用水总量目标为15187万m3，农业用水总量控制在12112万m3，万元地区生产总值用水量、万元工业增加值用水量分别比2020年降低10.08%、8.87%，农田灌溉水有效利用系数为0.555。</w:t>
                  </w:r>
                </w:p>
              </w:tc>
              <w:tc>
                <w:tcPr>
                  <w:tcW w:w="2537" w:type="dxa"/>
                  <w:tcBorders>
                    <w:tl2br w:val="nil"/>
                    <w:tr2bl w:val="nil"/>
                  </w:tcBorders>
                  <w:noWrap w:val="0"/>
                  <w:vAlign w:val="center"/>
                </w:tcPr>
                <w:p w14:paraId="77AEF060">
                  <w:pPr>
                    <w:pStyle w:val="174"/>
                    <w:jc w:val="both"/>
                    <w:rPr>
                      <w:rFonts w:hint="eastAsia" w:ascii="Times New Roman" w:hAnsi="Times New Roman" w:cs="Times New Roman"/>
                      <w:color w:val="000000"/>
                      <w:sz w:val="21"/>
                      <w:szCs w:val="24"/>
                      <w:highlight w:val="none"/>
                      <w:u w:val="single"/>
                      <w:lang w:val="en-US" w:eastAsia="zh-CN"/>
                    </w:rPr>
                  </w:pPr>
                  <w:r>
                    <w:rPr>
                      <w:rFonts w:hint="eastAsia" w:ascii="Times New Roman" w:hAnsi="Times New Roman" w:cs="Times New Roman"/>
                      <w:color w:val="000000"/>
                      <w:sz w:val="21"/>
                      <w:szCs w:val="24"/>
                      <w:highlight w:val="none"/>
                      <w:u w:val="single"/>
                      <w:lang w:val="en-US" w:eastAsia="zh-CN"/>
                    </w:rPr>
                    <w:t>（4.1）本项目不位于</w:t>
                  </w:r>
                  <w:r>
                    <w:rPr>
                      <w:rFonts w:hint="default" w:ascii="Times New Roman" w:hAnsi="Times New Roman" w:cs="Times New Roman"/>
                      <w:color w:val="000000"/>
                      <w:sz w:val="21"/>
                      <w:szCs w:val="24"/>
                      <w:highlight w:val="none"/>
                      <w:u w:val="single"/>
                    </w:rPr>
                    <w:t>《新田县高污染燃料禁燃区划定方案》</w:t>
                  </w:r>
                  <w:r>
                    <w:rPr>
                      <w:rFonts w:hint="eastAsia" w:ascii="Times New Roman" w:hAnsi="Times New Roman" w:cs="Times New Roman"/>
                      <w:color w:val="000000"/>
                      <w:sz w:val="21"/>
                      <w:szCs w:val="24"/>
                      <w:highlight w:val="none"/>
                      <w:u w:val="single"/>
                      <w:lang w:eastAsia="zh-CN"/>
                    </w:rPr>
                    <w:t>中规定的禁燃区，所用成型生物质燃料燃烧产生废气采用布袋除尘设施处理后达标</w:t>
                  </w:r>
                  <w:r>
                    <w:rPr>
                      <w:rFonts w:hint="eastAsia" w:ascii="Times New Roman" w:hAnsi="Times New Roman" w:cs="Times New Roman"/>
                      <w:color w:val="000000"/>
                      <w:sz w:val="21"/>
                      <w:szCs w:val="24"/>
                      <w:highlight w:val="none"/>
                      <w:u w:val="single"/>
                      <w:lang w:val="en-US" w:eastAsia="zh-CN"/>
                    </w:rPr>
                    <w:t>排放；</w:t>
                  </w:r>
                </w:p>
                <w:p w14:paraId="10910B54">
                  <w:pPr>
                    <w:pStyle w:val="174"/>
                    <w:jc w:val="both"/>
                    <w:rPr>
                      <w:rFonts w:hint="default" w:ascii="Times New Roman" w:hAnsi="Times New Roman" w:cs="Times New Roman"/>
                      <w:color w:val="000000"/>
                      <w:sz w:val="21"/>
                      <w:szCs w:val="24"/>
                      <w:highlight w:val="none"/>
                      <w:u w:val="single"/>
                      <w:lang w:val="en-US" w:eastAsia="zh-CN"/>
                    </w:rPr>
                  </w:pPr>
                  <w:r>
                    <w:rPr>
                      <w:rFonts w:hint="eastAsia" w:ascii="Times New Roman" w:hAnsi="Times New Roman" w:cs="Times New Roman"/>
                      <w:color w:val="000000"/>
                      <w:sz w:val="21"/>
                      <w:szCs w:val="24"/>
                      <w:highlight w:val="none"/>
                      <w:u w:val="single"/>
                      <w:lang w:val="en-US" w:eastAsia="zh-CN"/>
                    </w:rPr>
                    <w:t>（4.2）本项目运营期间，用水量较少，且生产废水基本可以回用；</w:t>
                  </w:r>
                </w:p>
              </w:tc>
              <w:tc>
                <w:tcPr>
                  <w:tcW w:w="708" w:type="dxa"/>
                  <w:tcBorders>
                    <w:tl2br w:val="nil"/>
                    <w:tr2bl w:val="nil"/>
                  </w:tcBorders>
                  <w:noWrap w:val="0"/>
                  <w:vAlign w:val="center"/>
                </w:tcPr>
                <w:p w14:paraId="35534140">
                  <w:pPr>
                    <w:pStyle w:val="174"/>
                    <w:jc w:val="center"/>
                    <w:rPr>
                      <w:rFonts w:hint="default" w:ascii="Times New Roman" w:hAnsi="Times New Roman" w:cs="Times New Roman"/>
                      <w:color w:val="000000"/>
                      <w:sz w:val="21"/>
                      <w:szCs w:val="24"/>
                      <w:highlight w:val="none"/>
                      <w:u w:val="single"/>
                    </w:rPr>
                  </w:pPr>
                  <w:r>
                    <w:rPr>
                      <w:rFonts w:hint="default" w:ascii="Times New Roman" w:hAnsi="Times New Roman" w:cs="Times New Roman"/>
                      <w:color w:val="000000"/>
                      <w:sz w:val="21"/>
                      <w:szCs w:val="24"/>
                      <w:highlight w:val="none"/>
                      <w:u w:val="single"/>
                    </w:rPr>
                    <w:t>符合</w:t>
                  </w:r>
                </w:p>
              </w:tc>
            </w:tr>
          </w:tbl>
          <w:p w14:paraId="3412E480">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4"/>
                <w:u w:val="single" w:color="auto"/>
              </w:rPr>
            </w:pPr>
            <w:r>
              <w:rPr>
                <w:rFonts w:hint="default" w:ascii="Times New Roman" w:hAnsi="Times New Roman" w:cs="Times New Roman"/>
                <w:b/>
                <w:bCs/>
                <w:sz w:val="24"/>
                <w:u w:val="none"/>
              </w:rPr>
              <w:t>2</w:t>
            </w:r>
            <w:r>
              <w:rPr>
                <w:rFonts w:hint="default" w:ascii="Times New Roman" w:hAnsi="Times New Roman" w:cs="Times New Roman"/>
                <w:b/>
                <w:bCs/>
                <w:sz w:val="24"/>
                <w:u w:val="single" w:color="auto"/>
              </w:rPr>
              <w:t>、产业政策符合性</w:t>
            </w:r>
          </w:p>
          <w:p w14:paraId="01DB4E49">
            <w:pPr>
              <w:pStyle w:val="38"/>
              <w:spacing w:after="0" w:line="360" w:lineRule="auto"/>
              <w:ind w:left="0" w:leftChars="0" w:firstLine="480"/>
              <w:jc w:val="both"/>
              <w:rPr>
                <w:rFonts w:hint="default" w:ascii="Times New Roman" w:hAnsi="Times New Roman" w:cs="Times New Roman"/>
                <w:sz w:val="24"/>
                <w:u w:val="single" w:color="auto"/>
              </w:rPr>
            </w:pPr>
            <w:r>
              <w:rPr>
                <w:rFonts w:hint="default" w:ascii="Times New Roman" w:hAnsi="Times New Roman" w:cs="Times New Roman"/>
                <w:sz w:val="24"/>
                <w:u w:val="single" w:color="auto"/>
              </w:rPr>
              <w:t>本项目主要产品为水泥电杆，对照《产业结构调整指导目录（20</w:t>
            </w:r>
            <w:r>
              <w:rPr>
                <w:rFonts w:hint="default" w:ascii="Times New Roman" w:hAnsi="Times New Roman" w:cs="Times New Roman"/>
                <w:sz w:val="24"/>
                <w:u w:val="single" w:color="auto"/>
                <w:lang w:val="en-US" w:eastAsia="zh-CN"/>
              </w:rPr>
              <w:t>24</w:t>
            </w:r>
            <w:r>
              <w:rPr>
                <w:rFonts w:hint="default" w:ascii="Times New Roman" w:hAnsi="Times New Roman" w:cs="Times New Roman"/>
                <w:sz w:val="24"/>
                <w:u w:val="single" w:color="auto"/>
              </w:rPr>
              <w:t>年本》，本项目不属于国家限制及淘汰类中提及的内容</w:t>
            </w:r>
            <w:r>
              <w:rPr>
                <w:rFonts w:hint="eastAsia" w:ascii="Times New Roman" w:hAnsi="Times New Roman" w:cs="Times New Roman"/>
                <w:sz w:val="24"/>
                <w:u w:val="single" w:color="auto"/>
                <w:lang w:eastAsia="zh-CN"/>
              </w:rPr>
              <w:t>，属于允许类</w:t>
            </w:r>
            <w:r>
              <w:rPr>
                <w:rFonts w:hint="default" w:ascii="Times New Roman" w:hAnsi="Times New Roman" w:cs="Times New Roman"/>
                <w:sz w:val="24"/>
                <w:u w:val="single" w:color="auto"/>
              </w:rPr>
              <w:t>。因此项目建设符合国家现行产业政策。</w:t>
            </w:r>
          </w:p>
          <w:p w14:paraId="0D6AAB24">
            <w:pPr>
              <w:pStyle w:val="38"/>
              <w:spacing w:after="0" w:line="360" w:lineRule="auto"/>
              <w:ind w:left="0" w:leftChars="0" w:firstLine="480"/>
              <w:jc w:val="both"/>
              <w:rPr>
                <w:rFonts w:hint="default" w:ascii="Times New Roman" w:hAnsi="Times New Roman" w:cs="Times New Roman"/>
                <w:sz w:val="24"/>
                <w:u w:val="single" w:color="auto"/>
              </w:rPr>
            </w:pPr>
            <w:r>
              <w:rPr>
                <w:rFonts w:hint="default" w:ascii="Times New Roman" w:hAnsi="Times New Roman" w:cs="Times New Roman"/>
                <w:sz w:val="24"/>
                <w:u w:val="single" w:color="auto"/>
              </w:rPr>
              <w:t>项目使用的生产设备对照《部分工业行业淘汰落后生产工艺装备和产品指导目录（2010年本及2012年修订版）》可知，不属于国家限制及淘汰类中提及的内容。</w:t>
            </w:r>
          </w:p>
          <w:p w14:paraId="20744348">
            <w:pPr>
              <w:adjustRightInd w:val="0"/>
              <w:snapToGrid w:val="0"/>
              <w:spacing w:line="360" w:lineRule="auto"/>
              <w:rPr>
                <w:rFonts w:hint="default" w:ascii="Times New Roman" w:hAnsi="Times New Roman" w:cs="Times New Roman"/>
                <w:b/>
                <w:bCs/>
                <w:sz w:val="24"/>
                <w:u w:val="single" w:color="auto"/>
              </w:rPr>
            </w:pPr>
            <w:r>
              <w:rPr>
                <w:rFonts w:hint="default" w:ascii="Times New Roman" w:hAnsi="Times New Roman" w:cs="Times New Roman"/>
                <w:b/>
                <w:bCs/>
                <w:sz w:val="24"/>
                <w:u w:val="single" w:color="auto"/>
              </w:rPr>
              <w:t>3、</w:t>
            </w:r>
            <w:r>
              <w:rPr>
                <w:rFonts w:hint="default" w:ascii="Times New Roman" w:hAnsi="Times New Roman" w:cs="Times New Roman"/>
                <w:b/>
                <w:bCs/>
                <w:sz w:val="24"/>
                <w:u w:val="single" w:color="auto"/>
                <w:lang w:eastAsia="zh-CN"/>
              </w:rPr>
              <w:t>选址</w:t>
            </w:r>
            <w:r>
              <w:rPr>
                <w:rFonts w:hint="default" w:ascii="Times New Roman" w:hAnsi="Times New Roman" w:cs="Times New Roman"/>
                <w:b/>
                <w:bCs/>
                <w:sz w:val="24"/>
                <w:u w:val="single" w:color="auto"/>
              </w:rPr>
              <w:t>符合性分析</w:t>
            </w:r>
          </w:p>
          <w:p w14:paraId="483FB5CF">
            <w:pPr>
              <w:adjustRightInd w:val="0"/>
              <w:snapToGrid w:val="0"/>
              <w:spacing w:line="360" w:lineRule="auto"/>
              <w:ind w:firstLine="480" w:firstLineChars="200"/>
              <w:rPr>
                <w:rFonts w:hint="default" w:ascii="Times New Roman" w:hAnsi="Times New Roman" w:cs="Times New Roman"/>
                <w:sz w:val="24"/>
                <w:u w:val="single" w:color="auto"/>
              </w:rPr>
            </w:pPr>
            <w:r>
              <w:rPr>
                <w:rFonts w:hint="default" w:ascii="Times New Roman" w:hAnsi="Times New Roman" w:cs="Times New Roman"/>
                <w:sz w:val="24"/>
                <w:u w:val="single" w:color="auto"/>
              </w:rPr>
              <w:t>项目场地位于</w:t>
            </w:r>
            <w:r>
              <w:rPr>
                <w:rFonts w:hint="default" w:ascii="Times New Roman" w:hAnsi="Times New Roman" w:cs="Times New Roman"/>
                <w:color w:val="auto"/>
                <w:kern w:val="0"/>
                <w:sz w:val="24"/>
                <w:szCs w:val="24"/>
                <w:u w:val="single" w:color="auto"/>
              </w:rPr>
              <w:t>新田县中山街道云梯岭村</w:t>
            </w:r>
            <w:r>
              <w:rPr>
                <w:rFonts w:hint="default" w:ascii="Times New Roman" w:hAnsi="Times New Roman" w:cs="Times New Roman"/>
                <w:sz w:val="24"/>
                <w:u w:val="single" w:color="auto"/>
              </w:rPr>
              <w:t>，南侧</w:t>
            </w:r>
            <w:r>
              <w:rPr>
                <w:rFonts w:hint="default" w:ascii="Times New Roman" w:hAnsi="Times New Roman" w:cs="Times New Roman"/>
                <w:sz w:val="24"/>
                <w:u w:val="single" w:color="auto"/>
                <w:lang w:eastAsia="zh-CN"/>
              </w:rPr>
              <w:t>临近新嘉公路</w:t>
            </w:r>
            <w:r>
              <w:rPr>
                <w:rFonts w:hint="default" w:ascii="Times New Roman" w:hAnsi="Times New Roman" w:cs="Times New Roman"/>
                <w:sz w:val="24"/>
                <w:u w:val="single" w:color="auto"/>
              </w:rPr>
              <w:t>，项目交通运输条件较为便利。本项目不属于县域规划范围，不占用基本农田，项目场址远离人口集中区，不在该地区饮用水源保护区等敏感点之内。项目地块及周围无文物保护单位，不在自然保护区范围内，不涉及水源保护区、风景名胜区，亦无需要特殊保护的环境目标，不属于环境敏感区。所以项目选址合理。</w:t>
            </w:r>
          </w:p>
          <w:p w14:paraId="506778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lang w:eastAsia="zh-CN"/>
              </w:rPr>
            </w:pPr>
          </w:p>
          <w:p w14:paraId="223E4A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lang w:eastAsia="zh-CN"/>
              </w:rPr>
            </w:pPr>
          </w:p>
          <w:p w14:paraId="2C3BA8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lang w:eastAsia="zh-CN"/>
              </w:rPr>
            </w:pPr>
          </w:p>
          <w:p w14:paraId="4E3536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lang w:eastAsia="zh-CN"/>
              </w:rPr>
            </w:pPr>
          </w:p>
          <w:p w14:paraId="0879F3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lang w:eastAsia="zh-CN"/>
              </w:rPr>
            </w:pPr>
          </w:p>
          <w:p w14:paraId="01C41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lang w:eastAsia="zh-CN"/>
              </w:rPr>
            </w:pPr>
          </w:p>
          <w:p w14:paraId="2E59F4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lang w:eastAsia="zh-CN"/>
              </w:rPr>
            </w:pPr>
          </w:p>
          <w:p w14:paraId="285D74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lang w:eastAsia="zh-CN"/>
              </w:rPr>
            </w:pPr>
          </w:p>
          <w:p w14:paraId="28B45A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lang w:eastAsia="zh-CN"/>
              </w:rPr>
            </w:pPr>
          </w:p>
          <w:p w14:paraId="31A650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lang w:eastAsia="zh-CN"/>
              </w:rPr>
            </w:pPr>
          </w:p>
          <w:p w14:paraId="2CB593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lang w:eastAsia="zh-CN"/>
              </w:rPr>
            </w:pPr>
          </w:p>
          <w:p w14:paraId="508E20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lang w:eastAsia="zh-CN"/>
              </w:rPr>
            </w:pPr>
          </w:p>
          <w:p w14:paraId="37FE88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lang w:eastAsia="zh-CN"/>
              </w:rPr>
            </w:pPr>
          </w:p>
          <w:p w14:paraId="0A2DB9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lang w:eastAsia="zh-CN"/>
              </w:rPr>
            </w:pPr>
          </w:p>
          <w:p w14:paraId="2679CA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lang w:eastAsia="zh-CN"/>
              </w:rPr>
            </w:pPr>
          </w:p>
          <w:p w14:paraId="1775DE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eastAsia="zh-CN"/>
              </w:rPr>
            </w:pPr>
          </w:p>
        </w:tc>
      </w:tr>
    </w:tbl>
    <w:p w14:paraId="535CCA9D">
      <w:pPr>
        <w:spacing w:line="360" w:lineRule="auto"/>
        <w:ind w:firstLine="600"/>
        <w:rPr>
          <w:rFonts w:hint="default" w:ascii="Times New Roman" w:hAnsi="Times New Roman" w:cs="Times New Roman"/>
          <w:sz w:val="30"/>
        </w:rPr>
        <w:sectPr>
          <w:pgSz w:w="11906" w:h="16838"/>
          <w:pgMar w:top="1440" w:right="1080" w:bottom="1440" w:left="1080" w:header="851" w:footer="1077" w:gutter="0"/>
          <w:pgBorders>
            <w:top w:val="none" w:sz="0" w:space="0"/>
            <w:left w:val="none" w:sz="0" w:space="0"/>
            <w:bottom w:val="none" w:sz="0" w:space="0"/>
            <w:right w:val="none" w:sz="0" w:space="0"/>
          </w:pgBorders>
          <w:pgNumType w:start="1"/>
          <w:cols w:space="720" w:num="1"/>
          <w:docGrid w:linePitch="312" w:charSpace="0"/>
        </w:sectPr>
      </w:pPr>
    </w:p>
    <w:p w14:paraId="602F3D92">
      <w:pPr>
        <w:pStyle w:val="3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0"/>
        <w:jc w:val="center"/>
        <w:textAlignment w:val="auto"/>
        <w:outlineLvl w:val="0"/>
        <w:rPr>
          <w:rFonts w:hint="default" w:ascii="Times New Roman" w:hAnsi="Times New Roman" w:eastAsia="宋体" w:cs="Times New Roman"/>
          <w:b/>
          <w:bCs/>
          <w:snapToGrid w:val="0"/>
          <w:sz w:val="30"/>
          <w:szCs w:val="30"/>
        </w:rPr>
      </w:pPr>
      <w:bookmarkStart w:id="1" w:name="_Toc22390"/>
      <w:r>
        <w:rPr>
          <w:rFonts w:hint="default" w:ascii="Times New Roman" w:hAnsi="Times New Roman" w:eastAsia="宋体" w:cs="Times New Roman"/>
          <w:b/>
          <w:bCs/>
          <w:snapToGrid w:val="0"/>
          <w:sz w:val="30"/>
          <w:szCs w:val="30"/>
        </w:rPr>
        <w:t>二、建设项目工程分析</w:t>
      </w:r>
      <w:bookmarkEnd w:id="1"/>
    </w:p>
    <w:tbl>
      <w:tblPr>
        <w:tblStyle w:val="39"/>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9092"/>
      </w:tblGrid>
      <w:tr w14:paraId="628D5F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58" w:hRule="atLeast"/>
          <w:jc w:val="center"/>
        </w:trPr>
        <w:tc>
          <w:tcPr>
            <w:tcW w:w="433" w:type="pct"/>
            <w:vAlign w:val="center"/>
          </w:tcPr>
          <w:p w14:paraId="5AEA5BE1">
            <w:pPr>
              <w:pStyle w:val="35"/>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建设内容</w:t>
            </w:r>
          </w:p>
        </w:tc>
        <w:tc>
          <w:tcPr>
            <w:tcW w:w="4566" w:type="pct"/>
          </w:tcPr>
          <w:p w14:paraId="3384302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u w:val="none"/>
                <w:lang w:val="en-US" w:eastAsia="zh-CN"/>
              </w:rPr>
            </w:pPr>
            <w:r>
              <w:rPr>
                <w:rFonts w:hint="default" w:ascii="Times New Roman" w:hAnsi="Times New Roman" w:eastAsia="宋体" w:cs="Times New Roman"/>
                <w:b/>
                <w:color w:val="auto"/>
                <w:sz w:val="24"/>
                <w:szCs w:val="24"/>
                <w:u w:val="none"/>
                <w:lang w:val="en-US" w:eastAsia="zh-CN"/>
              </w:rPr>
              <w:t>2.1建设内容及规模</w:t>
            </w:r>
          </w:p>
          <w:p w14:paraId="6B36A34D">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电线杆是早期中国重要的基础设施之一。后由于钢筋和混凝土的发展，结合技术上的探究，运用离心力的原理制造，钢筋混凝土锥形水泥杆、等径水泥电线杆代替了大部分木杆，水泥电杆坚固耐用、耐腐蚀、耐温差、高强度、抗裂。</w:t>
            </w:r>
          </w:p>
          <w:p w14:paraId="4DA4016E">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新田县新电东晖混凝土制品有限责任公司成立于20</w:t>
            </w:r>
            <w:r>
              <w:rPr>
                <w:rFonts w:hint="default" w:ascii="Times New Roman" w:hAnsi="Times New Roman" w:cs="Times New Roman"/>
                <w:color w:val="auto"/>
                <w:u w:val="single"/>
                <w:lang w:val="en-US" w:eastAsia="zh-CN"/>
              </w:rPr>
              <w:t>07</w:t>
            </w:r>
            <w:r>
              <w:rPr>
                <w:rFonts w:hint="default" w:ascii="Times New Roman" w:hAnsi="Times New Roman" w:eastAsia="宋体" w:cs="Times New Roman"/>
                <w:color w:val="auto"/>
                <w:u w:val="single"/>
                <w:lang w:val="en-US" w:eastAsia="zh-CN"/>
              </w:rPr>
              <w:t>年，主要经营水泥电杆、排水管、管桩等水泥制品生产、销售，</w:t>
            </w:r>
            <w:r>
              <w:rPr>
                <w:rFonts w:hint="default" w:ascii="Times New Roman" w:hAnsi="Times New Roman" w:cs="Times New Roman"/>
                <w:color w:val="auto"/>
                <w:u w:val="single"/>
                <w:lang w:val="en-US" w:eastAsia="zh-CN"/>
              </w:rPr>
              <w:t>目前</w:t>
            </w:r>
            <w:r>
              <w:rPr>
                <w:rFonts w:hint="default" w:ascii="Times New Roman" w:hAnsi="Times New Roman" w:eastAsia="宋体" w:cs="Times New Roman"/>
                <w:color w:val="auto"/>
                <w:u w:val="single"/>
                <w:lang w:val="en-US" w:eastAsia="zh-CN"/>
              </w:rPr>
              <w:t>租赁新田县中山街道云梯岭村场地生产水泥电杆，项目运行至今，与周边居民无环境污染纠纷及投诉。建设单位</w:t>
            </w:r>
            <w:r>
              <w:rPr>
                <w:rFonts w:hint="default" w:ascii="Times New Roman" w:hAnsi="Times New Roman" w:cs="Times New Roman"/>
                <w:color w:val="auto"/>
                <w:u w:val="single"/>
                <w:lang w:val="en-US" w:eastAsia="zh-CN"/>
              </w:rPr>
              <w:t>已</w:t>
            </w:r>
            <w:r>
              <w:rPr>
                <w:rFonts w:hint="default" w:ascii="Times New Roman" w:hAnsi="Times New Roman" w:eastAsia="宋体" w:cs="Times New Roman"/>
                <w:color w:val="auto"/>
                <w:u w:val="single"/>
                <w:lang w:val="en-US" w:eastAsia="zh-CN"/>
              </w:rPr>
              <w:t>于2014年12月办理了《年产1万根水泥电杆生产线建设项目环境影响登记表》。为支持</w:t>
            </w:r>
            <w:r>
              <w:rPr>
                <w:rFonts w:hint="eastAsia" w:ascii="Times New Roman" w:hAnsi="Times New Roman" w:cs="Times New Roman"/>
                <w:color w:val="auto"/>
                <w:u w:val="single"/>
                <w:lang w:val="en-US" w:eastAsia="zh-CN"/>
              </w:rPr>
              <w:t>新田县发展</w:t>
            </w:r>
            <w:r>
              <w:rPr>
                <w:rFonts w:hint="default" w:ascii="Times New Roman" w:hAnsi="Times New Roman" w:eastAsia="宋体" w:cs="Times New Roman"/>
                <w:color w:val="auto"/>
                <w:u w:val="single"/>
                <w:lang w:val="en-US" w:eastAsia="zh-CN"/>
              </w:rPr>
              <w:t>、助力</w:t>
            </w:r>
            <w:r>
              <w:rPr>
                <w:rFonts w:hint="eastAsia" w:ascii="Times New Roman" w:hAnsi="Times New Roman" w:cs="Times New Roman"/>
                <w:color w:val="auto"/>
                <w:u w:val="single"/>
                <w:lang w:val="en-US" w:eastAsia="zh-CN"/>
              </w:rPr>
              <w:t>新田</w:t>
            </w:r>
            <w:r>
              <w:rPr>
                <w:rFonts w:hint="default" w:ascii="Times New Roman" w:hAnsi="Times New Roman" w:eastAsia="宋体" w:cs="Times New Roman"/>
                <w:color w:val="auto"/>
                <w:u w:val="single"/>
                <w:lang w:val="en-US" w:eastAsia="zh-CN"/>
              </w:rPr>
              <w:t>县基础设施建设，创造良好的社会效益和经济效益，新田县新电东晖混凝土制品有限责任公司拟</w:t>
            </w:r>
            <w:r>
              <w:rPr>
                <w:rFonts w:hint="default" w:ascii="Times New Roman" w:hAnsi="Times New Roman" w:cs="Times New Roman"/>
                <w:color w:val="auto"/>
                <w:u w:val="single"/>
                <w:lang w:val="en-US" w:eastAsia="zh-CN"/>
              </w:rPr>
              <w:t>再</w:t>
            </w:r>
            <w:r>
              <w:rPr>
                <w:rFonts w:hint="default" w:ascii="Times New Roman" w:hAnsi="Times New Roman" w:eastAsia="宋体" w:cs="Times New Roman"/>
                <w:color w:val="auto"/>
                <w:u w:val="single"/>
                <w:lang w:val="en-US" w:eastAsia="zh-CN"/>
              </w:rPr>
              <w:t>投资</w:t>
            </w:r>
            <w:r>
              <w:rPr>
                <w:rFonts w:hint="default" w:ascii="Times New Roman" w:hAnsi="Times New Roman" w:cs="Times New Roman"/>
                <w:color w:val="auto"/>
                <w:u w:val="single"/>
                <w:lang w:val="en-US" w:eastAsia="zh-CN"/>
              </w:rPr>
              <w:t>4</w:t>
            </w:r>
            <w:r>
              <w:rPr>
                <w:rFonts w:hint="default" w:ascii="Times New Roman" w:hAnsi="Times New Roman" w:eastAsia="宋体" w:cs="Times New Roman"/>
                <w:color w:val="auto"/>
                <w:u w:val="single"/>
                <w:lang w:val="en-US" w:eastAsia="zh-CN"/>
              </w:rPr>
              <w:t>00万元，在</w:t>
            </w:r>
            <w:r>
              <w:rPr>
                <w:rFonts w:hint="default" w:ascii="Times New Roman" w:hAnsi="Times New Roman" w:cs="Times New Roman"/>
                <w:color w:val="auto"/>
                <w:u w:val="single"/>
                <w:lang w:val="en-US" w:eastAsia="zh-CN"/>
              </w:rPr>
              <w:t>现有1万根水泥电杆基础上扩建为</w:t>
            </w:r>
            <w:r>
              <w:rPr>
                <w:rFonts w:hint="default" w:ascii="Times New Roman" w:hAnsi="Times New Roman" w:eastAsia="宋体" w:cs="Times New Roman"/>
                <w:color w:val="auto"/>
                <w:u w:val="single"/>
                <w:lang w:val="en-US" w:eastAsia="zh-CN"/>
              </w:rPr>
              <w:t>年产2万根水泥电杆，项目建成后，将实现年产水泥电杆2万根。</w:t>
            </w:r>
          </w:p>
          <w:p w14:paraId="4F672425">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eastAsia="宋体" w:cs="Times New Roman"/>
                <w:color w:val="auto"/>
                <w:u w:val="single"/>
                <w:lang w:val="en-US" w:eastAsia="zh-CN"/>
              </w:rPr>
            </w:pPr>
            <w:r>
              <w:rPr>
                <w:rFonts w:hint="default" w:ascii="Times New Roman" w:hAnsi="Times New Roman" w:eastAsia="宋体" w:cs="Times New Roman"/>
                <w:color w:val="auto"/>
                <w:u w:val="single"/>
                <w:lang w:val="en-US" w:eastAsia="zh-CN"/>
              </w:rPr>
              <w:t>经对照《中华人民共和国环境保护法》、《中华人民共和国环境影响评价法》、《建设项目环境保护管理条例》（国务院令第682号）以及《建设项目环境影响评价分类管理名录》（2021年版），本项目属于《建设项目环境影响评价分类管理名录》中“二十七、非金属矿物制品业-55石膏、水泥制品及类似制品制造 302”类别，需编制环境影响评价报告表</w:t>
            </w:r>
            <w:r>
              <w:rPr>
                <w:rFonts w:hint="default" w:ascii="Times New Roman" w:hAnsi="Times New Roman" w:cs="Times New Roman"/>
                <w:color w:val="auto"/>
                <w:u w:val="single"/>
                <w:lang w:val="en-US" w:eastAsia="zh-CN"/>
              </w:rPr>
              <w:t>。</w:t>
            </w:r>
          </w:p>
          <w:p w14:paraId="7D80AC36">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2.2项目概况</w:t>
            </w:r>
          </w:p>
          <w:p w14:paraId="60C2B7C1">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由于项目原环评登记表未明确建设内容，因此</w:t>
            </w:r>
            <w:r>
              <w:rPr>
                <w:rFonts w:hint="default" w:ascii="Times New Roman" w:hAnsi="Times New Roman" w:cs="Times New Roman"/>
                <w:color w:val="auto"/>
                <w:u w:val="single"/>
                <w:lang w:val="en-US" w:eastAsia="zh-CN"/>
              </w:rPr>
              <w:t>本</w:t>
            </w:r>
            <w:r>
              <w:rPr>
                <w:rFonts w:hint="default" w:ascii="Times New Roman" w:hAnsi="Times New Roman" w:eastAsia="宋体" w:cs="Times New Roman"/>
                <w:color w:val="auto"/>
                <w:u w:val="single"/>
                <w:lang w:val="en-US" w:eastAsia="zh-CN"/>
              </w:rPr>
              <w:t>项目</w:t>
            </w:r>
            <w:r>
              <w:rPr>
                <w:rFonts w:hint="eastAsia" w:ascii="Times New Roman" w:hAnsi="Times New Roman" w:cs="Times New Roman"/>
                <w:color w:val="auto"/>
                <w:u w:val="single"/>
                <w:lang w:val="en-US" w:eastAsia="zh-CN"/>
              </w:rPr>
              <w:t>按照现有建设情况进行说明，</w:t>
            </w:r>
            <w:r>
              <w:rPr>
                <w:rFonts w:hint="default" w:ascii="Times New Roman" w:hAnsi="Times New Roman" w:eastAsia="宋体" w:cs="Times New Roman"/>
                <w:color w:val="auto"/>
                <w:u w:val="single"/>
                <w:lang w:val="en-US" w:eastAsia="zh-CN"/>
              </w:rPr>
              <w:t>主要工程内容见下表2.1-1所示。</w:t>
            </w:r>
          </w:p>
          <w:p w14:paraId="164A494D">
            <w:pPr>
              <w:pStyle w:val="161"/>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表2.1-1    主要建设内容、规模及功能定位一览表</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51"/>
              <w:gridCol w:w="1218"/>
              <w:gridCol w:w="3545"/>
              <w:gridCol w:w="2001"/>
              <w:gridCol w:w="1046"/>
            </w:tblGrid>
            <w:tr w14:paraId="4277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pct"/>
                  <w:vMerge w:val="restart"/>
                  <w:noWrap w:val="0"/>
                  <w:vAlign w:val="center"/>
                </w:tcPr>
                <w:p w14:paraId="70F2BA3A">
                  <w:pPr>
                    <w:pStyle w:val="162"/>
                    <w:snapToGrid w:val="0"/>
                    <w:ind w:firstLine="0" w:firstLineChars="0"/>
                    <w:jc w:val="center"/>
                    <w:rPr>
                      <w:rFonts w:hint="default" w:ascii="Times New Roman" w:hAnsi="Times New Roman" w:cs="Times New Roman"/>
                      <w:b/>
                      <w:color w:val="auto"/>
                      <w:szCs w:val="21"/>
                      <w:u w:val="single"/>
                    </w:rPr>
                  </w:pPr>
                  <w:r>
                    <w:rPr>
                      <w:rFonts w:hint="default" w:ascii="Times New Roman" w:hAnsi="Times New Roman" w:cs="Times New Roman"/>
                      <w:b/>
                      <w:color w:val="auto"/>
                      <w:szCs w:val="21"/>
                      <w:u w:val="single"/>
                    </w:rPr>
                    <w:t>工程组成</w:t>
                  </w:r>
                </w:p>
              </w:tc>
              <w:tc>
                <w:tcPr>
                  <w:tcW w:w="687" w:type="pct"/>
                  <w:vMerge w:val="restart"/>
                  <w:noWrap w:val="0"/>
                  <w:vAlign w:val="center"/>
                </w:tcPr>
                <w:p w14:paraId="62695B97">
                  <w:pPr>
                    <w:snapToGrid w:val="0"/>
                    <w:jc w:val="center"/>
                    <w:rPr>
                      <w:rFonts w:hint="default" w:ascii="Times New Roman" w:hAnsi="Times New Roman" w:cs="Times New Roman"/>
                      <w:b/>
                      <w:color w:val="auto"/>
                      <w:szCs w:val="21"/>
                      <w:u w:val="single"/>
                    </w:rPr>
                  </w:pPr>
                  <w:r>
                    <w:rPr>
                      <w:rFonts w:hint="default" w:ascii="Times New Roman" w:hAnsi="Times New Roman" w:cs="Times New Roman"/>
                      <w:b/>
                      <w:color w:val="auto"/>
                      <w:szCs w:val="21"/>
                      <w:u w:val="single"/>
                    </w:rPr>
                    <w:t>建设内容</w:t>
                  </w:r>
                </w:p>
              </w:tc>
              <w:tc>
                <w:tcPr>
                  <w:tcW w:w="3129" w:type="pct"/>
                  <w:gridSpan w:val="2"/>
                  <w:noWrap w:val="0"/>
                  <w:vAlign w:val="center"/>
                </w:tcPr>
                <w:p w14:paraId="0B9319CE">
                  <w:pPr>
                    <w:snapToGrid w:val="0"/>
                    <w:jc w:val="center"/>
                    <w:rPr>
                      <w:rFonts w:hint="eastAsia" w:ascii="Times New Roman" w:hAnsi="Times New Roman" w:eastAsia="宋体" w:cs="Times New Roman"/>
                      <w:b/>
                      <w:color w:val="auto"/>
                      <w:szCs w:val="21"/>
                      <w:u w:val="single"/>
                      <w:lang w:eastAsia="zh-CN"/>
                    </w:rPr>
                  </w:pPr>
                  <w:r>
                    <w:rPr>
                      <w:rFonts w:hint="eastAsia" w:ascii="Times New Roman" w:hAnsi="Times New Roman" w:cs="Times New Roman"/>
                      <w:b/>
                      <w:color w:val="auto"/>
                      <w:szCs w:val="21"/>
                      <w:u w:val="single"/>
                      <w:lang w:eastAsia="zh-CN"/>
                    </w:rPr>
                    <w:t>改扩建情况</w:t>
                  </w:r>
                </w:p>
              </w:tc>
              <w:tc>
                <w:tcPr>
                  <w:tcW w:w="590" w:type="pct"/>
                  <w:vMerge w:val="restart"/>
                  <w:noWrap w:val="0"/>
                  <w:vAlign w:val="center"/>
                </w:tcPr>
                <w:p w14:paraId="1F94A70C">
                  <w:pPr>
                    <w:pStyle w:val="162"/>
                    <w:snapToGrid w:val="0"/>
                    <w:ind w:firstLine="0" w:firstLineChars="0"/>
                    <w:jc w:val="center"/>
                    <w:rPr>
                      <w:rFonts w:hint="eastAsia" w:ascii="Times New Roman" w:hAnsi="Times New Roman" w:eastAsia="宋体" w:cs="Times New Roman"/>
                      <w:b/>
                      <w:color w:val="auto"/>
                      <w:szCs w:val="21"/>
                      <w:u w:val="single"/>
                      <w:lang w:eastAsia="zh-CN"/>
                    </w:rPr>
                  </w:pPr>
                  <w:r>
                    <w:rPr>
                      <w:rFonts w:hint="eastAsia" w:ascii="Times New Roman" w:hAnsi="Times New Roman" w:cs="Times New Roman"/>
                      <w:b/>
                      <w:color w:val="auto"/>
                      <w:szCs w:val="21"/>
                      <w:u w:val="single"/>
                      <w:lang w:eastAsia="zh-CN"/>
                    </w:rPr>
                    <w:t>变化情况</w:t>
                  </w:r>
                </w:p>
              </w:tc>
            </w:tr>
            <w:tr w14:paraId="49F2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pct"/>
                  <w:vMerge w:val="continue"/>
                  <w:noWrap w:val="0"/>
                  <w:vAlign w:val="center"/>
                </w:tcPr>
                <w:p w14:paraId="229CECC5">
                  <w:pPr>
                    <w:pStyle w:val="162"/>
                    <w:snapToGrid w:val="0"/>
                    <w:ind w:firstLine="0" w:firstLineChars="0"/>
                    <w:jc w:val="center"/>
                    <w:rPr>
                      <w:rFonts w:hint="default" w:ascii="Times New Roman" w:hAnsi="Times New Roman" w:cs="Times New Roman"/>
                      <w:b/>
                      <w:color w:val="auto"/>
                      <w:szCs w:val="21"/>
                      <w:u w:val="single"/>
                    </w:rPr>
                  </w:pPr>
                </w:p>
              </w:tc>
              <w:tc>
                <w:tcPr>
                  <w:tcW w:w="687" w:type="pct"/>
                  <w:vMerge w:val="continue"/>
                  <w:noWrap w:val="0"/>
                  <w:vAlign w:val="center"/>
                </w:tcPr>
                <w:p w14:paraId="5DDB7040">
                  <w:pPr>
                    <w:snapToGrid w:val="0"/>
                    <w:jc w:val="center"/>
                    <w:rPr>
                      <w:rFonts w:hint="default" w:ascii="Times New Roman" w:hAnsi="Times New Roman" w:cs="Times New Roman"/>
                      <w:b/>
                      <w:color w:val="auto"/>
                      <w:szCs w:val="21"/>
                      <w:u w:val="single"/>
                    </w:rPr>
                  </w:pPr>
                </w:p>
              </w:tc>
              <w:tc>
                <w:tcPr>
                  <w:tcW w:w="2000" w:type="pct"/>
                  <w:noWrap w:val="0"/>
                  <w:vAlign w:val="center"/>
                </w:tcPr>
                <w:p w14:paraId="13DCD3F7">
                  <w:pPr>
                    <w:snapToGrid w:val="0"/>
                    <w:jc w:val="center"/>
                    <w:rPr>
                      <w:rFonts w:hint="eastAsia" w:ascii="Times New Roman" w:hAnsi="Times New Roman" w:eastAsia="宋体" w:cs="Times New Roman"/>
                      <w:b/>
                      <w:color w:val="auto"/>
                      <w:szCs w:val="21"/>
                      <w:u w:val="single"/>
                      <w:lang w:eastAsia="zh-CN"/>
                    </w:rPr>
                  </w:pPr>
                  <w:r>
                    <w:rPr>
                      <w:rFonts w:hint="eastAsia" w:ascii="Times New Roman" w:hAnsi="Times New Roman" w:cs="Times New Roman"/>
                      <w:b/>
                      <w:color w:val="auto"/>
                      <w:szCs w:val="21"/>
                      <w:u w:val="single"/>
                      <w:lang w:eastAsia="zh-CN"/>
                    </w:rPr>
                    <w:t>改扩建前</w:t>
                  </w:r>
                </w:p>
              </w:tc>
              <w:tc>
                <w:tcPr>
                  <w:tcW w:w="1128" w:type="pct"/>
                  <w:noWrap w:val="0"/>
                  <w:vAlign w:val="center"/>
                </w:tcPr>
                <w:p w14:paraId="3BE11767">
                  <w:pPr>
                    <w:snapToGrid w:val="0"/>
                    <w:jc w:val="center"/>
                    <w:rPr>
                      <w:rFonts w:hint="eastAsia" w:ascii="Times New Roman" w:hAnsi="Times New Roman" w:eastAsia="宋体" w:cs="Times New Roman"/>
                      <w:b/>
                      <w:color w:val="auto"/>
                      <w:szCs w:val="21"/>
                      <w:u w:val="single"/>
                      <w:lang w:eastAsia="zh-CN"/>
                    </w:rPr>
                  </w:pPr>
                  <w:r>
                    <w:rPr>
                      <w:rFonts w:hint="eastAsia" w:ascii="Times New Roman" w:hAnsi="Times New Roman" w:cs="Times New Roman"/>
                      <w:b/>
                      <w:color w:val="auto"/>
                      <w:szCs w:val="21"/>
                      <w:u w:val="single"/>
                      <w:lang w:eastAsia="zh-CN"/>
                    </w:rPr>
                    <w:t>改扩建后</w:t>
                  </w:r>
                </w:p>
              </w:tc>
              <w:tc>
                <w:tcPr>
                  <w:tcW w:w="590" w:type="pct"/>
                  <w:vMerge w:val="continue"/>
                  <w:noWrap w:val="0"/>
                  <w:vAlign w:val="center"/>
                </w:tcPr>
                <w:p w14:paraId="207A573E">
                  <w:pPr>
                    <w:pStyle w:val="162"/>
                    <w:snapToGrid w:val="0"/>
                    <w:ind w:firstLine="0" w:firstLineChars="0"/>
                    <w:jc w:val="center"/>
                    <w:rPr>
                      <w:rFonts w:hint="default" w:ascii="Times New Roman" w:hAnsi="Times New Roman" w:cs="Times New Roman"/>
                      <w:b/>
                      <w:color w:val="auto"/>
                      <w:szCs w:val="21"/>
                      <w:u w:val="single"/>
                    </w:rPr>
                  </w:pPr>
                </w:p>
              </w:tc>
            </w:tr>
            <w:tr w14:paraId="2869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pct"/>
                  <w:noWrap w:val="0"/>
                  <w:vAlign w:val="center"/>
                </w:tcPr>
                <w:p w14:paraId="5D03E272">
                  <w:pPr>
                    <w:pStyle w:val="162"/>
                    <w:snapToGrid w:val="0"/>
                    <w:ind w:firstLine="0" w:firstLineChars="0"/>
                    <w:jc w:val="center"/>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主体工程</w:t>
                  </w:r>
                </w:p>
              </w:tc>
              <w:tc>
                <w:tcPr>
                  <w:tcW w:w="687" w:type="pct"/>
                  <w:noWrap w:val="0"/>
                  <w:vAlign w:val="center"/>
                </w:tcPr>
                <w:p w14:paraId="3BFBEE15">
                  <w:pPr>
                    <w:tabs>
                      <w:tab w:val="left" w:pos="1021"/>
                    </w:tabs>
                    <w:snapToGrid w:val="0"/>
                    <w:jc w:val="center"/>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生产车间</w:t>
                  </w:r>
                </w:p>
              </w:tc>
              <w:tc>
                <w:tcPr>
                  <w:tcW w:w="2000" w:type="pct"/>
                  <w:noWrap w:val="0"/>
                  <w:vAlign w:val="center"/>
                </w:tcPr>
                <w:p w14:paraId="14DB7DA0">
                  <w:pPr>
                    <w:pStyle w:val="32"/>
                    <w:spacing w:line="240" w:lineRule="auto"/>
                    <w:jc w:val="both"/>
                    <w:rPr>
                      <w:rFonts w:hint="default" w:ascii="Times New Roman" w:hAnsi="Times New Roman" w:cs="Times New Roman"/>
                      <w:bCs w:val="0"/>
                      <w:color w:val="auto"/>
                      <w:szCs w:val="21"/>
                      <w:u w:val="single"/>
                    </w:rPr>
                  </w:pPr>
                  <w:r>
                    <w:rPr>
                      <w:rFonts w:hint="default" w:ascii="Times New Roman" w:hAnsi="Times New Roman" w:cs="Times New Roman"/>
                      <w:color w:val="auto"/>
                      <w:u w:val="single"/>
                    </w:rPr>
                    <w:t>1栋1F</w:t>
                  </w:r>
                  <w:r>
                    <w:rPr>
                      <w:rFonts w:hint="eastAsia" w:ascii="Times New Roman" w:hAnsi="Times New Roman" w:cs="Times New Roman"/>
                      <w:color w:val="auto"/>
                      <w:u w:val="single"/>
                      <w:lang w:eastAsia="zh-CN"/>
                    </w:rPr>
                    <w:t>，</w:t>
                  </w:r>
                  <w:r>
                    <w:rPr>
                      <w:rFonts w:hint="default" w:ascii="Times New Roman" w:hAnsi="Times New Roman" w:cs="Times New Roman"/>
                      <w:color w:val="auto"/>
                      <w:u w:val="single"/>
                    </w:rPr>
                    <w:t>建筑面积为1600m</w:t>
                  </w:r>
                  <w:r>
                    <w:rPr>
                      <w:rFonts w:hint="default" w:ascii="Times New Roman" w:hAnsi="Times New Roman" w:cs="Times New Roman"/>
                      <w:color w:val="auto"/>
                      <w:u w:val="single"/>
                      <w:vertAlign w:val="superscript"/>
                    </w:rPr>
                    <w:t>2</w:t>
                  </w:r>
                  <w:r>
                    <w:rPr>
                      <w:rFonts w:hint="default" w:ascii="Times New Roman" w:hAnsi="Times New Roman" w:cs="Times New Roman"/>
                      <w:color w:val="auto"/>
                      <w:u w:val="single"/>
                    </w:rPr>
                    <w:t>，</w:t>
                  </w:r>
                  <w:r>
                    <w:rPr>
                      <w:rFonts w:hint="default" w:ascii="Times New Roman" w:hAnsi="Times New Roman" w:cs="Times New Roman"/>
                      <w:bCs/>
                      <w:color w:val="auto"/>
                      <w:szCs w:val="21"/>
                      <w:u w:val="single"/>
                    </w:rPr>
                    <w:t>钢架结构</w:t>
                  </w:r>
                  <w:r>
                    <w:rPr>
                      <w:rFonts w:hint="default" w:ascii="Times New Roman" w:hAnsi="Times New Roman" w:cs="Times New Roman"/>
                      <w:color w:val="auto"/>
                      <w:u w:val="single"/>
                    </w:rPr>
                    <w:t>，内设钢筋下料区、打箍区、搅拌区、</w:t>
                  </w:r>
                  <w:r>
                    <w:rPr>
                      <w:rFonts w:hint="eastAsia" w:ascii="Times New Roman" w:hAnsi="Times New Roman" w:cs="Times New Roman"/>
                      <w:color w:val="auto"/>
                      <w:u w:val="single"/>
                      <w:lang w:eastAsia="zh-CN"/>
                    </w:rPr>
                    <w:t>热力间</w:t>
                  </w:r>
                </w:p>
              </w:tc>
              <w:tc>
                <w:tcPr>
                  <w:tcW w:w="1128" w:type="pct"/>
                  <w:noWrap w:val="0"/>
                  <w:vAlign w:val="center"/>
                </w:tcPr>
                <w:p w14:paraId="4FB0224C">
                  <w:pPr>
                    <w:pStyle w:val="32"/>
                    <w:spacing w:line="240" w:lineRule="auto"/>
                    <w:jc w:val="center"/>
                    <w:rPr>
                      <w:rFonts w:hint="eastAsia" w:ascii="Times New Roman" w:hAnsi="Times New Roman" w:eastAsia="宋体" w:cs="Times New Roman"/>
                      <w:color w:val="auto"/>
                      <w:u w:val="single"/>
                      <w:lang w:eastAsia="zh-CN"/>
                    </w:rPr>
                  </w:pPr>
                  <w:r>
                    <w:rPr>
                      <w:rFonts w:hint="eastAsia" w:ascii="Times New Roman" w:hAnsi="Times New Roman" w:cs="Times New Roman"/>
                      <w:color w:val="auto"/>
                      <w:u w:val="single"/>
                      <w:lang w:eastAsia="zh-CN"/>
                    </w:rPr>
                    <w:t>与改扩建前一致，仅新增设备</w:t>
                  </w:r>
                </w:p>
              </w:tc>
              <w:tc>
                <w:tcPr>
                  <w:tcW w:w="590" w:type="pct"/>
                  <w:noWrap w:val="0"/>
                  <w:vAlign w:val="center"/>
                </w:tcPr>
                <w:p w14:paraId="18A4A797">
                  <w:pPr>
                    <w:tabs>
                      <w:tab w:val="left" w:pos="1021"/>
                    </w:tabs>
                    <w:snapToGrid w:val="0"/>
                    <w:jc w:val="center"/>
                    <w:rPr>
                      <w:rFonts w:hint="eastAsia" w:ascii="Times New Roman" w:hAnsi="Times New Roman" w:eastAsia="宋体" w:cs="Times New Roman"/>
                      <w:bCs/>
                      <w:color w:val="auto"/>
                      <w:szCs w:val="21"/>
                      <w:u w:val="single"/>
                      <w:lang w:eastAsia="zh-CN"/>
                    </w:rPr>
                  </w:pPr>
                  <w:r>
                    <w:rPr>
                      <w:rFonts w:hint="eastAsia" w:ascii="Times New Roman" w:hAnsi="Times New Roman" w:cs="Times New Roman"/>
                      <w:bCs/>
                      <w:color w:val="auto"/>
                      <w:szCs w:val="21"/>
                      <w:u w:val="single"/>
                      <w:lang w:eastAsia="zh-CN"/>
                    </w:rPr>
                    <w:t>新增设备</w:t>
                  </w:r>
                </w:p>
              </w:tc>
            </w:tr>
            <w:tr w14:paraId="571E4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pct"/>
                  <w:noWrap w:val="0"/>
                  <w:vAlign w:val="center"/>
                </w:tcPr>
                <w:p w14:paraId="28C33A1D">
                  <w:pPr>
                    <w:pStyle w:val="162"/>
                    <w:snapToGrid w:val="0"/>
                    <w:ind w:firstLine="0" w:firstLineChars="0"/>
                    <w:jc w:val="both"/>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辅助工程</w:t>
                  </w:r>
                </w:p>
              </w:tc>
              <w:tc>
                <w:tcPr>
                  <w:tcW w:w="687" w:type="pct"/>
                  <w:noWrap w:val="0"/>
                  <w:vAlign w:val="center"/>
                </w:tcPr>
                <w:p w14:paraId="0C8E662F">
                  <w:pPr>
                    <w:tabs>
                      <w:tab w:val="left" w:pos="1021"/>
                    </w:tabs>
                    <w:snapToGrid w:val="0"/>
                    <w:jc w:val="center"/>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综合用房</w:t>
                  </w:r>
                </w:p>
              </w:tc>
              <w:tc>
                <w:tcPr>
                  <w:tcW w:w="2000" w:type="pct"/>
                  <w:noWrap w:val="0"/>
                  <w:vAlign w:val="center"/>
                </w:tcPr>
                <w:p w14:paraId="6BFDF30C">
                  <w:pPr>
                    <w:tabs>
                      <w:tab w:val="left" w:pos="1021"/>
                    </w:tabs>
                    <w:snapToGrid w:val="0"/>
                    <w:jc w:val="both"/>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1栋1F，建筑面积80m</w:t>
                  </w:r>
                  <w:r>
                    <w:rPr>
                      <w:rFonts w:hint="default" w:ascii="Times New Roman" w:hAnsi="Times New Roman" w:cs="Times New Roman"/>
                      <w:bCs/>
                      <w:color w:val="auto"/>
                      <w:szCs w:val="21"/>
                      <w:u w:val="single"/>
                      <w:vertAlign w:val="superscript"/>
                    </w:rPr>
                    <w:t>2</w:t>
                  </w:r>
                  <w:r>
                    <w:rPr>
                      <w:rFonts w:hint="default" w:ascii="Times New Roman" w:hAnsi="Times New Roman" w:cs="Times New Roman"/>
                      <w:bCs/>
                      <w:color w:val="auto"/>
                      <w:szCs w:val="21"/>
                      <w:u w:val="single"/>
                    </w:rPr>
                    <w:t>，砖混结构，位于用地东南角，主要用于日常办公、住宿</w:t>
                  </w:r>
                </w:p>
              </w:tc>
              <w:tc>
                <w:tcPr>
                  <w:tcW w:w="1128" w:type="pct"/>
                  <w:noWrap w:val="0"/>
                  <w:vAlign w:val="center"/>
                </w:tcPr>
                <w:p w14:paraId="53ABB19E">
                  <w:pPr>
                    <w:snapToGrid w:val="0"/>
                    <w:jc w:val="center"/>
                    <w:rPr>
                      <w:rFonts w:hint="default" w:ascii="Times New Roman" w:hAnsi="Times New Roman" w:cs="Times New Roman"/>
                      <w:bCs/>
                      <w:color w:val="auto"/>
                      <w:szCs w:val="21"/>
                      <w:u w:val="single"/>
                    </w:rPr>
                  </w:pPr>
                  <w:r>
                    <w:rPr>
                      <w:rFonts w:hint="eastAsia" w:ascii="Times New Roman" w:hAnsi="Times New Roman" w:cs="Times New Roman"/>
                      <w:color w:val="auto"/>
                      <w:u w:val="single"/>
                      <w:lang w:eastAsia="zh-CN"/>
                    </w:rPr>
                    <w:t>与改扩建前一致</w:t>
                  </w:r>
                </w:p>
              </w:tc>
              <w:tc>
                <w:tcPr>
                  <w:tcW w:w="590" w:type="pct"/>
                  <w:noWrap w:val="0"/>
                  <w:vAlign w:val="center"/>
                </w:tcPr>
                <w:p w14:paraId="08A08D74">
                  <w:pPr>
                    <w:snapToGrid w:val="0"/>
                    <w:jc w:val="center"/>
                    <w:rPr>
                      <w:rFonts w:hint="default" w:ascii="Times New Roman" w:hAnsi="Times New Roman" w:eastAsia="宋体" w:cs="Times New Roman"/>
                      <w:bCs/>
                      <w:color w:val="auto"/>
                      <w:szCs w:val="21"/>
                      <w:u w:val="single"/>
                      <w:lang w:val="en-US" w:eastAsia="zh-CN"/>
                    </w:rPr>
                  </w:pPr>
                  <w:r>
                    <w:rPr>
                      <w:rFonts w:hint="eastAsia" w:ascii="Times New Roman" w:hAnsi="Times New Roman" w:cs="Times New Roman"/>
                      <w:bCs/>
                      <w:color w:val="auto"/>
                      <w:szCs w:val="21"/>
                      <w:u w:val="single"/>
                      <w:lang w:val="en-US" w:eastAsia="zh-CN"/>
                    </w:rPr>
                    <w:t>依托现有</w:t>
                  </w:r>
                </w:p>
              </w:tc>
            </w:tr>
            <w:tr w14:paraId="6AEE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pct"/>
                  <w:vMerge w:val="restart"/>
                  <w:noWrap w:val="0"/>
                  <w:vAlign w:val="center"/>
                </w:tcPr>
                <w:p w14:paraId="3ECDC238">
                  <w:pPr>
                    <w:pStyle w:val="162"/>
                    <w:snapToGrid w:val="0"/>
                    <w:ind w:firstLine="0" w:firstLineChars="0"/>
                    <w:jc w:val="center"/>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储运工程</w:t>
                  </w:r>
                </w:p>
              </w:tc>
              <w:tc>
                <w:tcPr>
                  <w:tcW w:w="687" w:type="pct"/>
                  <w:noWrap w:val="0"/>
                  <w:vAlign w:val="center"/>
                </w:tcPr>
                <w:p w14:paraId="6F96C5F6">
                  <w:pPr>
                    <w:tabs>
                      <w:tab w:val="left" w:pos="1021"/>
                    </w:tabs>
                    <w:snapToGrid w:val="0"/>
                    <w:jc w:val="center"/>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水泥筒仓</w:t>
                  </w:r>
                </w:p>
              </w:tc>
              <w:tc>
                <w:tcPr>
                  <w:tcW w:w="2000" w:type="pct"/>
                  <w:noWrap w:val="0"/>
                  <w:vAlign w:val="center"/>
                </w:tcPr>
                <w:p w14:paraId="4346A77F">
                  <w:pPr>
                    <w:tabs>
                      <w:tab w:val="left" w:pos="1021"/>
                    </w:tabs>
                    <w:snapToGrid w:val="0"/>
                    <w:jc w:val="both"/>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1个，容积为60t，</w:t>
                  </w:r>
                  <w:r>
                    <w:rPr>
                      <w:rFonts w:hint="default" w:ascii="Times New Roman" w:hAnsi="Times New Roman" w:cs="Times New Roman"/>
                      <w:bCs/>
                      <w:color w:val="auto"/>
                      <w:szCs w:val="21"/>
                      <w:u w:val="single"/>
                      <w:lang w:val="en-US" w:eastAsia="zh-CN"/>
                    </w:rPr>
                    <w:t>自带布袋除尘设施，</w:t>
                  </w:r>
                  <w:r>
                    <w:rPr>
                      <w:rFonts w:hint="default" w:ascii="Times New Roman" w:hAnsi="Times New Roman" w:cs="Times New Roman"/>
                      <w:bCs/>
                      <w:color w:val="auto"/>
                      <w:szCs w:val="21"/>
                      <w:u w:val="single"/>
                    </w:rPr>
                    <w:t>设在原料堆场内，靠近生产车间</w:t>
                  </w:r>
                </w:p>
              </w:tc>
              <w:tc>
                <w:tcPr>
                  <w:tcW w:w="1128" w:type="pct"/>
                  <w:noWrap w:val="0"/>
                  <w:vAlign w:val="center"/>
                </w:tcPr>
                <w:p w14:paraId="27355A21">
                  <w:pPr>
                    <w:snapToGrid w:val="0"/>
                    <w:jc w:val="center"/>
                    <w:rPr>
                      <w:rFonts w:hint="default" w:ascii="Times New Roman" w:hAnsi="Times New Roman" w:cs="Times New Roman"/>
                      <w:bCs/>
                      <w:color w:val="auto"/>
                      <w:szCs w:val="21"/>
                      <w:u w:val="single"/>
                    </w:rPr>
                  </w:pPr>
                  <w:r>
                    <w:rPr>
                      <w:rFonts w:hint="eastAsia" w:ascii="Times New Roman" w:hAnsi="Times New Roman" w:cs="Times New Roman"/>
                      <w:color w:val="auto"/>
                      <w:u w:val="single"/>
                      <w:lang w:eastAsia="zh-CN"/>
                    </w:rPr>
                    <w:t>与改扩建前一致，仅新增设备</w:t>
                  </w:r>
                </w:p>
              </w:tc>
              <w:tc>
                <w:tcPr>
                  <w:tcW w:w="590" w:type="pct"/>
                  <w:noWrap w:val="0"/>
                  <w:vAlign w:val="center"/>
                </w:tcPr>
                <w:p w14:paraId="6B822569">
                  <w:pPr>
                    <w:snapToGrid w:val="0"/>
                    <w:jc w:val="center"/>
                    <w:rPr>
                      <w:rFonts w:hint="default" w:ascii="Times New Roman" w:hAnsi="Times New Roman" w:cs="Times New Roman"/>
                      <w:bCs/>
                      <w:color w:val="auto"/>
                      <w:szCs w:val="21"/>
                      <w:u w:val="single"/>
                    </w:rPr>
                  </w:pPr>
                  <w:r>
                    <w:rPr>
                      <w:rFonts w:hint="eastAsia" w:ascii="Times New Roman" w:hAnsi="Times New Roman" w:cs="Times New Roman"/>
                      <w:bCs/>
                      <w:color w:val="auto"/>
                      <w:szCs w:val="21"/>
                      <w:u w:val="single"/>
                      <w:lang w:eastAsia="zh-CN"/>
                    </w:rPr>
                    <w:t>新增设备</w:t>
                  </w:r>
                </w:p>
              </w:tc>
            </w:tr>
            <w:tr w14:paraId="3CAA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pct"/>
                  <w:vMerge w:val="continue"/>
                  <w:noWrap w:val="0"/>
                  <w:vAlign w:val="center"/>
                </w:tcPr>
                <w:p w14:paraId="73FF4EAB">
                  <w:pPr>
                    <w:pStyle w:val="162"/>
                    <w:snapToGrid w:val="0"/>
                    <w:ind w:firstLine="0" w:firstLineChars="0"/>
                    <w:jc w:val="center"/>
                    <w:rPr>
                      <w:rFonts w:hint="default" w:ascii="Times New Roman" w:hAnsi="Times New Roman" w:cs="Times New Roman"/>
                      <w:bCs/>
                      <w:color w:val="auto"/>
                      <w:szCs w:val="21"/>
                      <w:u w:val="single"/>
                    </w:rPr>
                  </w:pPr>
                </w:p>
              </w:tc>
              <w:tc>
                <w:tcPr>
                  <w:tcW w:w="687" w:type="pct"/>
                  <w:noWrap w:val="0"/>
                  <w:vAlign w:val="center"/>
                </w:tcPr>
                <w:p w14:paraId="1F1A6828">
                  <w:pPr>
                    <w:tabs>
                      <w:tab w:val="left" w:pos="1021"/>
                    </w:tabs>
                    <w:snapToGrid w:val="0"/>
                    <w:jc w:val="center"/>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仓库</w:t>
                  </w:r>
                </w:p>
              </w:tc>
              <w:tc>
                <w:tcPr>
                  <w:tcW w:w="2000" w:type="pct"/>
                  <w:noWrap w:val="0"/>
                  <w:vAlign w:val="center"/>
                </w:tcPr>
                <w:p w14:paraId="64EF9BFA">
                  <w:pPr>
                    <w:tabs>
                      <w:tab w:val="left" w:pos="1021"/>
                    </w:tabs>
                    <w:snapToGrid w:val="0"/>
                    <w:jc w:val="both"/>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1栋1F，建筑面积800m</w:t>
                  </w:r>
                  <w:r>
                    <w:rPr>
                      <w:rFonts w:hint="default" w:ascii="Times New Roman" w:hAnsi="Times New Roman" w:cs="Times New Roman"/>
                      <w:bCs/>
                      <w:color w:val="auto"/>
                      <w:szCs w:val="21"/>
                      <w:u w:val="single"/>
                      <w:vertAlign w:val="superscript"/>
                    </w:rPr>
                    <w:t>2</w:t>
                  </w:r>
                  <w:r>
                    <w:rPr>
                      <w:rFonts w:hint="default" w:ascii="Times New Roman" w:hAnsi="Times New Roman" w:cs="Times New Roman"/>
                      <w:bCs/>
                      <w:color w:val="auto"/>
                      <w:szCs w:val="21"/>
                      <w:u w:val="single"/>
                    </w:rPr>
                    <w:t>，</w:t>
                  </w:r>
                  <w:r>
                    <w:rPr>
                      <w:rFonts w:hint="default" w:ascii="Times New Roman" w:hAnsi="Times New Roman" w:cs="Times New Roman"/>
                      <w:color w:val="auto"/>
                      <w:u w:val="single"/>
                    </w:rPr>
                    <w:t>板房结构</w:t>
                  </w:r>
                  <w:r>
                    <w:rPr>
                      <w:rFonts w:hint="eastAsia" w:ascii="Times New Roman" w:hAnsi="Times New Roman" w:cs="Times New Roman"/>
                      <w:color w:val="auto"/>
                      <w:u w:val="single"/>
                      <w:lang w:eastAsia="zh-CN"/>
                    </w:rPr>
                    <w:t>，</w:t>
                  </w:r>
                  <w:r>
                    <w:rPr>
                      <w:rFonts w:hint="default" w:ascii="Times New Roman" w:hAnsi="Times New Roman" w:cs="Times New Roman"/>
                      <w:bCs/>
                      <w:color w:val="auto"/>
                      <w:szCs w:val="21"/>
                      <w:u w:val="single"/>
                    </w:rPr>
                    <w:t>位于用地东北面，主要用于存放设备、工具等</w:t>
                  </w:r>
                </w:p>
              </w:tc>
              <w:tc>
                <w:tcPr>
                  <w:tcW w:w="1128" w:type="pct"/>
                  <w:noWrap w:val="0"/>
                  <w:vAlign w:val="center"/>
                </w:tcPr>
                <w:p w14:paraId="1D32484B">
                  <w:pPr>
                    <w:snapToGrid w:val="0"/>
                    <w:jc w:val="center"/>
                    <w:rPr>
                      <w:rFonts w:hint="default" w:ascii="Times New Roman" w:hAnsi="Times New Roman" w:cs="Times New Roman"/>
                      <w:bCs/>
                      <w:color w:val="auto"/>
                      <w:szCs w:val="21"/>
                      <w:u w:val="single"/>
                    </w:rPr>
                  </w:pPr>
                  <w:r>
                    <w:rPr>
                      <w:rFonts w:hint="eastAsia" w:ascii="Times New Roman" w:hAnsi="Times New Roman" w:cs="Times New Roman"/>
                      <w:color w:val="auto"/>
                      <w:u w:val="single"/>
                      <w:lang w:eastAsia="zh-CN"/>
                    </w:rPr>
                    <w:t>与改扩建前一致</w:t>
                  </w:r>
                </w:p>
              </w:tc>
              <w:tc>
                <w:tcPr>
                  <w:tcW w:w="590" w:type="pct"/>
                  <w:noWrap w:val="0"/>
                  <w:vAlign w:val="center"/>
                </w:tcPr>
                <w:p w14:paraId="6D0EA2C0">
                  <w:pPr>
                    <w:snapToGrid w:val="0"/>
                    <w:jc w:val="center"/>
                    <w:rPr>
                      <w:rFonts w:hint="default" w:ascii="Times New Roman" w:hAnsi="Times New Roman" w:cs="Times New Roman"/>
                      <w:color w:val="auto"/>
                      <w:u w:val="single"/>
                    </w:rPr>
                  </w:pPr>
                  <w:r>
                    <w:rPr>
                      <w:rFonts w:hint="eastAsia" w:ascii="Times New Roman" w:hAnsi="Times New Roman" w:cs="Times New Roman"/>
                      <w:bCs/>
                      <w:color w:val="auto"/>
                      <w:szCs w:val="21"/>
                      <w:u w:val="single"/>
                      <w:lang w:val="en-US" w:eastAsia="zh-CN"/>
                    </w:rPr>
                    <w:t>依托现有</w:t>
                  </w:r>
                </w:p>
              </w:tc>
            </w:tr>
            <w:tr w14:paraId="1F50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pct"/>
                  <w:vMerge w:val="continue"/>
                  <w:noWrap w:val="0"/>
                  <w:vAlign w:val="center"/>
                </w:tcPr>
                <w:p w14:paraId="401DF7AC">
                  <w:pPr>
                    <w:pStyle w:val="162"/>
                    <w:snapToGrid w:val="0"/>
                    <w:ind w:firstLine="0" w:firstLineChars="0"/>
                    <w:jc w:val="center"/>
                    <w:rPr>
                      <w:rFonts w:hint="default" w:ascii="Times New Roman" w:hAnsi="Times New Roman" w:cs="Times New Roman"/>
                      <w:bCs/>
                      <w:color w:val="auto"/>
                      <w:szCs w:val="21"/>
                      <w:u w:val="single"/>
                    </w:rPr>
                  </w:pPr>
                </w:p>
              </w:tc>
              <w:tc>
                <w:tcPr>
                  <w:tcW w:w="687" w:type="pct"/>
                  <w:noWrap w:val="0"/>
                  <w:vAlign w:val="center"/>
                </w:tcPr>
                <w:p w14:paraId="5CCB09D5">
                  <w:pPr>
                    <w:tabs>
                      <w:tab w:val="left" w:pos="1021"/>
                    </w:tabs>
                    <w:snapToGrid w:val="0"/>
                    <w:jc w:val="center"/>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成品堆场</w:t>
                  </w:r>
                </w:p>
              </w:tc>
              <w:tc>
                <w:tcPr>
                  <w:tcW w:w="2000" w:type="pct"/>
                  <w:noWrap w:val="0"/>
                  <w:vAlign w:val="center"/>
                </w:tcPr>
                <w:p w14:paraId="4F2C7746">
                  <w:pPr>
                    <w:tabs>
                      <w:tab w:val="left" w:pos="1021"/>
                    </w:tabs>
                    <w:snapToGrid w:val="0"/>
                    <w:jc w:val="both"/>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露天堆存，占地面积为1800m</w:t>
                  </w:r>
                  <w:r>
                    <w:rPr>
                      <w:rFonts w:hint="default" w:ascii="Times New Roman" w:hAnsi="Times New Roman" w:cs="Times New Roman"/>
                      <w:bCs/>
                      <w:color w:val="auto"/>
                      <w:szCs w:val="21"/>
                      <w:u w:val="single"/>
                      <w:vertAlign w:val="superscript"/>
                    </w:rPr>
                    <w:t>2</w:t>
                  </w:r>
                  <w:r>
                    <w:rPr>
                      <w:rFonts w:hint="default" w:ascii="Times New Roman" w:hAnsi="Times New Roman" w:cs="Times New Roman"/>
                      <w:bCs/>
                      <w:color w:val="auto"/>
                      <w:szCs w:val="21"/>
                      <w:u w:val="single"/>
                    </w:rPr>
                    <w:t>，位于用地中部，主要用于堆存水泥电杆</w:t>
                  </w:r>
                </w:p>
              </w:tc>
              <w:tc>
                <w:tcPr>
                  <w:tcW w:w="1128" w:type="pct"/>
                  <w:noWrap w:val="0"/>
                  <w:vAlign w:val="center"/>
                </w:tcPr>
                <w:p w14:paraId="1FA6DDB0">
                  <w:pPr>
                    <w:snapToGrid w:val="0"/>
                    <w:jc w:val="center"/>
                    <w:rPr>
                      <w:rFonts w:hint="default" w:ascii="Times New Roman" w:hAnsi="Times New Roman" w:cs="Times New Roman"/>
                      <w:bCs/>
                      <w:color w:val="auto"/>
                      <w:szCs w:val="21"/>
                      <w:u w:val="single"/>
                    </w:rPr>
                  </w:pPr>
                  <w:r>
                    <w:rPr>
                      <w:rFonts w:hint="eastAsia" w:ascii="Times New Roman" w:hAnsi="Times New Roman" w:cs="Times New Roman"/>
                      <w:color w:val="auto"/>
                      <w:u w:val="single"/>
                      <w:lang w:eastAsia="zh-CN"/>
                    </w:rPr>
                    <w:t>与改扩建前一致</w:t>
                  </w:r>
                </w:p>
              </w:tc>
              <w:tc>
                <w:tcPr>
                  <w:tcW w:w="590" w:type="pct"/>
                  <w:noWrap w:val="0"/>
                  <w:vAlign w:val="center"/>
                </w:tcPr>
                <w:p w14:paraId="28032B5B">
                  <w:pPr>
                    <w:snapToGrid w:val="0"/>
                    <w:jc w:val="center"/>
                    <w:rPr>
                      <w:rFonts w:hint="default" w:ascii="Times New Roman" w:hAnsi="Times New Roman" w:cs="Times New Roman"/>
                      <w:bCs/>
                      <w:color w:val="auto"/>
                      <w:szCs w:val="21"/>
                      <w:u w:val="single"/>
                    </w:rPr>
                  </w:pPr>
                  <w:r>
                    <w:rPr>
                      <w:rFonts w:hint="eastAsia" w:ascii="Times New Roman" w:hAnsi="Times New Roman" w:cs="Times New Roman"/>
                      <w:bCs/>
                      <w:color w:val="auto"/>
                      <w:szCs w:val="21"/>
                      <w:u w:val="single"/>
                      <w:lang w:val="en-US" w:eastAsia="zh-CN"/>
                    </w:rPr>
                    <w:t>依托现有</w:t>
                  </w:r>
                </w:p>
              </w:tc>
            </w:tr>
            <w:tr w14:paraId="5B6A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pct"/>
                  <w:vMerge w:val="continue"/>
                  <w:noWrap w:val="0"/>
                  <w:vAlign w:val="center"/>
                </w:tcPr>
                <w:p w14:paraId="4ACB8204">
                  <w:pPr>
                    <w:pStyle w:val="162"/>
                    <w:snapToGrid w:val="0"/>
                    <w:ind w:firstLine="0" w:firstLineChars="0"/>
                    <w:jc w:val="center"/>
                    <w:rPr>
                      <w:rFonts w:hint="default" w:ascii="Times New Roman" w:hAnsi="Times New Roman" w:cs="Times New Roman"/>
                      <w:bCs/>
                      <w:color w:val="auto"/>
                      <w:szCs w:val="21"/>
                      <w:u w:val="single"/>
                    </w:rPr>
                  </w:pPr>
                </w:p>
              </w:tc>
              <w:tc>
                <w:tcPr>
                  <w:tcW w:w="687" w:type="pct"/>
                  <w:noWrap w:val="0"/>
                  <w:vAlign w:val="center"/>
                </w:tcPr>
                <w:p w14:paraId="09C1E944">
                  <w:pPr>
                    <w:tabs>
                      <w:tab w:val="left" w:pos="1021"/>
                    </w:tabs>
                    <w:snapToGrid w:val="0"/>
                    <w:jc w:val="center"/>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原料堆场</w:t>
                  </w:r>
                </w:p>
              </w:tc>
              <w:tc>
                <w:tcPr>
                  <w:tcW w:w="2000" w:type="pct"/>
                  <w:noWrap w:val="0"/>
                  <w:vAlign w:val="center"/>
                </w:tcPr>
                <w:p w14:paraId="1A14FC51">
                  <w:pPr>
                    <w:tabs>
                      <w:tab w:val="left" w:pos="1021"/>
                    </w:tabs>
                    <w:snapToGrid w:val="0"/>
                    <w:jc w:val="both"/>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1栋1F，建筑面积500m</w:t>
                  </w:r>
                  <w:r>
                    <w:rPr>
                      <w:rFonts w:hint="default" w:ascii="Times New Roman" w:hAnsi="Times New Roman" w:cs="Times New Roman"/>
                      <w:bCs/>
                      <w:color w:val="auto"/>
                      <w:szCs w:val="21"/>
                      <w:u w:val="single"/>
                      <w:vertAlign w:val="superscript"/>
                    </w:rPr>
                    <w:t>2</w:t>
                  </w:r>
                  <w:r>
                    <w:rPr>
                      <w:rFonts w:hint="default" w:ascii="Times New Roman" w:hAnsi="Times New Roman" w:cs="Times New Roman"/>
                      <w:bCs/>
                      <w:color w:val="auto"/>
                      <w:szCs w:val="21"/>
                      <w:u w:val="single"/>
                    </w:rPr>
                    <w:t>，钢棚结构</w:t>
                  </w:r>
                  <w:r>
                    <w:rPr>
                      <w:rFonts w:hint="eastAsia" w:ascii="Times New Roman" w:hAnsi="Times New Roman" w:cs="Times New Roman"/>
                      <w:bCs/>
                      <w:color w:val="auto"/>
                      <w:szCs w:val="21"/>
                      <w:u w:val="single"/>
                      <w:lang w:eastAsia="zh-CN"/>
                    </w:rPr>
                    <w:t>，</w:t>
                  </w:r>
                  <w:r>
                    <w:rPr>
                      <w:rFonts w:hint="default" w:ascii="Times New Roman" w:hAnsi="Times New Roman" w:cs="Times New Roman"/>
                      <w:bCs/>
                      <w:color w:val="auto"/>
                      <w:szCs w:val="21"/>
                      <w:u w:val="single"/>
                    </w:rPr>
                    <w:t>位于用地西北面，主要用于堆存河沙、碎石等原料</w:t>
                  </w:r>
                </w:p>
              </w:tc>
              <w:tc>
                <w:tcPr>
                  <w:tcW w:w="1128" w:type="pct"/>
                  <w:noWrap w:val="0"/>
                  <w:vAlign w:val="center"/>
                </w:tcPr>
                <w:p w14:paraId="33D52F2A">
                  <w:pPr>
                    <w:snapToGrid w:val="0"/>
                    <w:jc w:val="center"/>
                    <w:rPr>
                      <w:rFonts w:hint="default" w:ascii="Times New Roman" w:hAnsi="Times New Roman" w:cs="Times New Roman"/>
                      <w:bCs/>
                      <w:color w:val="auto"/>
                      <w:szCs w:val="21"/>
                      <w:u w:val="single"/>
                    </w:rPr>
                  </w:pPr>
                  <w:r>
                    <w:rPr>
                      <w:rFonts w:hint="eastAsia" w:ascii="Times New Roman" w:hAnsi="Times New Roman" w:cs="Times New Roman"/>
                      <w:color w:val="auto"/>
                      <w:u w:val="single"/>
                      <w:lang w:eastAsia="zh-CN"/>
                    </w:rPr>
                    <w:t>与改扩建前一致</w:t>
                  </w:r>
                </w:p>
              </w:tc>
              <w:tc>
                <w:tcPr>
                  <w:tcW w:w="590" w:type="pct"/>
                  <w:noWrap w:val="0"/>
                  <w:vAlign w:val="center"/>
                </w:tcPr>
                <w:p w14:paraId="1AE406FD">
                  <w:pPr>
                    <w:snapToGrid w:val="0"/>
                    <w:jc w:val="center"/>
                    <w:rPr>
                      <w:rFonts w:hint="default" w:ascii="Times New Roman" w:hAnsi="Times New Roman" w:cs="Times New Roman"/>
                      <w:bCs/>
                      <w:color w:val="auto"/>
                      <w:szCs w:val="21"/>
                      <w:u w:val="single"/>
                    </w:rPr>
                  </w:pPr>
                  <w:r>
                    <w:rPr>
                      <w:rFonts w:hint="eastAsia" w:ascii="Times New Roman" w:hAnsi="Times New Roman" w:cs="Times New Roman"/>
                      <w:bCs/>
                      <w:color w:val="auto"/>
                      <w:szCs w:val="21"/>
                      <w:u w:val="single"/>
                      <w:lang w:val="en-US" w:eastAsia="zh-CN"/>
                    </w:rPr>
                    <w:t>依托现有</w:t>
                  </w:r>
                </w:p>
              </w:tc>
            </w:tr>
            <w:tr w14:paraId="73AC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93" w:type="pct"/>
                  <w:vMerge w:val="restart"/>
                  <w:noWrap w:val="0"/>
                  <w:vAlign w:val="center"/>
                </w:tcPr>
                <w:p w14:paraId="35556D56">
                  <w:pPr>
                    <w:pStyle w:val="162"/>
                    <w:snapToGrid w:val="0"/>
                    <w:ind w:firstLine="0" w:firstLineChars="0"/>
                    <w:jc w:val="center"/>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环保工程</w:t>
                  </w:r>
                </w:p>
              </w:tc>
              <w:tc>
                <w:tcPr>
                  <w:tcW w:w="687" w:type="pct"/>
                  <w:noWrap w:val="0"/>
                  <w:vAlign w:val="center"/>
                </w:tcPr>
                <w:p w14:paraId="5F13B31E">
                  <w:pPr>
                    <w:tabs>
                      <w:tab w:val="left" w:pos="1021"/>
                    </w:tabs>
                    <w:snapToGrid w:val="0"/>
                    <w:jc w:val="center"/>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废气治理</w:t>
                  </w:r>
                </w:p>
              </w:tc>
              <w:tc>
                <w:tcPr>
                  <w:tcW w:w="2000" w:type="pct"/>
                  <w:noWrap w:val="0"/>
                  <w:vAlign w:val="center"/>
                </w:tcPr>
                <w:p w14:paraId="0CCC76B3">
                  <w:pPr>
                    <w:pStyle w:val="162"/>
                    <w:snapToGrid w:val="0"/>
                    <w:ind w:firstLine="0" w:firstLineChars="0"/>
                    <w:jc w:val="both"/>
                    <w:rPr>
                      <w:rFonts w:hint="default" w:ascii="Times New Roman" w:hAnsi="Times New Roman" w:cs="Times New Roman"/>
                      <w:bCs/>
                      <w:color w:val="auto"/>
                      <w:szCs w:val="21"/>
                      <w:u w:val="single"/>
                    </w:rPr>
                  </w:pPr>
                  <w:r>
                    <w:rPr>
                      <w:rFonts w:hint="default" w:ascii="Times New Roman" w:hAnsi="Times New Roman" w:cs="Times New Roman"/>
                      <w:color w:val="auto"/>
                      <w:szCs w:val="21"/>
                      <w:u w:val="single"/>
                      <w:lang w:eastAsia="zh-CN"/>
                    </w:rPr>
                    <w:t>生物质燃料蒸汽发生器</w:t>
                  </w:r>
                  <w:r>
                    <w:rPr>
                      <w:rFonts w:hint="default" w:ascii="Times New Roman" w:hAnsi="Times New Roman" w:cs="Times New Roman"/>
                      <w:color w:val="auto"/>
                      <w:szCs w:val="21"/>
                      <w:u w:val="single"/>
                    </w:rPr>
                    <w:t>燃烧废气经</w:t>
                  </w:r>
                  <w:r>
                    <w:rPr>
                      <w:rFonts w:hint="eastAsia" w:ascii="Times New Roman" w:hAnsi="Times New Roman" w:cs="Times New Roman"/>
                      <w:color w:val="auto"/>
                      <w:szCs w:val="21"/>
                      <w:u w:val="single"/>
                      <w:lang w:val="en-US" w:eastAsia="zh-CN"/>
                    </w:rPr>
                    <w:t>布袋</w:t>
                  </w:r>
                  <w:r>
                    <w:rPr>
                      <w:rFonts w:hint="default" w:ascii="Times New Roman" w:hAnsi="Times New Roman" w:cs="Times New Roman"/>
                      <w:color w:val="auto"/>
                      <w:szCs w:val="21"/>
                      <w:u w:val="single"/>
                    </w:rPr>
                    <w:t>除尘设备处理后，再通过排气筒（排气筒高度</w:t>
                  </w:r>
                  <w:r>
                    <w:rPr>
                      <w:rFonts w:hint="default" w:ascii="Times New Roman" w:hAnsi="Times New Roman" w:cs="Times New Roman"/>
                      <w:color w:val="auto"/>
                      <w:szCs w:val="21"/>
                      <w:u w:val="single"/>
                      <w:lang w:val="en-US" w:eastAsia="zh-CN"/>
                    </w:rPr>
                    <w:t>15</w:t>
                  </w:r>
                  <w:r>
                    <w:rPr>
                      <w:rFonts w:hint="default" w:ascii="Times New Roman" w:hAnsi="Times New Roman" w:cs="Times New Roman"/>
                      <w:color w:val="auto"/>
                      <w:szCs w:val="21"/>
                      <w:u w:val="single"/>
                    </w:rPr>
                    <w:t>m）排入大气；水泥筒仓粉尘经筒仓自带的布袋除尘器处理后，无组织排放；焊接烟尘以无组织形式排放；油烟废气经过抽油烟机处理后排放，同时在堆场及生产区设置喷淋设施，洒水进行降尘；原辅料均入棚管理，物料棚应具备防风、防雨、防晒功能；同步设置临时遮风防雨篷布，配套完善绿地建设</w:t>
                  </w:r>
                </w:p>
              </w:tc>
              <w:tc>
                <w:tcPr>
                  <w:tcW w:w="1128" w:type="pct"/>
                  <w:noWrap w:val="0"/>
                  <w:vAlign w:val="center"/>
                </w:tcPr>
                <w:p w14:paraId="00B738C1">
                  <w:pPr>
                    <w:snapToGrid w:val="0"/>
                    <w:ind w:firstLine="0" w:firstLineChars="0"/>
                    <w:jc w:val="center"/>
                    <w:rPr>
                      <w:rFonts w:hint="default" w:ascii="Times New Roman" w:hAnsi="Times New Roman" w:cs="Times New Roman"/>
                      <w:color w:val="auto"/>
                      <w:szCs w:val="21"/>
                      <w:u w:val="single"/>
                      <w:lang w:eastAsia="zh-CN"/>
                    </w:rPr>
                  </w:pPr>
                  <w:r>
                    <w:rPr>
                      <w:rFonts w:hint="eastAsia" w:ascii="Times New Roman" w:hAnsi="Times New Roman" w:cs="Times New Roman"/>
                      <w:color w:val="auto"/>
                      <w:u w:val="single"/>
                      <w:lang w:eastAsia="zh-CN"/>
                    </w:rPr>
                    <w:t>与改扩建前一致</w:t>
                  </w:r>
                </w:p>
              </w:tc>
              <w:tc>
                <w:tcPr>
                  <w:tcW w:w="590" w:type="pct"/>
                  <w:noWrap w:val="0"/>
                  <w:vAlign w:val="center"/>
                </w:tcPr>
                <w:p w14:paraId="5424E955">
                  <w:pPr>
                    <w:snapToGrid w:val="0"/>
                    <w:jc w:val="center"/>
                    <w:rPr>
                      <w:rFonts w:hint="default" w:ascii="Times New Roman" w:hAnsi="Times New Roman" w:cs="Times New Roman"/>
                      <w:bCs/>
                      <w:color w:val="auto"/>
                      <w:szCs w:val="21"/>
                      <w:u w:val="single"/>
                    </w:rPr>
                  </w:pPr>
                  <w:r>
                    <w:rPr>
                      <w:rFonts w:hint="eastAsia" w:ascii="Times New Roman" w:hAnsi="Times New Roman" w:cs="Times New Roman"/>
                      <w:bCs/>
                      <w:color w:val="auto"/>
                      <w:szCs w:val="21"/>
                      <w:u w:val="single"/>
                      <w:lang w:val="en-US" w:eastAsia="zh-CN"/>
                    </w:rPr>
                    <w:t>依托现有</w:t>
                  </w:r>
                </w:p>
              </w:tc>
            </w:tr>
            <w:tr w14:paraId="7ABD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pct"/>
                  <w:vMerge w:val="continue"/>
                  <w:noWrap w:val="0"/>
                  <w:vAlign w:val="center"/>
                </w:tcPr>
                <w:p w14:paraId="7FBD5FA5">
                  <w:pPr>
                    <w:pStyle w:val="162"/>
                    <w:snapToGrid w:val="0"/>
                    <w:ind w:firstLine="0" w:firstLineChars="0"/>
                    <w:jc w:val="center"/>
                    <w:rPr>
                      <w:rFonts w:hint="default" w:ascii="Times New Roman" w:hAnsi="Times New Roman" w:cs="Times New Roman"/>
                      <w:bCs/>
                      <w:color w:val="auto"/>
                      <w:szCs w:val="21"/>
                      <w:u w:val="single"/>
                    </w:rPr>
                  </w:pPr>
                </w:p>
              </w:tc>
              <w:tc>
                <w:tcPr>
                  <w:tcW w:w="687" w:type="pct"/>
                  <w:noWrap w:val="0"/>
                  <w:vAlign w:val="center"/>
                </w:tcPr>
                <w:p w14:paraId="647C85FF">
                  <w:pPr>
                    <w:snapToGrid w:val="0"/>
                    <w:jc w:val="center"/>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污水处理</w:t>
                  </w:r>
                </w:p>
              </w:tc>
              <w:tc>
                <w:tcPr>
                  <w:tcW w:w="2000" w:type="pct"/>
                  <w:noWrap w:val="0"/>
                  <w:vAlign w:val="center"/>
                </w:tcPr>
                <w:p w14:paraId="7B8C509C">
                  <w:pPr>
                    <w:snapToGrid w:val="0"/>
                    <w:jc w:val="both"/>
                    <w:rPr>
                      <w:rFonts w:hint="default" w:ascii="Times New Roman" w:hAnsi="Times New Roman" w:eastAsia="宋体" w:cs="Times New Roman"/>
                      <w:bCs/>
                      <w:color w:val="auto"/>
                      <w:szCs w:val="21"/>
                      <w:u w:val="single"/>
                      <w:lang w:val="en-US" w:eastAsia="zh-CN"/>
                    </w:rPr>
                  </w:pPr>
                  <w:r>
                    <w:rPr>
                      <w:rFonts w:hint="default" w:ascii="Times New Roman" w:hAnsi="Times New Roman" w:cs="Times New Roman"/>
                      <w:color w:val="auto"/>
                      <w:spacing w:val="6"/>
                      <w:szCs w:val="21"/>
                      <w:u w:val="single"/>
                    </w:rPr>
                    <w:t>蒸汽养护过程产生的冷凝水和设备清洗废水</w:t>
                  </w:r>
                  <w:r>
                    <w:rPr>
                      <w:rFonts w:hint="default" w:ascii="Times New Roman" w:hAnsi="Times New Roman" w:cs="Times New Roman"/>
                      <w:color w:val="auto"/>
                      <w:szCs w:val="21"/>
                      <w:u w:val="single"/>
                    </w:rPr>
                    <w:t>经过厂区沉淀池</w:t>
                  </w:r>
                  <w:r>
                    <w:rPr>
                      <w:rFonts w:hint="eastAsia" w:ascii="Times New Roman" w:hAnsi="Times New Roman" w:cs="Times New Roman"/>
                      <w:color w:val="auto"/>
                      <w:szCs w:val="21"/>
                      <w:u w:val="single"/>
                      <w:lang w:eastAsia="zh-CN"/>
                    </w:rPr>
                    <w:t>（</w:t>
                  </w:r>
                  <w:r>
                    <w:rPr>
                      <w:rFonts w:hint="eastAsia" w:ascii="Times New Roman" w:hAnsi="Times New Roman" w:cs="Times New Roman"/>
                      <w:color w:val="auto"/>
                      <w:szCs w:val="21"/>
                      <w:u w:val="single"/>
                      <w:lang w:val="en-US" w:eastAsia="zh-CN"/>
                    </w:rPr>
                    <w:t>50m</w:t>
                  </w:r>
                  <w:r>
                    <w:rPr>
                      <w:rFonts w:hint="eastAsia" w:ascii="Times New Roman" w:hAnsi="Times New Roman" w:cs="Times New Roman"/>
                      <w:color w:val="auto"/>
                      <w:szCs w:val="21"/>
                      <w:u w:val="single"/>
                      <w:vertAlign w:val="superscript"/>
                      <w:lang w:val="en-US" w:eastAsia="zh-CN"/>
                    </w:rPr>
                    <w:t>3</w:t>
                  </w:r>
                  <w:r>
                    <w:rPr>
                      <w:rFonts w:hint="eastAsia" w:ascii="Times New Roman" w:hAnsi="Times New Roman" w:cs="Times New Roman"/>
                      <w:color w:val="auto"/>
                      <w:szCs w:val="21"/>
                      <w:u w:val="single"/>
                      <w:lang w:eastAsia="zh-CN"/>
                    </w:rPr>
                    <w:t>）</w:t>
                  </w:r>
                  <w:r>
                    <w:rPr>
                      <w:rFonts w:hint="default" w:ascii="Times New Roman" w:hAnsi="Times New Roman" w:cs="Times New Roman"/>
                      <w:color w:val="auto"/>
                      <w:szCs w:val="21"/>
                      <w:u w:val="single"/>
                    </w:rPr>
                    <w:t>沉淀处理后回用于生产过程，不外排；生活污水经化粪池处理后，用于绿地浇灌、施肥；初期雨水经过沉淀处理后，回用于生产过程</w:t>
                  </w:r>
                </w:p>
              </w:tc>
              <w:tc>
                <w:tcPr>
                  <w:tcW w:w="1128" w:type="pct"/>
                  <w:noWrap w:val="0"/>
                  <w:vAlign w:val="center"/>
                </w:tcPr>
                <w:p w14:paraId="2BCDBF6B">
                  <w:pPr>
                    <w:snapToGrid w:val="0"/>
                    <w:jc w:val="center"/>
                    <w:rPr>
                      <w:rFonts w:hint="default" w:ascii="Times New Roman" w:hAnsi="Times New Roman" w:cs="Times New Roman"/>
                      <w:color w:val="auto"/>
                      <w:spacing w:val="6"/>
                      <w:szCs w:val="21"/>
                      <w:u w:val="single"/>
                    </w:rPr>
                  </w:pPr>
                  <w:r>
                    <w:rPr>
                      <w:rFonts w:hint="eastAsia" w:ascii="Times New Roman" w:hAnsi="Times New Roman" w:cs="Times New Roman"/>
                      <w:color w:val="auto"/>
                      <w:u w:val="single"/>
                      <w:lang w:eastAsia="zh-CN"/>
                    </w:rPr>
                    <w:t>与改扩建前一致</w:t>
                  </w:r>
                </w:p>
              </w:tc>
              <w:tc>
                <w:tcPr>
                  <w:tcW w:w="590" w:type="pct"/>
                  <w:noWrap w:val="0"/>
                  <w:vAlign w:val="center"/>
                </w:tcPr>
                <w:p w14:paraId="73394D7D">
                  <w:pPr>
                    <w:snapToGrid w:val="0"/>
                    <w:jc w:val="center"/>
                    <w:rPr>
                      <w:rFonts w:hint="default" w:ascii="Times New Roman" w:hAnsi="Times New Roman" w:cs="Times New Roman"/>
                      <w:bCs/>
                      <w:color w:val="auto"/>
                      <w:szCs w:val="21"/>
                      <w:u w:val="single"/>
                    </w:rPr>
                  </w:pPr>
                  <w:r>
                    <w:rPr>
                      <w:rFonts w:hint="eastAsia" w:ascii="Times New Roman" w:hAnsi="Times New Roman" w:cs="Times New Roman"/>
                      <w:bCs/>
                      <w:color w:val="auto"/>
                      <w:szCs w:val="21"/>
                      <w:u w:val="single"/>
                      <w:lang w:val="en-US" w:eastAsia="zh-CN"/>
                    </w:rPr>
                    <w:t>依托现有</w:t>
                  </w:r>
                </w:p>
              </w:tc>
            </w:tr>
            <w:tr w14:paraId="0ABB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pct"/>
                  <w:vMerge w:val="continue"/>
                  <w:noWrap w:val="0"/>
                  <w:vAlign w:val="center"/>
                </w:tcPr>
                <w:p w14:paraId="0C70CD0A">
                  <w:pPr>
                    <w:pStyle w:val="162"/>
                    <w:snapToGrid w:val="0"/>
                    <w:ind w:firstLine="0" w:firstLineChars="0"/>
                    <w:jc w:val="center"/>
                    <w:rPr>
                      <w:rFonts w:hint="default" w:ascii="Times New Roman" w:hAnsi="Times New Roman" w:cs="Times New Roman"/>
                      <w:bCs/>
                      <w:color w:val="auto"/>
                      <w:szCs w:val="21"/>
                      <w:u w:val="single"/>
                    </w:rPr>
                  </w:pPr>
                </w:p>
              </w:tc>
              <w:tc>
                <w:tcPr>
                  <w:tcW w:w="687" w:type="pct"/>
                  <w:noWrap w:val="0"/>
                  <w:vAlign w:val="center"/>
                </w:tcPr>
                <w:p w14:paraId="50C9CC63">
                  <w:pPr>
                    <w:pStyle w:val="168"/>
                    <w:adjustRightInd/>
                    <w:snapToGrid w:val="0"/>
                    <w:spacing w:line="240" w:lineRule="auto"/>
                    <w:rPr>
                      <w:rFonts w:hint="default" w:ascii="Times New Roman" w:hAnsi="Times New Roman" w:cs="Times New Roman"/>
                      <w:bCs/>
                      <w:color w:val="auto"/>
                      <w:kern w:val="2"/>
                      <w:sz w:val="21"/>
                      <w:szCs w:val="21"/>
                      <w:u w:val="single"/>
                    </w:rPr>
                  </w:pPr>
                  <w:r>
                    <w:rPr>
                      <w:rFonts w:hint="default" w:ascii="Times New Roman" w:hAnsi="Times New Roman" w:cs="Times New Roman"/>
                      <w:bCs/>
                      <w:color w:val="auto"/>
                      <w:kern w:val="2"/>
                      <w:sz w:val="21"/>
                      <w:szCs w:val="21"/>
                      <w:u w:val="single"/>
                    </w:rPr>
                    <w:t>噪声处理</w:t>
                  </w:r>
                </w:p>
              </w:tc>
              <w:tc>
                <w:tcPr>
                  <w:tcW w:w="2000" w:type="pct"/>
                  <w:noWrap w:val="0"/>
                  <w:vAlign w:val="center"/>
                </w:tcPr>
                <w:p w14:paraId="18B47D61">
                  <w:pPr>
                    <w:pStyle w:val="168"/>
                    <w:adjustRightInd/>
                    <w:snapToGrid w:val="0"/>
                    <w:spacing w:line="240" w:lineRule="auto"/>
                    <w:jc w:val="both"/>
                    <w:rPr>
                      <w:rFonts w:hint="default" w:ascii="Times New Roman" w:hAnsi="Times New Roman" w:cs="Times New Roman"/>
                      <w:color w:val="auto"/>
                      <w:kern w:val="2"/>
                      <w:sz w:val="21"/>
                      <w:szCs w:val="21"/>
                      <w:u w:val="single"/>
                    </w:rPr>
                  </w:pPr>
                  <w:r>
                    <w:rPr>
                      <w:rFonts w:hint="default" w:ascii="Times New Roman" w:hAnsi="Times New Roman" w:cs="Times New Roman"/>
                      <w:color w:val="auto"/>
                      <w:kern w:val="2"/>
                      <w:sz w:val="21"/>
                      <w:szCs w:val="21"/>
                      <w:u w:val="single"/>
                    </w:rPr>
                    <w:t>安装减振降噪设施、选用低噪音的设备；合理布局；合理安排工作时间；加强绿化；对进出车辆限速禁鸣管理</w:t>
                  </w:r>
                </w:p>
              </w:tc>
              <w:tc>
                <w:tcPr>
                  <w:tcW w:w="1128" w:type="pct"/>
                  <w:noWrap w:val="0"/>
                  <w:vAlign w:val="center"/>
                </w:tcPr>
                <w:p w14:paraId="3AFD89E1">
                  <w:pPr>
                    <w:adjustRightInd/>
                    <w:snapToGrid w:val="0"/>
                    <w:spacing w:line="240" w:lineRule="auto"/>
                    <w:jc w:val="center"/>
                    <w:rPr>
                      <w:rFonts w:hint="default" w:ascii="Times New Roman" w:hAnsi="Times New Roman" w:cs="Times New Roman"/>
                      <w:color w:val="auto"/>
                      <w:kern w:val="2"/>
                      <w:sz w:val="21"/>
                      <w:szCs w:val="21"/>
                      <w:u w:val="single"/>
                    </w:rPr>
                  </w:pPr>
                  <w:r>
                    <w:rPr>
                      <w:rFonts w:hint="eastAsia" w:ascii="Times New Roman" w:hAnsi="Times New Roman" w:cs="Times New Roman"/>
                      <w:color w:val="auto"/>
                      <w:u w:val="single"/>
                      <w:lang w:eastAsia="zh-CN"/>
                    </w:rPr>
                    <w:t>与改扩建前一致</w:t>
                  </w:r>
                </w:p>
              </w:tc>
              <w:tc>
                <w:tcPr>
                  <w:tcW w:w="590" w:type="pct"/>
                  <w:noWrap w:val="0"/>
                  <w:vAlign w:val="center"/>
                </w:tcPr>
                <w:p w14:paraId="37802836">
                  <w:pPr>
                    <w:snapToGrid w:val="0"/>
                    <w:jc w:val="center"/>
                    <w:rPr>
                      <w:rFonts w:hint="default" w:ascii="Times New Roman" w:hAnsi="Times New Roman" w:cs="Times New Roman"/>
                      <w:color w:val="auto"/>
                      <w:szCs w:val="21"/>
                      <w:u w:val="single"/>
                    </w:rPr>
                  </w:pPr>
                  <w:r>
                    <w:rPr>
                      <w:rFonts w:hint="eastAsia" w:ascii="Times New Roman" w:hAnsi="Times New Roman" w:cs="Times New Roman"/>
                      <w:bCs/>
                      <w:color w:val="auto"/>
                      <w:szCs w:val="21"/>
                      <w:u w:val="single"/>
                      <w:lang w:val="en-US" w:eastAsia="zh-CN"/>
                    </w:rPr>
                    <w:t>依托现有</w:t>
                  </w:r>
                </w:p>
              </w:tc>
            </w:tr>
            <w:tr w14:paraId="0864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pct"/>
                  <w:vMerge w:val="continue"/>
                  <w:noWrap w:val="0"/>
                  <w:vAlign w:val="center"/>
                </w:tcPr>
                <w:p w14:paraId="64C3C49B">
                  <w:pPr>
                    <w:pStyle w:val="162"/>
                    <w:snapToGrid w:val="0"/>
                    <w:ind w:firstLine="0" w:firstLineChars="0"/>
                    <w:jc w:val="center"/>
                    <w:rPr>
                      <w:rFonts w:hint="default" w:ascii="Times New Roman" w:hAnsi="Times New Roman" w:cs="Times New Roman"/>
                      <w:bCs/>
                      <w:color w:val="auto"/>
                      <w:szCs w:val="21"/>
                      <w:u w:val="single"/>
                    </w:rPr>
                  </w:pPr>
                </w:p>
              </w:tc>
              <w:tc>
                <w:tcPr>
                  <w:tcW w:w="687" w:type="pct"/>
                  <w:noWrap w:val="0"/>
                  <w:vAlign w:val="center"/>
                </w:tcPr>
                <w:p w14:paraId="07FBAFF8">
                  <w:pPr>
                    <w:snapToGrid w:val="0"/>
                    <w:jc w:val="center"/>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lang w:val="en-US" w:eastAsia="zh-CN"/>
                    </w:rPr>
                    <w:t>固废处理</w:t>
                  </w:r>
                </w:p>
              </w:tc>
              <w:tc>
                <w:tcPr>
                  <w:tcW w:w="2000" w:type="pct"/>
                  <w:noWrap w:val="0"/>
                  <w:vAlign w:val="center"/>
                </w:tcPr>
                <w:p w14:paraId="642C247B">
                  <w:pPr>
                    <w:snapToGrid w:val="0"/>
                    <w:jc w:val="both"/>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厂区设置垃圾收集桶；</w:t>
                  </w:r>
                  <w:r>
                    <w:rPr>
                      <w:rFonts w:hint="default" w:ascii="Times New Roman" w:hAnsi="Times New Roman" w:cs="Times New Roman"/>
                      <w:bCs/>
                      <w:color w:val="auto"/>
                      <w:szCs w:val="21"/>
                      <w:u w:val="single"/>
                      <w:lang w:val="en-US" w:eastAsia="zh-CN"/>
                    </w:rPr>
                    <w:t>按要求设置一般固废间</w:t>
                  </w:r>
                  <w:r>
                    <w:rPr>
                      <w:rFonts w:hint="eastAsia" w:ascii="Times New Roman" w:hAnsi="Times New Roman" w:cs="Times New Roman"/>
                      <w:bCs/>
                      <w:color w:val="auto"/>
                      <w:szCs w:val="21"/>
                      <w:u w:val="single"/>
                      <w:lang w:val="en-US" w:eastAsia="zh-CN"/>
                    </w:rPr>
                    <w:t>（50m</w:t>
                  </w:r>
                  <w:r>
                    <w:rPr>
                      <w:rFonts w:hint="eastAsia" w:ascii="Times New Roman" w:hAnsi="Times New Roman" w:cs="Times New Roman"/>
                      <w:bCs/>
                      <w:color w:val="auto"/>
                      <w:szCs w:val="21"/>
                      <w:u w:val="single"/>
                      <w:vertAlign w:val="superscript"/>
                      <w:lang w:val="en-US" w:eastAsia="zh-CN"/>
                    </w:rPr>
                    <w:t>3</w:t>
                  </w:r>
                  <w:r>
                    <w:rPr>
                      <w:rFonts w:hint="eastAsia" w:ascii="Times New Roman" w:hAnsi="Times New Roman" w:cs="Times New Roman"/>
                      <w:bCs/>
                      <w:color w:val="auto"/>
                      <w:szCs w:val="21"/>
                      <w:u w:val="single"/>
                      <w:lang w:val="en-US" w:eastAsia="zh-CN"/>
                    </w:rPr>
                    <w:t>）</w:t>
                  </w:r>
                  <w:r>
                    <w:rPr>
                      <w:rFonts w:hint="default" w:ascii="Times New Roman" w:hAnsi="Times New Roman" w:cs="Times New Roman"/>
                      <w:bCs/>
                      <w:color w:val="auto"/>
                      <w:szCs w:val="21"/>
                      <w:u w:val="single"/>
                      <w:lang w:val="en-US" w:eastAsia="zh-CN"/>
                    </w:rPr>
                    <w:t>和危废间</w:t>
                  </w:r>
                  <w:r>
                    <w:rPr>
                      <w:rFonts w:hint="eastAsia" w:ascii="Times New Roman" w:hAnsi="Times New Roman" w:cs="Times New Roman"/>
                      <w:bCs/>
                      <w:color w:val="auto"/>
                      <w:szCs w:val="21"/>
                      <w:u w:val="single"/>
                      <w:lang w:val="en-US" w:eastAsia="zh-CN"/>
                    </w:rPr>
                    <w:t>（10m</w:t>
                  </w:r>
                  <w:r>
                    <w:rPr>
                      <w:rFonts w:hint="eastAsia" w:ascii="Times New Roman" w:hAnsi="Times New Roman" w:cs="Times New Roman"/>
                      <w:bCs/>
                      <w:color w:val="auto"/>
                      <w:szCs w:val="21"/>
                      <w:u w:val="single"/>
                      <w:vertAlign w:val="superscript"/>
                      <w:lang w:val="en-US" w:eastAsia="zh-CN"/>
                    </w:rPr>
                    <w:t>3</w:t>
                  </w:r>
                  <w:r>
                    <w:rPr>
                      <w:rFonts w:hint="eastAsia" w:ascii="Times New Roman" w:hAnsi="Times New Roman" w:cs="Times New Roman"/>
                      <w:bCs/>
                      <w:color w:val="auto"/>
                      <w:szCs w:val="21"/>
                      <w:u w:val="single"/>
                      <w:lang w:val="en-US" w:eastAsia="zh-CN"/>
                    </w:rPr>
                    <w:t>）</w:t>
                  </w:r>
                </w:p>
              </w:tc>
              <w:tc>
                <w:tcPr>
                  <w:tcW w:w="1128" w:type="pct"/>
                  <w:noWrap w:val="0"/>
                  <w:vAlign w:val="center"/>
                </w:tcPr>
                <w:p w14:paraId="2925379A">
                  <w:pPr>
                    <w:snapToGrid w:val="0"/>
                    <w:jc w:val="center"/>
                    <w:rPr>
                      <w:rFonts w:hint="default" w:ascii="Times New Roman" w:hAnsi="Times New Roman" w:cs="Times New Roman"/>
                      <w:bCs/>
                      <w:color w:val="auto"/>
                      <w:szCs w:val="21"/>
                      <w:u w:val="single"/>
                    </w:rPr>
                  </w:pPr>
                  <w:r>
                    <w:rPr>
                      <w:rFonts w:hint="eastAsia" w:ascii="Times New Roman" w:hAnsi="Times New Roman" w:cs="Times New Roman"/>
                      <w:color w:val="auto"/>
                      <w:u w:val="single"/>
                      <w:lang w:eastAsia="zh-CN"/>
                    </w:rPr>
                    <w:t>与改扩建前一致</w:t>
                  </w:r>
                </w:p>
              </w:tc>
              <w:tc>
                <w:tcPr>
                  <w:tcW w:w="590" w:type="pct"/>
                  <w:noWrap w:val="0"/>
                  <w:vAlign w:val="center"/>
                </w:tcPr>
                <w:p w14:paraId="3309EF3B">
                  <w:pPr>
                    <w:snapToGrid w:val="0"/>
                    <w:jc w:val="center"/>
                    <w:rPr>
                      <w:rFonts w:hint="default" w:ascii="Times New Roman" w:hAnsi="Times New Roman" w:cs="Times New Roman"/>
                      <w:bCs/>
                      <w:color w:val="auto"/>
                      <w:szCs w:val="21"/>
                      <w:u w:val="single"/>
                    </w:rPr>
                  </w:pPr>
                  <w:r>
                    <w:rPr>
                      <w:rFonts w:hint="eastAsia" w:ascii="Times New Roman" w:hAnsi="Times New Roman" w:cs="Times New Roman"/>
                      <w:bCs/>
                      <w:color w:val="auto"/>
                      <w:szCs w:val="21"/>
                      <w:u w:val="single"/>
                      <w:lang w:val="en-US" w:eastAsia="zh-CN"/>
                    </w:rPr>
                    <w:t>依托现有</w:t>
                  </w:r>
                </w:p>
              </w:tc>
            </w:tr>
            <w:tr w14:paraId="58D59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pct"/>
                  <w:vMerge w:val="restart"/>
                  <w:noWrap w:val="0"/>
                  <w:vAlign w:val="center"/>
                </w:tcPr>
                <w:p w14:paraId="6996AD21">
                  <w:pPr>
                    <w:pStyle w:val="162"/>
                    <w:snapToGrid w:val="0"/>
                    <w:ind w:firstLine="0" w:firstLineChars="0"/>
                    <w:jc w:val="center"/>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公用工程</w:t>
                  </w:r>
                </w:p>
              </w:tc>
              <w:tc>
                <w:tcPr>
                  <w:tcW w:w="687" w:type="pct"/>
                  <w:noWrap w:val="0"/>
                  <w:vAlign w:val="center"/>
                </w:tcPr>
                <w:p w14:paraId="44717DF1">
                  <w:pPr>
                    <w:tabs>
                      <w:tab w:val="left" w:pos="1021"/>
                    </w:tabs>
                    <w:snapToGrid w:val="0"/>
                    <w:jc w:val="center"/>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给水</w:t>
                  </w:r>
                </w:p>
              </w:tc>
              <w:tc>
                <w:tcPr>
                  <w:tcW w:w="2000" w:type="pct"/>
                  <w:noWrap w:val="0"/>
                  <w:vAlign w:val="center"/>
                </w:tcPr>
                <w:p w14:paraId="18BB1297">
                  <w:pPr>
                    <w:pStyle w:val="162"/>
                    <w:snapToGrid w:val="0"/>
                    <w:ind w:firstLine="0" w:firstLineChars="0"/>
                    <w:jc w:val="both"/>
                    <w:rPr>
                      <w:rFonts w:hint="default" w:ascii="Times New Roman" w:hAnsi="Times New Roman" w:cs="Times New Roman"/>
                      <w:bCs/>
                      <w:color w:val="auto"/>
                      <w:szCs w:val="21"/>
                      <w:u w:val="single"/>
                    </w:rPr>
                  </w:pPr>
                  <w:r>
                    <w:rPr>
                      <w:rFonts w:hint="default" w:ascii="Times New Roman" w:hAnsi="Times New Roman" w:cs="Times New Roman"/>
                      <w:color w:val="auto"/>
                      <w:szCs w:val="21"/>
                      <w:u w:val="single"/>
                    </w:rPr>
                    <w:t>生活、生产用水来自厂区自掘地下水水井</w:t>
                  </w:r>
                </w:p>
              </w:tc>
              <w:tc>
                <w:tcPr>
                  <w:tcW w:w="1128" w:type="pct"/>
                  <w:noWrap w:val="0"/>
                  <w:vAlign w:val="center"/>
                </w:tcPr>
                <w:p w14:paraId="67710793">
                  <w:pPr>
                    <w:snapToGrid w:val="0"/>
                    <w:ind w:firstLine="0" w:firstLineChars="0"/>
                    <w:jc w:val="center"/>
                    <w:rPr>
                      <w:rFonts w:hint="default" w:ascii="Times New Roman" w:hAnsi="Times New Roman" w:cs="Times New Roman"/>
                      <w:color w:val="auto"/>
                      <w:szCs w:val="21"/>
                      <w:u w:val="single"/>
                    </w:rPr>
                  </w:pPr>
                  <w:r>
                    <w:rPr>
                      <w:rFonts w:hint="eastAsia" w:ascii="Times New Roman" w:hAnsi="Times New Roman" w:cs="Times New Roman"/>
                      <w:color w:val="auto"/>
                      <w:u w:val="single"/>
                      <w:lang w:eastAsia="zh-CN"/>
                    </w:rPr>
                    <w:t>与改扩建前一致</w:t>
                  </w:r>
                </w:p>
              </w:tc>
              <w:tc>
                <w:tcPr>
                  <w:tcW w:w="590" w:type="pct"/>
                  <w:noWrap w:val="0"/>
                  <w:vAlign w:val="center"/>
                </w:tcPr>
                <w:p w14:paraId="66E19113">
                  <w:pPr>
                    <w:snapToGrid w:val="0"/>
                    <w:jc w:val="center"/>
                    <w:rPr>
                      <w:rFonts w:hint="default" w:ascii="Times New Roman" w:hAnsi="Times New Roman" w:cs="Times New Roman"/>
                      <w:bCs/>
                      <w:color w:val="auto"/>
                      <w:szCs w:val="21"/>
                      <w:u w:val="single"/>
                    </w:rPr>
                  </w:pPr>
                  <w:r>
                    <w:rPr>
                      <w:rFonts w:hint="eastAsia" w:ascii="Times New Roman" w:hAnsi="Times New Roman" w:cs="Times New Roman"/>
                      <w:bCs/>
                      <w:color w:val="auto"/>
                      <w:szCs w:val="21"/>
                      <w:u w:val="single"/>
                      <w:lang w:val="en-US" w:eastAsia="zh-CN"/>
                    </w:rPr>
                    <w:t>依托现有</w:t>
                  </w:r>
                </w:p>
              </w:tc>
            </w:tr>
            <w:tr w14:paraId="6A92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20" w:hRule="atLeast"/>
                <w:jc w:val="center"/>
              </w:trPr>
              <w:tc>
                <w:tcPr>
                  <w:tcW w:w="593" w:type="pct"/>
                  <w:vMerge w:val="continue"/>
                  <w:noWrap w:val="0"/>
                  <w:vAlign w:val="center"/>
                </w:tcPr>
                <w:p w14:paraId="539234AB">
                  <w:pPr>
                    <w:pStyle w:val="162"/>
                    <w:snapToGrid w:val="0"/>
                    <w:ind w:firstLine="0" w:firstLineChars="0"/>
                    <w:jc w:val="center"/>
                    <w:rPr>
                      <w:rFonts w:hint="default" w:ascii="Times New Roman" w:hAnsi="Times New Roman" w:cs="Times New Roman"/>
                      <w:bCs/>
                      <w:color w:val="auto"/>
                      <w:szCs w:val="21"/>
                      <w:u w:val="single"/>
                    </w:rPr>
                  </w:pPr>
                </w:p>
              </w:tc>
              <w:tc>
                <w:tcPr>
                  <w:tcW w:w="687" w:type="pct"/>
                  <w:noWrap w:val="0"/>
                  <w:vAlign w:val="center"/>
                </w:tcPr>
                <w:p w14:paraId="4DD580E2">
                  <w:pPr>
                    <w:pStyle w:val="162"/>
                    <w:snapToGrid w:val="0"/>
                    <w:ind w:firstLine="0" w:firstLineChars="0"/>
                    <w:jc w:val="center"/>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排水</w:t>
                  </w:r>
                </w:p>
              </w:tc>
              <w:tc>
                <w:tcPr>
                  <w:tcW w:w="2000" w:type="pct"/>
                  <w:noWrap w:val="0"/>
                  <w:vAlign w:val="center"/>
                </w:tcPr>
                <w:p w14:paraId="77E5C567">
                  <w:pPr>
                    <w:snapToGrid w:val="0"/>
                    <w:jc w:val="both"/>
                    <w:rPr>
                      <w:rFonts w:hint="default" w:ascii="Times New Roman" w:hAnsi="Times New Roman" w:eastAsia="宋体" w:cs="Times New Roman"/>
                      <w:bCs/>
                      <w:color w:val="auto"/>
                      <w:szCs w:val="21"/>
                      <w:u w:val="single"/>
                      <w:lang w:eastAsia="zh-CN"/>
                    </w:rPr>
                  </w:pPr>
                  <w:r>
                    <w:rPr>
                      <w:rFonts w:hint="default" w:ascii="Times New Roman" w:hAnsi="Times New Roman" w:cs="Times New Roman"/>
                      <w:bCs/>
                      <w:color w:val="auto"/>
                      <w:szCs w:val="21"/>
                      <w:u w:val="single"/>
                    </w:rPr>
                    <w:t>生活污水经过厂区化粪池处理后，</w:t>
                  </w:r>
                  <w:r>
                    <w:rPr>
                      <w:rFonts w:hint="default" w:ascii="Times New Roman" w:hAnsi="Times New Roman" w:cs="Times New Roman"/>
                      <w:color w:val="auto"/>
                      <w:szCs w:val="21"/>
                      <w:u w:val="single"/>
                    </w:rPr>
                    <w:t>用于绿地浇灌</w:t>
                  </w:r>
                  <w:r>
                    <w:rPr>
                      <w:rFonts w:hint="default" w:ascii="Times New Roman" w:hAnsi="Times New Roman" w:cs="Times New Roman"/>
                      <w:bCs/>
                      <w:color w:val="auto"/>
                      <w:szCs w:val="21"/>
                      <w:u w:val="single"/>
                    </w:rPr>
                    <w:t>；蒸汽养护过程产生的</w:t>
                  </w:r>
                  <w:r>
                    <w:rPr>
                      <w:rFonts w:hint="default" w:ascii="Times New Roman" w:hAnsi="Times New Roman" w:cs="Times New Roman"/>
                      <w:color w:val="auto"/>
                      <w:spacing w:val="6"/>
                      <w:szCs w:val="21"/>
                      <w:u w:val="single"/>
                    </w:rPr>
                    <w:t>冷凝水、设备清洗废水</w:t>
                  </w:r>
                  <w:r>
                    <w:rPr>
                      <w:rFonts w:hint="default" w:ascii="Times New Roman" w:hAnsi="Times New Roman" w:cs="Times New Roman"/>
                      <w:bCs/>
                      <w:color w:val="auto"/>
                      <w:szCs w:val="21"/>
                      <w:u w:val="single"/>
                    </w:rPr>
                    <w:t>和初期雨水经过沉淀池处理后，全部回用于生产过程，不外排</w:t>
                  </w:r>
                </w:p>
              </w:tc>
              <w:tc>
                <w:tcPr>
                  <w:tcW w:w="1128" w:type="pct"/>
                  <w:noWrap w:val="0"/>
                  <w:vAlign w:val="center"/>
                </w:tcPr>
                <w:p w14:paraId="2C7C3804">
                  <w:pPr>
                    <w:snapToGrid w:val="0"/>
                    <w:jc w:val="center"/>
                    <w:rPr>
                      <w:rFonts w:hint="default" w:ascii="Times New Roman" w:hAnsi="Times New Roman" w:cs="Times New Roman"/>
                      <w:bCs/>
                      <w:color w:val="auto"/>
                      <w:szCs w:val="21"/>
                      <w:u w:val="single"/>
                    </w:rPr>
                  </w:pPr>
                  <w:r>
                    <w:rPr>
                      <w:rFonts w:hint="eastAsia" w:ascii="Times New Roman" w:hAnsi="Times New Roman" w:cs="Times New Roman"/>
                      <w:color w:val="auto"/>
                      <w:u w:val="single"/>
                      <w:lang w:eastAsia="zh-CN"/>
                    </w:rPr>
                    <w:t>与改扩建前一致</w:t>
                  </w:r>
                </w:p>
              </w:tc>
              <w:tc>
                <w:tcPr>
                  <w:tcW w:w="590" w:type="pct"/>
                  <w:noWrap w:val="0"/>
                  <w:vAlign w:val="center"/>
                </w:tcPr>
                <w:p w14:paraId="3045608E">
                  <w:pPr>
                    <w:snapToGrid w:val="0"/>
                    <w:jc w:val="center"/>
                    <w:rPr>
                      <w:rFonts w:hint="default" w:ascii="Times New Roman" w:hAnsi="Times New Roman" w:cs="Times New Roman"/>
                      <w:bCs/>
                      <w:color w:val="auto"/>
                      <w:szCs w:val="21"/>
                      <w:u w:val="single"/>
                    </w:rPr>
                  </w:pPr>
                  <w:r>
                    <w:rPr>
                      <w:rFonts w:hint="eastAsia" w:ascii="Times New Roman" w:hAnsi="Times New Roman" w:cs="Times New Roman"/>
                      <w:bCs/>
                      <w:color w:val="auto"/>
                      <w:szCs w:val="21"/>
                      <w:u w:val="single"/>
                      <w:lang w:val="en-US" w:eastAsia="zh-CN"/>
                    </w:rPr>
                    <w:t>依托现有</w:t>
                  </w:r>
                </w:p>
              </w:tc>
            </w:tr>
            <w:tr w14:paraId="0C6BB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93" w:type="pct"/>
                  <w:vMerge w:val="continue"/>
                  <w:noWrap w:val="0"/>
                  <w:vAlign w:val="center"/>
                </w:tcPr>
                <w:p w14:paraId="2117C557">
                  <w:pPr>
                    <w:pStyle w:val="162"/>
                    <w:snapToGrid w:val="0"/>
                    <w:ind w:firstLine="0" w:firstLineChars="0"/>
                    <w:jc w:val="center"/>
                    <w:rPr>
                      <w:rFonts w:hint="default" w:ascii="Times New Roman" w:hAnsi="Times New Roman" w:cs="Times New Roman"/>
                      <w:bCs/>
                      <w:color w:val="auto"/>
                      <w:szCs w:val="21"/>
                      <w:u w:val="single"/>
                    </w:rPr>
                  </w:pPr>
                </w:p>
              </w:tc>
              <w:tc>
                <w:tcPr>
                  <w:tcW w:w="687" w:type="pct"/>
                  <w:noWrap w:val="0"/>
                  <w:vAlign w:val="center"/>
                </w:tcPr>
                <w:p w14:paraId="425AD55A">
                  <w:pPr>
                    <w:pStyle w:val="162"/>
                    <w:snapToGrid w:val="0"/>
                    <w:ind w:firstLine="0" w:firstLineChars="0"/>
                    <w:jc w:val="center"/>
                    <w:rPr>
                      <w:rFonts w:hint="default" w:ascii="Times New Roman" w:hAnsi="Times New Roman" w:cs="Times New Roman"/>
                      <w:bCs/>
                      <w:color w:val="auto"/>
                      <w:szCs w:val="21"/>
                      <w:u w:val="single"/>
                    </w:rPr>
                  </w:pPr>
                  <w:r>
                    <w:rPr>
                      <w:rFonts w:hint="default" w:ascii="Times New Roman" w:hAnsi="Times New Roman" w:cs="Times New Roman"/>
                      <w:bCs/>
                      <w:color w:val="auto"/>
                      <w:szCs w:val="21"/>
                      <w:u w:val="single"/>
                    </w:rPr>
                    <w:t>供电</w:t>
                  </w:r>
                </w:p>
              </w:tc>
              <w:tc>
                <w:tcPr>
                  <w:tcW w:w="2000" w:type="pct"/>
                  <w:noWrap w:val="0"/>
                  <w:vAlign w:val="center"/>
                </w:tcPr>
                <w:p w14:paraId="0F8490A4">
                  <w:pPr>
                    <w:snapToGrid w:val="0"/>
                    <w:jc w:val="center"/>
                    <w:rPr>
                      <w:rFonts w:hint="default" w:ascii="Times New Roman" w:hAnsi="Times New Roman" w:eastAsia="宋体" w:cs="Times New Roman"/>
                      <w:bCs/>
                      <w:color w:val="auto"/>
                      <w:szCs w:val="21"/>
                      <w:u w:val="single"/>
                      <w:lang w:eastAsia="zh-CN"/>
                    </w:rPr>
                  </w:pPr>
                  <w:r>
                    <w:rPr>
                      <w:rFonts w:hint="default" w:ascii="Times New Roman" w:hAnsi="Times New Roman" w:cs="Times New Roman"/>
                      <w:color w:val="auto"/>
                      <w:szCs w:val="21"/>
                      <w:u w:val="single"/>
                      <w:lang w:eastAsia="zh-CN"/>
                    </w:rPr>
                    <w:t>当地电网</w:t>
                  </w:r>
                </w:p>
              </w:tc>
              <w:tc>
                <w:tcPr>
                  <w:tcW w:w="1128" w:type="pct"/>
                  <w:noWrap w:val="0"/>
                  <w:vAlign w:val="center"/>
                </w:tcPr>
                <w:p w14:paraId="1120D5E4">
                  <w:pPr>
                    <w:snapToGrid w:val="0"/>
                    <w:jc w:val="center"/>
                    <w:rPr>
                      <w:rFonts w:hint="default" w:ascii="Times New Roman" w:hAnsi="Times New Roman" w:cs="Times New Roman"/>
                      <w:color w:val="auto"/>
                      <w:szCs w:val="21"/>
                      <w:u w:val="single"/>
                      <w:lang w:eastAsia="zh-CN"/>
                    </w:rPr>
                  </w:pPr>
                  <w:r>
                    <w:rPr>
                      <w:rFonts w:hint="eastAsia" w:ascii="Times New Roman" w:hAnsi="Times New Roman" w:cs="Times New Roman"/>
                      <w:color w:val="auto"/>
                      <w:u w:val="single"/>
                      <w:lang w:eastAsia="zh-CN"/>
                    </w:rPr>
                    <w:t>与改扩建前一致</w:t>
                  </w:r>
                </w:p>
              </w:tc>
              <w:tc>
                <w:tcPr>
                  <w:tcW w:w="590" w:type="pct"/>
                  <w:noWrap w:val="0"/>
                  <w:vAlign w:val="center"/>
                </w:tcPr>
                <w:p w14:paraId="1098F87E">
                  <w:pPr>
                    <w:snapToGrid w:val="0"/>
                    <w:jc w:val="center"/>
                    <w:rPr>
                      <w:rFonts w:hint="default" w:ascii="Times New Roman" w:hAnsi="Times New Roman" w:cs="Times New Roman"/>
                      <w:bCs/>
                      <w:color w:val="auto"/>
                      <w:szCs w:val="21"/>
                      <w:u w:val="single"/>
                    </w:rPr>
                  </w:pPr>
                  <w:r>
                    <w:rPr>
                      <w:rFonts w:hint="eastAsia" w:ascii="Times New Roman" w:hAnsi="Times New Roman" w:cs="Times New Roman"/>
                      <w:bCs/>
                      <w:color w:val="auto"/>
                      <w:szCs w:val="21"/>
                      <w:u w:val="single"/>
                      <w:lang w:val="en-US" w:eastAsia="zh-CN"/>
                    </w:rPr>
                    <w:t>依托现有</w:t>
                  </w:r>
                </w:p>
              </w:tc>
            </w:tr>
          </w:tbl>
          <w:p w14:paraId="65D717A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u w:val="single"/>
                <w:lang w:val="en-US" w:eastAsia="zh-CN"/>
              </w:rPr>
            </w:pPr>
            <w:r>
              <w:rPr>
                <w:rFonts w:hint="default" w:ascii="Times New Roman" w:hAnsi="Times New Roman" w:eastAsia="宋体" w:cs="Times New Roman"/>
                <w:b/>
                <w:color w:val="auto"/>
                <w:sz w:val="24"/>
                <w:szCs w:val="24"/>
                <w:u w:val="single"/>
                <w:lang w:val="en-US" w:eastAsia="zh-CN"/>
              </w:rPr>
              <w:t>2.</w:t>
            </w:r>
            <w:r>
              <w:rPr>
                <w:rFonts w:hint="default" w:ascii="Times New Roman" w:hAnsi="Times New Roman" w:cs="Times New Roman"/>
                <w:b/>
                <w:color w:val="auto"/>
                <w:sz w:val="24"/>
                <w:szCs w:val="24"/>
                <w:u w:val="single"/>
                <w:lang w:val="en-US" w:eastAsia="zh-CN"/>
              </w:rPr>
              <w:t>3</w:t>
            </w:r>
            <w:r>
              <w:rPr>
                <w:rFonts w:hint="default" w:ascii="Times New Roman" w:hAnsi="Times New Roman" w:eastAsia="宋体" w:cs="Times New Roman"/>
                <w:b/>
                <w:color w:val="auto"/>
                <w:sz w:val="24"/>
                <w:szCs w:val="24"/>
                <w:u w:val="single"/>
                <w:lang w:val="en-US" w:eastAsia="zh-CN"/>
              </w:rPr>
              <w:t>产品方案</w:t>
            </w:r>
          </w:p>
          <w:p w14:paraId="0036AB3E">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textAlignment w:val="auto"/>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本项目改扩建前产能设计规模为1万根</w:t>
            </w:r>
            <w:r>
              <w:rPr>
                <w:rFonts w:hint="default" w:ascii="Times New Roman" w:hAnsi="Times New Roman" w:cs="Times New Roman"/>
                <w:sz w:val="24"/>
                <w:szCs w:val="24"/>
                <w:u w:val="single"/>
                <w:lang w:eastAsia="zh-CN"/>
              </w:rPr>
              <w:t>水泥电杆</w:t>
            </w:r>
            <w:r>
              <w:rPr>
                <w:rFonts w:hint="eastAsia" w:ascii="Times New Roman" w:hAnsi="Times New Roman" w:cs="Times New Roman"/>
                <w:color w:val="auto"/>
                <w:u w:val="single"/>
                <w:lang w:val="en-US" w:eastAsia="zh-CN"/>
              </w:rPr>
              <w:t>，改扩建后产能设计规模为2万根</w:t>
            </w:r>
            <w:r>
              <w:rPr>
                <w:rFonts w:hint="default" w:ascii="Times New Roman" w:hAnsi="Times New Roman" w:cs="Times New Roman"/>
                <w:sz w:val="24"/>
                <w:szCs w:val="24"/>
                <w:u w:val="single"/>
                <w:lang w:eastAsia="zh-CN"/>
              </w:rPr>
              <w:t>水泥电杆</w:t>
            </w:r>
            <w:r>
              <w:rPr>
                <w:rFonts w:hint="eastAsia" w:ascii="Times New Roman" w:hAnsi="Times New Roman" w:cs="Times New Roman"/>
                <w:sz w:val="24"/>
                <w:szCs w:val="24"/>
                <w:u w:val="single"/>
                <w:lang w:eastAsia="zh-CN"/>
              </w:rPr>
              <w:t>，</w:t>
            </w:r>
            <w:r>
              <w:rPr>
                <w:rFonts w:hint="default" w:ascii="Times New Roman" w:hAnsi="Times New Roman" w:eastAsia="宋体" w:cs="Times New Roman"/>
                <w:color w:val="auto"/>
                <w:u w:val="single"/>
                <w:lang w:val="en-US" w:eastAsia="zh-CN"/>
              </w:rPr>
              <w:t>项目主要的产品方案见表2.1-3。</w:t>
            </w:r>
          </w:p>
          <w:p w14:paraId="0E7F61D5">
            <w:pPr>
              <w:pStyle w:val="161"/>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lang w:val="en-US" w:eastAsia="zh-CN"/>
              </w:rPr>
              <w:t>表2.1-3  项目主要产品方案一览表</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068"/>
              <w:gridCol w:w="2236"/>
              <w:gridCol w:w="1214"/>
              <w:gridCol w:w="1214"/>
              <w:gridCol w:w="1214"/>
              <w:gridCol w:w="1214"/>
            </w:tblGrid>
            <w:tr w14:paraId="59F7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shd w:val="clear" w:color="auto" w:fill="auto"/>
                  <w:vAlign w:val="center"/>
                </w:tcPr>
                <w:p w14:paraId="1193F4B8">
                  <w:pPr>
                    <w:pStyle w:val="159"/>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序号</w:t>
                  </w:r>
                </w:p>
              </w:tc>
              <w:tc>
                <w:tcPr>
                  <w:tcW w:w="1068" w:type="dxa"/>
                  <w:shd w:val="clear" w:color="auto" w:fill="auto"/>
                  <w:vAlign w:val="center"/>
                </w:tcPr>
                <w:p w14:paraId="2A139925">
                  <w:pPr>
                    <w:pStyle w:val="159"/>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产品名称</w:t>
                  </w:r>
                </w:p>
              </w:tc>
              <w:tc>
                <w:tcPr>
                  <w:tcW w:w="2236" w:type="dxa"/>
                  <w:shd w:val="clear" w:color="auto" w:fill="auto"/>
                  <w:vAlign w:val="center"/>
                </w:tcPr>
                <w:p w14:paraId="7176B21C">
                  <w:pPr>
                    <w:pStyle w:val="159"/>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规格</w:t>
                  </w:r>
                </w:p>
              </w:tc>
              <w:tc>
                <w:tcPr>
                  <w:tcW w:w="1214" w:type="dxa"/>
                  <w:shd w:val="clear" w:color="auto" w:fill="auto"/>
                  <w:vAlign w:val="center"/>
                </w:tcPr>
                <w:p w14:paraId="314A07AB">
                  <w:pPr>
                    <w:pStyle w:val="159"/>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改扩建前</w:t>
                  </w:r>
                  <w:r>
                    <w:rPr>
                      <w:rFonts w:hint="default" w:ascii="Times New Roman" w:hAnsi="Times New Roman" w:eastAsia="宋体" w:cs="Times New Roman"/>
                      <w:color w:val="auto"/>
                      <w:sz w:val="21"/>
                      <w:szCs w:val="21"/>
                      <w:u w:val="single"/>
                      <w:lang w:val="en-US" w:eastAsia="zh-CN"/>
                    </w:rPr>
                    <w:t>（</w:t>
                  </w:r>
                  <w:r>
                    <w:rPr>
                      <w:rFonts w:hint="eastAsia" w:ascii="Times New Roman" w:hAnsi="Times New Roman" w:cs="Times New Roman"/>
                      <w:color w:val="auto"/>
                      <w:sz w:val="21"/>
                      <w:szCs w:val="21"/>
                      <w:u w:val="single"/>
                      <w:lang w:val="en-US" w:eastAsia="zh-CN"/>
                    </w:rPr>
                    <w:t>根</w:t>
                  </w:r>
                  <w:r>
                    <w:rPr>
                      <w:rFonts w:hint="default" w:ascii="Times New Roman" w:hAnsi="Times New Roman" w:eastAsia="宋体" w:cs="Times New Roman"/>
                      <w:color w:val="auto"/>
                      <w:sz w:val="21"/>
                      <w:szCs w:val="21"/>
                      <w:u w:val="single"/>
                      <w:lang w:val="en-US" w:eastAsia="zh-CN"/>
                    </w:rPr>
                    <w:t>）</w:t>
                  </w:r>
                </w:p>
              </w:tc>
              <w:tc>
                <w:tcPr>
                  <w:tcW w:w="1214" w:type="dxa"/>
                  <w:shd w:val="clear" w:color="auto" w:fill="auto"/>
                  <w:vAlign w:val="center"/>
                </w:tcPr>
                <w:p w14:paraId="56D0C5BC">
                  <w:pPr>
                    <w:pStyle w:val="159"/>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改扩建后</w:t>
                  </w:r>
                  <w:r>
                    <w:rPr>
                      <w:rFonts w:hint="default" w:ascii="Times New Roman" w:hAnsi="Times New Roman" w:eastAsia="宋体" w:cs="Times New Roman"/>
                      <w:color w:val="auto"/>
                      <w:sz w:val="21"/>
                      <w:szCs w:val="21"/>
                      <w:u w:val="single"/>
                      <w:lang w:val="en-US" w:eastAsia="zh-CN"/>
                    </w:rPr>
                    <w:t>（</w:t>
                  </w:r>
                  <w:r>
                    <w:rPr>
                      <w:rFonts w:hint="eastAsia" w:ascii="Times New Roman" w:hAnsi="Times New Roman" w:cs="Times New Roman"/>
                      <w:color w:val="auto"/>
                      <w:sz w:val="21"/>
                      <w:szCs w:val="21"/>
                      <w:u w:val="single"/>
                      <w:lang w:val="en-US" w:eastAsia="zh-CN"/>
                    </w:rPr>
                    <w:t>根</w:t>
                  </w:r>
                  <w:r>
                    <w:rPr>
                      <w:rFonts w:hint="default" w:ascii="Times New Roman" w:hAnsi="Times New Roman" w:eastAsia="宋体" w:cs="Times New Roman"/>
                      <w:color w:val="auto"/>
                      <w:sz w:val="21"/>
                      <w:szCs w:val="21"/>
                      <w:u w:val="single"/>
                      <w:lang w:val="en-US" w:eastAsia="zh-CN"/>
                    </w:rPr>
                    <w:t>）</w:t>
                  </w:r>
                </w:p>
              </w:tc>
              <w:tc>
                <w:tcPr>
                  <w:tcW w:w="1214" w:type="dxa"/>
                  <w:shd w:val="clear" w:color="auto" w:fill="auto"/>
                  <w:vAlign w:val="center"/>
                </w:tcPr>
                <w:p w14:paraId="332E2ADE">
                  <w:pPr>
                    <w:pStyle w:val="159"/>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变化量</w:t>
                  </w:r>
                  <w:r>
                    <w:rPr>
                      <w:rFonts w:hint="default" w:ascii="Times New Roman" w:hAnsi="Times New Roman" w:eastAsia="宋体" w:cs="Times New Roman"/>
                      <w:color w:val="auto"/>
                      <w:sz w:val="21"/>
                      <w:szCs w:val="21"/>
                      <w:u w:val="single"/>
                      <w:lang w:val="en-US" w:eastAsia="zh-CN"/>
                    </w:rPr>
                    <w:t>（</w:t>
                  </w:r>
                  <w:r>
                    <w:rPr>
                      <w:rFonts w:hint="eastAsia" w:ascii="Times New Roman" w:hAnsi="Times New Roman" w:cs="Times New Roman"/>
                      <w:color w:val="auto"/>
                      <w:sz w:val="21"/>
                      <w:szCs w:val="21"/>
                      <w:u w:val="single"/>
                      <w:lang w:val="en-US" w:eastAsia="zh-CN"/>
                    </w:rPr>
                    <w:t>根</w:t>
                  </w:r>
                  <w:r>
                    <w:rPr>
                      <w:rFonts w:hint="default" w:ascii="Times New Roman" w:hAnsi="Times New Roman" w:eastAsia="宋体" w:cs="Times New Roman"/>
                      <w:color w:val="auto"/>
                      <w:sz w:val="21"/>
                      <w:szCs w:val="21"/>
                      <w:u w:val="single"/>
                      <w:lang w:val="en-US" w:eastAsia="zh-CN"/>
                    </w:rPr>
                    <w:t>）</w:t>
                  </w:r>
                </w:p>
              </w:tc>
              <w:tc>
                <w:tcPr>
                  <w:tcW w:w="1214" w:type="dxa"/>
                  <w:shd w:val="clear" w:color="auto" w:fill="auto"/>
                  <w:vAlign w:val="center"/>
                </w:tcPr>
                <w:p w14:paraId="621FC116">
                  <w:pPr>
                    <w:pStyle w:val="159"/>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重量</w:t>
                  </w:r>
                </w:p>
              </w:tc>
            </w:tr>
            <w:tr w14:paraId="57FB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shd w:val="clear" w:color="auto" w:fill="auto"/>
                  <w:vAlign w:val="center"/>
                </w:tcPr>
                <w:p w14:paraId="19820F71">
                  <w:pPr>
                    <w:pStyle w:val="159"/>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1</w:t>
                  </w:r>
                </w:p>
              </w:tc>
              <w:tc>
                <w:tcPr>
                  <w:tcW w:w="1068" w:type="dxa"/>
                  <w:shd w:val="clear" w:color="auto" w:fill="auto"/>
                  <w:vAlign w:val="center"/>
                </w:tcPr>
                <w:p w14:paraId="2059F60B">
                  <w:pPr>
                    <w:pStyle w:val="159"/>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电线电杆</w:t>
                  </w:r>
                </w:p>
              </w:tc>
              <w:tc>
                <w:tcPr>
                  <w:tcW w:w="2236" w:type="dxa"/>
                  <w:shd w:val="clear" w:color="auto" w:fill="auto"/>
                  <w:vAlign w:val="center"/>
                </w:tcPr>
                <w:p w14:paraId="27C5F9E2">
                  <w:pPr>
                    <w:pStyle w:val="159"/>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190—10m</w:t>
                  </w:r>
                  <w:r>
                    <w:rPr>
                      <w:rFonts w:hint="eastAsia" w:ascii="Times New Roman" w:hAnsi="Times New Roman"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val="en-US" w:eastAsia="zh-CN"/>
                    </w:rPr>
                    <w:t>190—12m</w:t>
                  </w:r>
                  <w:r>
                    <w:rPr>
                      <w:rFonts w:hint="eastAsia" w:ascii="Times New Roman" w:hAnsi="Times New Roman"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val="en-US" w:eastAsia="zh-CN"/>
                    </w:rPr>
                    <w:t>190—15m</w:t>
                  </w:r>
                  <w:r>
                    <w:rPr>
                      <w:rFonts w:hint="eastAsia" w:ascii="Times New Roman" w:hAnsi="Times New Roman" w:cs="Times New Roman"/>
                      <w:color w:val="auto"/>
                      <w:sz w:val="21"/>
                      <w:szCs w:val="21"/>
                      <w:u w:val="single"/>
                      <w:lang w:val="en-US" w:eastAsia="zh-CN"/>
                    </w:rPr>
                    <w:t>、</w:t>
                  </w:r>
                  <w:r>
                    <w:rPr>
                      <w:rFonts w:hint="default" w:ascii="Times New Roman" w:hAnsi="Times New Roman" w:eastAsia="宋体" w:cs="Times New Roman"/>
                      <w:color w:val="auto"/>
                      <w:sz w:val="21"/>
                      <w:szCs w:val="21"/>
                      <w:u w:val="single"/>
                      <w:lang w:val="en-US" w:eastAsia="zh-CN"/>
                    </w:rPr>
                    <w:t>150—8m</w:t>
                  </w:r>
                </w:p>
              </w:tc>
              <w:tc>
                <w:tcPr>
                  <w:tcW w:w="1214" w:type="dxa"/>
                  <w:shd w:val="clear" w:color="auto" w:fill="auto"/>
                  <w:vAlign w:val="center"/>
                </w:tcPr>
                <w:p w14:paraId="09AD9538">
                  <w:pPr>
                    <w:pStyle w:val="159"/>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10000</w:t>
                  </w:r>
                </w:p>
              </w:tc>
              <w:tc>
                <w:tcPr>
                  <w:tcW w:w="1214" w:type="dxa"/>
                  <w:shd w:val="clear" w:color="auto" w:fill="auto"/>
                  <w:vAlign w:val="center"/>
                </w:tcPr>
                <w:p w14:paraId="0973E8EE">
                  <w:pPr>
                    <w:pStyle w:val="159"/>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20000</w:t>
                  </w:r>
                </w:p>
              </w:tc>
              <w:tc>
                <w:tcPr>
                  <w:tcW w:w="1214" w:type="dxa"/>
                  <w:shd w:val="clear" w:color="auto" w:fill="auto"/>
                  <w:vAlign w:val="center"/>
                </w:tcPr>
                <w:p w14:paraId="0C8053E6">
                  <w:pPr>
                    <w:pStyle w:val="159"/>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+10000</w:t>
                  </w:r>
                </w:p>
              </w:tc>
              <w:tc>
                <w:tcPr>
                  <w:tcW w:w="1214" w:type="dxa"/>
                  <w:shd w:val="clear" w:color="auto" w:fill="auto"/>
                  <w:vAlign w:val="center"/>
                </w:tcPr>
                <w:p w14:paraId="4404C7BD">
                  <w:pPr>
                    <w:pStyle w:val="159"/>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408kg/根</w:t>
                  </w:r>
                </w:p>
              </w:tc>
            </w:tr>
          </w:tbl>
          <w:p w14:paraId="0523FB9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b/>
                <w:color w:val="auto"/>
                <w:sz w:val="24"/>
                <w:szCs w:val="24"/>
                <w:u w:val="none"/>
                <w:lang w:val="en-US" w:eastAsia="zh-CN"/>
              </w:rPr>
            </w:pPr>
          </w:p>
          <w:p w14:paraId="2591E21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b/>
                <w:color w:val="auto"/>
                <w:sz w:val="24"/>
                <w:szCs w:val="24"/>
                <w:u w:val="none"/>
                <w:lang w:val="en-US" w:eastAsia="zh-CN"/>
              </w:rPr>
            </w:pPr>
          </w:p>
          <w:p w14:paraId="6D2330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 w:val="24"/>
                <w:szCs w:val="24"/>
                <w:u w:val="none"/>
                <w:lang w:val="en-US" w:eastAsia="zh-CN"/>
              </w:rPr>
            </w:pPr>
            <w:r>
              <w:rPr>
                <w:rFonts w:hint="eastAsia" w:ascii="Times New Roman" w:hAnsi="Times New Roman" w:cs="Times New Roman"/>
                <w:b/>
                <w:color w:val="auto"/>
                <w:sz w:val="24"/>
                <w:szCs w:val="24"/>
                <w:u w:val="none"/>
                <w:lang w:val="en-US" w:eastAsia="zh-CN"/>
              </w:rPr>
              <w:t>表2.1-4 物料平衡表</w:t>
            </w:r>
          </w:p>
          <w:tbl>
            <w:tblPr>
              <w:tblStyle w:val="39"/>
              <w:tblW w:w="88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5"/>
              <w:gridCol w:w="1844"/>
              <w:gridCol w:w="1698"/>
              <w:gridCol w:w="1051"/>
              <w:gridCol w:w="2390"/>
              <w:gridCol w:w="1153"/>
            </w:tblGrid>
            <w:tr w14:paraId="04BE7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4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E50C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val="en-US" w:eastAsia="zh-CN"/>
                    </w:rPr>
                    <w:t>序号</w:t>
                  </w:r>
                </w:p>
              </w:tc>
              <w:tc>
                <w:tcPr>
                  <w:tcW w:w="199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1997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val="en-US" w:eastAsia="zh-CN"/>
                    </w:rPr>
                    <w:t>投入物料（t/a）</w:t>
                  </w:r>
                </w:p>
              </w:tc>
              <w:tc>
                <w:tcPr>
                  <w:tcW w:w="258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C05D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val="en-US" w:eastAsia="zh-CN"/>
                    </w:rPr>
                    <w:t>产出物料（t/a）</w:t>
                  </w:r>
                </w:p>
              </w:tc>
            </w:tr>
            <w:tr w14:paraId="4AC88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E26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BB1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val="en-US" w:eastAsia="zh-CN"/>
                    </w:rPr>
                    <w:t>原料名称</w:t>
                  </w:r>
                </w:p>
              </w:tc>
              <w:tc>
                <w:tcPr>
                  <w:tcW w:w="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5EE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val="en-US" w:eastAsia="zh-CN"/>
                    </w:rPr>
                    <w:t>数量/t</w:t>
                  </w:r>
                </w:p>
              </w:tc>
              <w:tc>
                <w:tcPr>
                  <w:tcW w:w="193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8CA6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val="en-US" w:eastAsia="zh-CN"/>
                    </w:rPr>
                    <w:t>项目</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8B7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val="en-US" w:eastAsia="zh-CN"/>
                    </w:rPr>
                    <w:t>数量/t</w:t>
                  </w:r>
                </w:p>
              </w:tc>
            </w:tr>
            <w:tr w14:paraId="2A112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780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val="en-US" w:eastAsia="zh-CN"/>
                    </w:rPr>
                    <w:t>1</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F627F">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Cs w:val="21"/>
                      <w:u w:val="single"/>
                    </w:rPr>
                    <w:t>水泥</w:t>
                  </w:r>
                </w:p>
              </w:tc>
              <w:tc>
                <w:tcPr>
                  <w:tcW w:w="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B363A">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kern w:val="0"/>
                      <w:szCs w:val="21"/>
                      <w:u w:val="single"/>
                    </w:rPr>
                    <w:t>128</w:t>
                  </w:r>
                  <w:r>
                    <w:rPr>
                      <w:rFonts w:hint="default" w:ascii="Times New Roman" w:hAnsi="Times New Roman" w:cs="Times New Roman"/>
                      <w:color w:val="auto"/>
                      <w:kern w:val="0"/>
                      <w:szCs w:val="21"/>
                      <w:u w:val="single"/>
                      <w:lang w:val="en-US" w:eastAsia="zh-CN"/>
                    </w:rPr>
                    <w:t>5</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B5D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val="en-US" w:eastAsia="zh-CN"/>
                    </w:rPr>
                    <w:t>产品</w:t>
                  </w:r>
                </w:p>
              </w:tc>
              <w:tc>
                <w:tcPr>
                  <w:tcW w:w="1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6AE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val="en-US" w:eastAsia="zh-CN"/>
                    </w:rPr>
                    <w:t>水泥杆</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656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8160</w:t>
                  </w:r>
                </w:p>
              </w:tc>
            </w:tr>
            <w:tr w14:paraId="6DCA0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A76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val="en-US" w:eastAsia="zh-CN"/>
                    </w:rPr>
                    <w:t>2</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4D6BD">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Cs w:val="21"/>
                      <w:u w:val="single"/>
                    </w:rPr>
                    <w:t>碎石</w:t>
                  </w:r>
                </w:p>
              </w:tc>
              <w:tc>
                <w:tcPr>
                  <w:tcW w:w="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A75B7">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kern w:val="0"/>
                      <w:szCs w:val="21"/>
                      <w:u w:val="single"/>
                    </w:rPr>
                    <w:t>3200</w:t>
                  </w:r>
                </w:p>
              </w:tc>
              <w:tc>
                <w:tcPr>
                  <w:tcW w:w="592" w:type="pct"/>
                  <w:vMerge w:val="restart"/>
                  <w:tcBorders>
                    <w:top w:val="single" w:color="000000" w:sz="4" w:space="0"/>
                    <w:left w:val="single" w:color="000000" w:sz="4" w:space="0"/>
                    <w:right w:val="single" w:color="000000" w:sz="4" w:space="0"/>
                  </w:tcBorders>
                  <w:shd w:val="clear" w:color="auto" w:fill="auto"/>
                  <w:vAlign w:val="center"/>
                </w:tcPr>
                <w:p w14:paraId="5F3319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eastAsia="zh-CN"/>
                    </w:rPr>
                    <w:t>废气</w:t>
                  </w:r>
                </w:p>
              </w:tc>
              <w:tc>
                <w:tcPr>
                  <w:tcW w:w="1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930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val="en-US" w:eastAsia="zh-CN"/>
                    </w:rPr>
                    <w:t>G1堆场扬尘</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208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0.799</w:t>
                  </w:r>
                </w:p>
              </w:tc>
            </w:tr>
            <w:tr w14:paraId="4FBD8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707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val="en-US" w:eastAsia="zh-CN"/>
                    </w:rPr>
                    <w:t>3</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FE6BD">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Cs w:val="21"/>
                      <w:u w:val="single"/>
                    </w:rPr>
                    <w:t>河沙</w:t>
                  </w:r>
                </w:p>
              </w:tc>
              <w:tc>
                <w:tcPr>
                  <w:tcW w:w="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EC960">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kern w:val="0"/>
                      <w:szCs w:val="21"/>
                      <w:u w:val="single"/>
                    </w:rPr>
                    <w:t>2680</w:t>
                  </w:r>
                </w:p>
              </w:tc>
              <w:tc>
                <w:tcPr>
                  <w:tcW w:w="592" w:type="pct"/>
                  <w:vMerge w:val="continue"/>
                  <w:tcBorders>
                    <w:left w:val="single" w:color="000000" w:sz="4" w:space="0"/>
                    <w:right w:val="single" w:color="000000" w:sz="4" w:space="0"/>
                  </w:tcBorders>
                  <w:shd w:val="clear" w:color="auto" w:fill="auto"/>
                  <w:vAlign w:val="center"/>
                </w:tcPr>
                <w:p w14:paraId="740FEE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p>
              </w:tc>
              <w:tc>
                <w:tcPr>
                  <w:tcW w:w="13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30B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val="en-US" w:eastAsia="zh-CN"/>
                    </w:rPr>
                    <w:t>G2筒仓粉尘</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D5B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0.078</w:t>
                  </w:r>
                </w:p>
              </w:tc>
            </w:tr>
            <w:tr w14:paraId="2B130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AA5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val="en-US" w:eastAsia="zh-CN"/>
                    </w:rPr>
                    <w:t>4</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38D3A">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Cs w:val="21"/>
                      <w:u w:val="single"/>
                    </w:rPr>
                    <w:t>钢材</w:t>
                  </w:r>
                </w:p>
              </w:tc>
              <w:tc>
                <w:tcPr>
                  <w:tcW w:w="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F212C">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kern w:val="0"/>
                      <w:szCs w:val="21"/>
                      <w:u w:val="single"/>
                    </w:rPr>
                    <w:t>1000</w:t>
                  </w:r>
                </w:p>
              </w:tc>
              <w:tc>
                <w:tcPr>
                  <w:tcW w:w="592" w:type="pct"/>
                  <w:vMerge w:val="continue"/>
                  <w:tcBorders>
                    <w:left w:val="single" w:color="000000" w:sz="4" w:space="0"/>
                    <w:right w:val="single" w:color="000000" w:sz="4" w:space="0"/>
                  </w:tcBorders>
                  <w:shd w:val="clear" w:color="auto" w:fill="auto"/>
                  <w:vAlign w:val="center"/>
                </w:tcPr>
                <w:p w14:paraId="40C6B5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p>
              </w:tc>
              <w:tc>
                <w:tcPr>
                  <w:tcW w:w="1347" w:type="pct"/>
                  <w:tcBorders>
                    <w:top w:val="single" w:color="000000" w:sz="4" w:space="0"/>
                    <w:left w:val="nil"/>
                    <w:bottom w:val="single" w:color="000000" w:sz="4" w:space="0"/>
                    <w:right w:val="single" w:color="000000" w:sz="4" w:space="0"/>
                  </w:tcBorders>
                  <w:shd w:val="clear" w:color="auto" w:fill="auto"/>
                  <w:noWrap/>
                  <w:vAlign w:val="center"/>
                </w:tcPr>
                <w:p w14:paraId="7DC1BF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G3搅拌粉尘</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C29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0.043</w:t>
                  </w:r>
                </w:p>
              </w:tc>
            </w:tr>
            <w:tr w14:paraId="1BFC9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D4A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5</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053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p>
              </w:tc>
              <w:tc>
                <w:tcPr>
                  <w:tcW w:w="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ACF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p>
              </w:tc>
              <w:tc>
                <w:tcPr>
                  <w:tcW w:w="592" w:type="pct"/>
                  <w:vMerge w:val="restart"/>
                  <w:tcBorders>
                    <w:top w:val="single" w:color="000000" w:sz="4" w:space="0"/>
                    <w:left w:val="single" w:color="000000" w:sz="4" w:space="0"/>
                    <w:right w:val="single" w:color="000000" w:sz="4" w:space="0"/>
                  </w:tcBorders>
                  <w:shd w:val="clear" w:color="auto" w:fill="auto"/>
                  <w:vAlign w:val="center"/>
                </w:tcPr>
                <w:p w14:paraId="4B6121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eastAsia="zh-CN"/>
                    </w:rPr>
                    <w:t>固废</w:t>
                  </w:r>
                </w:p>
              </w:tc>
              <w:tc>
                <w:tcPr>
                  <w:tcW w:w="1347" w:type="pct"/>
                  <w:tcBorders>
                    <w:top w:val="single" w:color="000000" w:sz="4" w:space="0"/>
                    <w:left w:val="nil"/>
                    <w:bottom w:val="single" w:color="000000" w:sz="4" w:space="0"/>
                    <w:right w:val="single" w:color="000000" w:sz="4" w:space="0"/>
                  </w:tcBorders>
                  <w:shd w:val="clear" w:color="auto" w:fill="auto"/>
                  <w:noWrap/>
                  <w:vAlign w:val="center"/>
                </w:tcPr>
                <w:p w14:paraId="43C6AE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S1废边角料</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230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val="en-US" w:eastAsia="zh-CN"/>
                    </w:rPr>
                  </w:pPr>
                  <w:r>
                    <w:rPr>
                      <w:rFonts w:hint="eastAsia" w:ascii="Times New Roman" w:hAnsi="Times New Roman" w:cs="Times New Roman"/>
                      <w:lang w:val="en-US" w:eastAsia="zh-CN"/>
                    </w:rPr>
                    <w:t>2.28</w:t>
                  </w:r>
                </w:p>
              </w:tc>
            </w:tr>
            <w:tr w14:paraId="10EA4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305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6</w:t>
                  </w: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B77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p>
              </w:tc>
              <w:tc>
                <w:tcPr>
                  <w:tcW w:w="9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E1B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p>
              </w:tc>
              <w:tc>
                <w:tcPr>
                  <w:tcW w:w="592" w:type="pct"/>
                  <w:vMerge w:val="continue"/>
                  <w:tcBorders>
                    <w:left w:val="single" w:color="000000" w:sz="4" w:space="0"/>
                    <w:right w:val="single" w:color="000000" w:sz="4" w:space="0"/>
                  </w:tcBorders>
                  <w:shd w:val="clear" w:color="auto" w:fill="auto"/>
                  <w:vAlign w:val="center"/>
                </w:tcPr>
                <w:p w14:paraId="3D6AF0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p>
              </w:tc>
              <w:tc>
                <w:tcPr>
                  <w:tcW w:w="1347" w:type="pct"/>
                  <w:tcBorders>
                    <w:top w:val="single" w:color="000000" w:sz="4" w:space="0"/>
                    <w:left w:val="nil"/>
                    <w:bottom w:val="single" w:color="000000" w:sz="4" w:space="0"/>
                    <w:right w:val="single" w:color="000000" w:sz="4" w:space="0"/>
                  </w:tcBorders>
                  <w:shd w:val="clear" w:color="auto" w:fill="auto"/>
                  <w:noWrap/>
                  <w:vAlign w:val="center"/>
                </w:tcPr>
                <w:p w14:paraId="437739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S2水泥浆</w:t>
                  </w:r>
                </w:p>
              </w:tc>
              <w:tc>
                <w:tcPr>
                  <w:tcW w:w="6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AB8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1.8</w:t>
                  </w:r>
                </w:p>
              </w:tc>
            </w:tr>
            <w:tr w14:paraId="441D0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8FA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p>
              </w:tc>
              <w:tc>
                <w:tcPr>
                  <w:tcW w:w="10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DEF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val="en-US" w:eastAsia="zh-CN"/>
                    </w:rPr>
                    <w:t>合计</w:t>
                  </w:r>
                </w:p>
              </w:tc>
              <w:tc>
                <w:tcPr>
                  <w:tcW w:w="9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4F7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8165</w:t>
                  </w:r>
                </w:p>
              </w:tc>
              <w:tc>
                <w:tcPr>
                  <w:tcW w:w="193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7A43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eastAsia="zh-CN"/>
                    </w:rPr>
                    <w:t>合计</w:t>
                  </w:r>
                </w:p>
              </w:tc>
              <w:tc>
                <w:tcPr>
                  <w:tcW w:w="6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207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cs="Times New Roman"/>
                      <w:lang w:eastAsia="zh-CN"/>
                    </w:rPr>
                  </w:pPr>
                  <w:r>
                    <w:rPr>
                      <w:rFonts w:hint="default" w:ascii="Times New Roman" w:hAnsi="Times New Roman" w:cs="Times New Roman"/>
                      <w:lang w:val="en-US" w:eastAsia="zh-CN"/>
                    </w:rPr>
                    <w:t>8165</w:t>
                  </w:r>
                </w:p>
              </w:tc>
            </w:tr>
          </w:tbl>
          <w:p w14:paraId="741B34B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u w:val="none"/>
                <w:lang w:val="en-US" w:eastAsia="zh-CN"/>
              </w:rPr>
            </w:pPr>
            <w:r>
              <w:rPr>
                <w:rFonts w:hint="default" w:ascii="Times New Roman" w:hAnsi="Times New Roman" w:eastAsia="宋体" w:cs="Times New Roman"/>
                <w:b/>
                <w:color w:val="auto"/>
                <w:sz w:val="24"/>
                <w:szCs w:val="24"/>
                <w:u w:val="none"/>
                <w:lang w:val="en-US" w:eastAsia="zh-CN"/>
              </w:rPr>
              <w:t>2.</w:t>
            </w:r>
            <w:r>
              <w:rPr>
                <w:rFonts w:hint="default" w:ascii="Times New Roman" w:hAnsi="Times New Roman" w:cs="Times New Roman"/>
                <w:b/>
                <w:color w:val="auto"/>
                <w:sz w:val="24"/>
                <w:szCs w:val="24"/>
                <w:u w:val="none"/>
                <w:lang w:val="en-US" w:eastAsia="zh-CN"/>
              </w:rPr>
              <w:t>4</w:t>
            </w:r>
            <w:r>
              <w:rPr>
                <w:rFonts w:hint="default" w:ascii="Times New Roman" w:hAnsi="Times New Roman" w:eastAsia="宋体" w:cs="Times New Roman"/>
                <w:b/>
                <w:color w:val="auto"/>
                <w:sz w:val="24"/>
                <w:szCs w:val="24"/>
                <w:u w:val="none"/>
                <w:lang w:val="en-US" w:eastAsia="zh-CN"/>
              </w:rPr>
              <w:t>主要原辅材料及用量</w:t>
            </w:r>
          </w:p>
          <w:p w14:paraId="66ACFBC1">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eastAsia="宋体" w:cs="Times New Roman"/>
                <w:color w:val="auto"/>
                <w:u w:val="single"/>
                <w:lang w:val="en-US" w:eastAsia="zh-CN"/>
              </w:rPr>
            </w:pPr>
            <w:r>
              <w:rPr>
                <w:rFonts w:hint="eastAsia" w:ascii="Times New Roman" w:hAnsi="Times New Roman" w:cs="Times New Roman"/>
                <w:color w:val="auto"/>
                <w:u w:val="single"/>
                <w:lang w:val="en-US" w:eastAsia="zh-CN"/>
              </w:rPr>
              <w:t>由于项目原环评登记表未明确原辅料用量情况，因此改扩建前年用量参考建设单位提供实际用量后折算。本项目原辅料外购均来源于合法企业，</w:t>
            </w:r>
            <w:r>
              <w:rPr>
                <w:rFonts w:hint="default" w:ascii="Times New Roman" w:hAnsi="Times New Roman" w:eastAsia="宋体" w:cs="Times New Roman"/>
                <w:color w:val="auto"/>
                <w:u w:val="single"/>
                <w:lang w:val="en-US" w:eastAsia="zh-CN"/>
              </w:rPr>
              <w:t>项目原辅材料及年用量见表2.1-4。</w:t>
            </w:r>
          </w:p>
          <w:p w14:paraId="10D0AF50">
            <w:pPr>
              <w:pStyle w:val="161"/>
              <w:keepNext w:val="0"/>
              <w:keepLines w:val="0"/>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lang w:val="en-US" w:eastAsia="zh-CN"/>
              </w:rPr>
              <w:t>表2.1-4  项目原辅材料消耗一览表</w:t>
            </w:r>
          </w:p>
          <w:tbl>
            <w:tblPr>
              <w:tblStyle w:val="39"/>
              <w:tblW w:w="8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830"/>
              <w:gridCol w:w="1275"/>
              <w:gridCol w:w="2237"/>
              <w:gridCol w:w="2760"/>
            </w:tblGrid>
            <w:tr w14:paraId="24A61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0" w:type="dxa"/>
                  <w:noWrap w:val="0"/>
                  <w:vAlign w:val="center"/>
                </w:tcPr>
                <w:p w14:paraId="53923BF9">
                  <w:pPr>
                    <w:tabs>
                      <w:tab w:val="left" w:pos="1021"/>
                    </w:tabs>
                    <w:jc w:val="center"/>
                    <w:rPr>
                      <w:rFonts w:hint="default" w:ascii="Times New Roman" w:hAnsi="Times New Roman" w:cs="Times New Roman"/>
                      <w:b/>
                      <w:bCs/>
                      <w:color w:val="auto"/>
                      <w:szCs w:val="21"/>
                      <w:u w:val="single"/>
                    </w:rPr>
                  </w:pPr>
                  <w:r>
                    <w:rPr>
                      <w:rFonts w:hint="default" w:ascii="Times New Roman" w:hAnsi="Times New Roman" w:cs="Times New Roman"/>
                      <w:b/>
                      <w:bCs/>
                      <w:color w:val="auto"/>
                      <w:szCs w:val="21"/>
                      <w:u w:val="single"/>
                    </w:rPr>
                    <w:t>序号</w:t>
                  </w:r>
                </w:p>
              </w:tc>
              <w:tc>
                <w:tcPr>
                  <w:tcW w:w="1830" w:type="dxa"/>
                  <w:noWrap w:val="0"/>
                  <w:vAlign w:val="center"/>
                </w:tcPr>
                <w:p w14:paraId="048C20A6">
                  <w:pPr>
                    <w:tabs>
                      <w:tab w:val="left" w:pos="1021"/>
                    </w:tabs>
                    <w:jc w:val="center"/>
                    <w:rPr>
                      <w:rFonts w:hint="default" w:ascii="Times New Roman" w:hAnsi="Times New Roman" w:cs="Times New Roman"/>
                      <w:b/>
                      <w:bCs/>
                      <w:color w:val="auto"/>
                      <w:szCs w:val="21"/>
                      <w:u w:val="single"/>
                    </w:rPr>
                  </w:pPr>
                  <w:r>
                    <w:rPr>
                      <w:rFonts w:hint="default" w:ascii="Times New Roman" w:hAnsi="Times New Roman" w:cs="Times New Roman"/>
                      <w:b/>
                      <w:bCs/>
                      <w:color w:val="auto"/>
                      <w:szCs w:val="21"/>
                      <w:u w:val="single"/>
                    </w:rPr>
                    <w:t>名称</w:t>
                  </w:r>
                </w:p>
              </w:tc>
              <w:tc>
                <w:tcPr>
                  <w:tcW w:w="1275" w:type="dxa"/>
                  <w:noWrap w:val="0"/>
                  <w:vAlign w:val="center"/>
                </w:tcPr>
                <w:p w14:paraId="340046F7">
                  <w:pPr>
                    <w:jc w:val="center"/>
                    <w:rPr>
                      <w:rFonts w:hint="default" w:ascii="Times New Roman" w:hAnsi="Times New Roman" w:eastAsia="宋体" w:cs="Times New Roman"/>
                      <w:b/>
                      <w:bCs/>
                      <w:color w:val="auto"/>
                      <w:szCs w:val="21"/>
                      <w:u w:val="single"/>
                      <w:lang w:val="en-US" w:eastAsia="zh-CN"/>
                    </w:rPr>
                  </w:pPr>
                  <w:r>
                    <w:rPr>
                      <w:rFonts w:hint="default" w:ascii="Times New Roman" w:hAnsi="Times New Roman" w:cs="Times New Roman"/>
                      <w:b/>
                      <w:bCs/>
                      <w:color w:val="auto"/>
                      <w:szCs w:val="21"/>
                      <w:u w:val="single"/>
                      <w:lang w:val="en-US" w:eastAsia="zh-CN"/>
                    </w:rPr>
                    <w:t>单位</w:t>
                  </w:r>
                </w:p>
              </w:tc>
              <w:tc>
                <w:tcPr>
                  <w:tcW w:w="2237" w:type="dxa"/>
                  <w:noWrap w:val="0"/>
                  <w:vAlign w:val="center"/>
                </w:tcPr>
                <w:p w14:paraId="71E81EB1">
                  <w:pPr>
                    <w:jc w:val="center"/>
                    <w:rPr>
                      <w:rFonts w:hint="default" w:ascii="Times New Roman" w:hAnsi="Times New Roman" w:cs="Times New Roman"/>
                      <w:b/>
                      <w:bCs/>
                      <w:color w:val="auto"/>
                      <w:szCs w:val="21"/>
                      <w:u w:val="single"/>
                    </w:rPr>
                  </w:pPr>
                  <w:r>
                    <w:rPr>
                      <w:rFonts w:hint="eastAsia" w:ascii="Times New Roman" w:hAnsi="Times New Roman" w:cs="Times New Roman"/>
                      <w:b/>
                      <w:bCs/>
                      <w:color w:val="auto"/>
                      <w:szCs w:val="21"/>
                      <w:u w:val="single"/>
                      <w:lang w:val="en-US" w:eastAsia="zh-CN"/>
                    </w:rPr>
                    <w:t>改扩建前</w:t>
                  </w:r>
                  <w:r>
                    <w:rPr>
                      <w:rFonts w:hint="default" w:ascii="Times New Roman" w:hAnsi="Times New Roman" w:cs="Times New Roman"/>
                      <w:b/>
                      <w:bCs/>
                      <w:color w:val="auto"/>
                      <w:szCs w:val="21"/>
                      <w:u w:val="single"/>
                      <w:lang w:val="en-US" w:eastAsia="zh-CN"/>
                    </w:rPr>
                    <w:t>年用量</w:t>
                  </w:r>
                </w:p>
              </w:tc>
              <w:tc>
                <w:tcPr>
                  <w:tcW w:w="2760" w:type="dxa"/>
                  <w:noWrap w:val="0"/>
                  <w:vAlign w:val="center"/>
                </w:tcPr>
                <w:p w14:paraId="6D6472E7">
                  <w:pPr>
                    <w:jc w:val="center"/>
                    <w:rPr>
                      <w:rFonts w:hint="default" w:ascii="Times New Roman" w:hAnsi="Times New Roman" w:cs="Times New Roman"/>
                      <w:b/>
                      <w:bCs/>
                      <w:color w:val="auto"/>
                      <w:szCs w:val="21"/>
                      <w:u w:val="single"/>
                      <w:lang w:val="en-US" w:eastAsia="zh-CN"/>
                    </w:rPr>
                  </w:pPr>
                  <w:r>
                    <w:rPr>
                      <w:rFonts w:hint="eastAsia" w:ascii="Times New Roman" w:hAnsi="Times New Roman" w:cs="Times New Roman"/>
                      <w:b/>
                      <w:bCs/>
                      <w:color w:val="auto"/>
                      <w:szCs w:val="21"/>
                      <w:u w:val="single"/>
                      <w:lang w:val="en-US" w:eastAsia="zh-CN"/>
                    </w:rPr>
                    <w:t>改扩建后</w:t>
                  </w:r>
                  <w:r>
                    <w:rPr>
                      <w:rFonts w:hint="default" w:ascii="Times New Roman" w:hAnsi="Times New Roman" w:cs="Times New Roman"/>
                      <w:b/>
                      <w:bCs/>
                      <w:color w:val="auto"/>
                      <w:szCs w:val="21"/>
                      <w:u w:val="single"/>
                      <w:lang w:val="en-US" w:eastAsia="zh-CN"/>
                    </w:rPr>
                    <w:t>年用量</w:t>
                  </w:r>
                </w:p>
              </w:tc>
            </w:tr>
            <w:tr w14:paraId="64A1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0" w:type="dxa"/>
                  <w:noWrap w:val="0"/>
                  <w:vAlign w:val="center"/>
                </w:tcPr>
                <w:p w14:paraId="5A0D4DBF">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1</w:t>
                  </w:r>
                </w:p>
              </w:tc>
              <w:tc>
                <w:tcPr>
                  <w:tcW w:w="1830" w:type="dxa"/>
                  <w:noWrap w:val="0"/>
                  <w:vAlign w:val="center"/>
                </w:tcPr>
                <w:p w14:paraId="3A60FEFA">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水泥</w:t>
                  </w:r>
                </w:p>
              </w:tc>
              <w:tc>
                <w:tcPr>
                  <w:tcW w:w="1275" w:type="dxa"/>
                  <w:noWrap w:val="0"/>
                  <w:vAlign w:val="center"/>
                </w:tcPr>
                <w:p w14:paraId="7ACE976D">
                  <w:pPr>
                    <w:tabs>
                      <w:tab w:val="left" w:pos="1021"/>
                    </w:tabs>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rPr>
                    <w:t>吨</w:t>
                  </w:r>
                  <w:r>
                    <w:rPr>
                      <w:rFonts w:hint="default" w:ascii="Times New Roman" w:hAnsi="Times New Roman" w:cs="Times New Roman"/>
                      <w:color w:val="auto"/>
                      <w:szCs w:val="21"/>
                      <w:u w:val="single"/>
                      <w:lang w:val="en-US" w:eastAsia="zh-CN"/>
                    </w:rPr>
                    <w:t>/年</w:t>
                  </w:r>
                </w:p>
              </w:tc>
              <w:tc>
                <w:tcPr>
                  <w:tcW w:w="2237" w:type="dxa"/>
                  <w:noWrap w:val="0"/>
                  <w:vAlign w:val="center"/>
                </w:tcPr>
                <w:p w14:paraId="0FB55A28">
                  <w:pPr>
                    <w:keepNext w:val="0"/>
                    <w:keepLines w:val="0"/>
                    <w:widowControl/>
                    <w:suppressLineNumbers w:val="0"/>
                    <w:jc w:val="center"/>
                    <w:textAlignment w:val="center"/>
                    <w:rPr>
                      <w:rFonts w:hint="default" w:ascii="Times New Roman" w:hAnsi="Times New Roman" w:cs="Times New Roman"/>
                      <w:color w:val="auto"/>
                      <w:szCs w:val="21"/>
                      <w:u w:val="single"/>
                    </w:rPr>
                  </w:pPr>
                  <w:r>
                    <w:rPr>
                      <w:rFonts w:hint="default" w:ascii="Times New Roman" w:hAnsi="Times New Roman" w:eastAsia="宋体" w:cs="Times New Roman"/>
                      <w:i w:val="0"/>
                      <w:iCs w:val="0"/>
                      <w:color w:val="000000"/>
                      <w:kern w:val="0"/>
                      <w:sz w:val="21"/>
                      <w:szCs w:val="21"/>
                      <w:u w:val="single"/>
                      <w:lang w:val="en-US" w:eastAsia="zh-CN" w:bidi="ar"/>
                    </w:rPr>
                    <w:t>640</w:t>
                  </w:r>
                </w:p>
              </w:tc>
              <w:tc>
                <w:tcPr>
                  <w:tcW w:w="2760" w:type="dxa"/>
                  <w:shd w:val="clear" w:color="auto" w:fill="auto"/>
                  <w:noWrap w:val="0"/>
                  <w:vAlign w:val="center"/>
                </w:tcPr>
                <w:p w14:paraId="008D0EEE">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kern w:val="0"/>
                      <w:szCs w:val="21"/>
                      <w:u w:val="single"/>
                    </w:rPr>
                    <w:t>1280</w:t>
                  </w:r>
                </w:p>
              </w:tc>
            </w:tr>
            <w:tr w14:paraId="6360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0" w:type="dxa"/>
                  <w:noWrap w:val="0"/>
                  <w:vAlign w:val="center"/>
                </w:tcPr>
                <w:p w14:paraId="2D8E61AD">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2</w:t>
                  </w:r>
                </w:p>
              </w:tc>
              <w:tc>
                <w:tcPr>
                  <w:tcW w:w="1830" w:type="dxa"/>
                  <w:noWrap w:val="0"/>
                  <w:vAlign w:val="center"/>
                </w:tcPr>
                <w:p w14:paraId="73ABBE11">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碎石</w:t>
                  </w:r>
                </w:p>
              </w:tc>
              <w:tc>
                <w:tcPr>
                  <w:tcW w:w="1275" w:type="dxa"/>
                  <w:noWrap w:val="0"/>
                  <w:vAlign w:val="center"/>
                </w:tcPr>
                <w:p w14:paraId="5A84D430">
                  <w:pPr>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吨</w:t>
                  </w:r>
                  <w:r>
                    <w:rPr>
                      <w:rFonts w:hint="default" w:ascii="Times New Roman" w:hAnsi="Times New Roman" w:cs="Times New Roman"/>
                      <w:color w:val="auto"/>
                      <w:szCs w:val="21"/>
                      <w:u w:val="single"/>
                      <w:lang w:val="en-US" w:eastAsia="zh-CN"/>
                    </w:rPr>
                    <w:t>/年</w:t>
                  </w:r>
                </w:p>
              </w:tc>
              <w:tc>
                <w:tcPr>
                  <w:tcW w:w="2237" w:type="dxa"/>
                  <w:noWrap w:val="0"/>
                  <w:vAlign w:val="center"/>
                </w:tcPr>
                <w:p w14:paraId="57BA185E">
                  <w:pPr>
                    <w:keepNext w:val="0"/>
                    <w:keepLines w:val="0"/>
                    <w:widowControl/>
                    <w:suppressLineNumbers w:val="0"/>
                    <w:jc w:val="center"/>
                    <w:textAlignment w:val="center"/>
                    <w:rPr>
                      <w:rFonts w:hint="default" w:ascii="Times New Roman" w:hAnsi="Times New Roman" w:cs="Times New Roman"/>
                      <w:color w:val="auto"/>
                      <w:szCs w:val="21"/>
                      <w:u w:val="single"/>
                    </w:rPr>
                  </w:pPr>
                  <w:r>
                    <w:rPr>
                      <w:rFonts w:hint="default" w:ascii="Times New Roman" w:hAnsi="Times New Roman" w:eastAsia="宋体" w:cs="Times New Roman"/>
                      <w:i w:val="0"/>
                      <w:iCs w:val="0"/>
                      <w:color w:val="000000"/>
                      <w:kern w:val="0"/>
                      <w:sz w:val="21"/>
                      <w:szCs w:val="21"/>
                      <w:u w:val="single"/>
                      <w:lang w:val="en-US" w:eastAsia="zh-CN" w:bidi="ar"/>
                    </w:rPr>
                    <w:t>1600</w:t>
                  </w:r>
                </w:p>
              </w:tc>
              <w:tc>
                <w:tcPr>
                  <w:tcW w:w="2760" w:type="dxa"/>
                  <w:shd w:val="clear" w:color="auto" w:fill="auto"/>
                  <w:noWrap w:val="0"/>
                  <w:vAlign w:val="center"/>
                </w:tcPr>
                <w:p w14:paraId="780F9929">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kern w:val="0"/>
                      <w:szCs w:val="21"/>
                      <w:u w:val="single"/>
                    </w:rPr>
                    <w:t>3200</w:t>
                  </w:r>
                </w:p>
              </w:tc>
            </w:tr>
            <w:tr w14:paraId="178F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0" w:type="dxa"/>
                  <w:noWrap w:val="0"/>
                  <w:vAlign w:val="center"/>
                </w:tcPr>
                <w:p w14:paraId="1A0E0EC9">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3</w:t>
                  </w:r>
                </w:p>
              </w:tc>
              <w:tc>
                <w:tcPr>
                  <w:tcW w:w="1830" w:type="dxa"/>
                  <w:noWrap w:val="0"/>
                  <w:vAlign w:val="center"/>
                </w:tcPr>
                <w:p w14:paraId="4FADFC50">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河沙</w:t>
                  </w:r>
                </w:p>
              </w:tc>
              <w:tc>
                <w:tcPr>
                  <w:tcW w:w="1275" w:type="dxa"/>
                  <w:noWrap w:val="0"/>
                  <w:vAlign w:val="center"/>
                </w:tcPr>
                <w:p w14:paraId="56A75603">
                  <w:pPr>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吨</w:t>
                  </w:r>
                  <w:r>
                    <w:rPr>
                      <w:rFonts w:hint="default" w:ascii="Times New Roman" w:hAnsi="Times New Roman" w:cs="Times New Roman"/>
                      <w:color w:val="auto"/>
                      <w:szCs w:val="21"/>
                      <w:u w:val="single"/>
                      <w:lang w:val="en-US" w:eastAsia="zh-CN"/>
                    </w:rPr>
                    <w:t>/年</w:t>
                  </w:r>
                </w:p>
              </w:tc>
              <w:tc>
                <w:tcPr>
                  <w:tcW w:w="2237" w:type="dxa"/>
                  <w:noWrap w:val="0"/>
                  <w:vAlign w:val="center"/>
                </w:tcPr>
                <w:p w14:paraId="2CD8E984">
                  <w:pPr>
                    <w:keepNext w:val="0"/>
                    <w:keepLines w:val="0"/>
                    <w:widowControl/>
                    <w:suppressLineNumbers w:val="0"/>
                    <w:jc w:val="center"/>
                    <w:textAlignment w:val="center"/>
                    <w:rPr>
                      <w:rFonts w:hint="default" w:ascii="Times New Roman" w:hAnsi="Times New Roman" w:cs="Times New Roman"/>
                      <w:color w:val="auto"/>
                      <w:szCs w:val="21"/>
                      <w:u w:val="single"/>
                    </w:rPr>
                  </w:pPr>
                  <w:r>
                    <w:rPr>
                      <w:rFonts w:hint="default" w:ascii="Times New Roman" w:hAnsi="Times New Roman" w:eastAsia="宋体" w:cs="Times New Roman"/>
                      <w:i w:val="0"/>
                      <w:iCs w:val="0"/>
                      <w:color w:val="000000"/>
                      <w:kern w:val="0"/>
                      <w:sz w:val="21"/>
                      <w:szCs w:val="21"/>
                      <w:u w:val="single"/>
                      <w:lang w:val="en-US" w:eastAsia="zh-CN" w:bidi="ar"/>
                    </w:rPr>
                    <w:t>1340</w:t>
                  </w:r>
                </w:p>
              </w:tc>
              <w:tc>
                <w:tcPr>
                  <w:tcW w:w="2760" w:type="dxa"/>
                  <w:shd w:val="clear" w:color="auto" w:fill="auto"/>
                  <w:noWrap w:val="0"/>
                  <w:vAlign w:val="center"/>
                </w:tcPr>
                <w:p w14:paraId="57425C16">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kern w:val="0"/>
                      <w:szCs w:val="21"/>
                      <w:u w:val="single"/>
                    </w:rPr>
                    <w:t>2680</w:t>
                  </w:r>
                </w:p>
              </w:tc>
            </w:tr>
            <w:tr w14:paraId="3F47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0" w:type="dxa"/>
                  <w:noWrap w:val="0"/>
                  <w:vAlign w:val="center"/>
                </w:tcPr>
                <w:p w14:paraId="274A6AF9">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4</w:t>
                  </w:r>
                </w:p>
              </w:tc>
              <w:tc>
                <w:tcPr>
                  <w:tcW w:w="1830" w:type="dxa"/>
                  <w:noWrap w:val="0"/>
                  <w:vAlign w:val="center"/>
                </w:tcPr>
                <w:p w14:paraId="2D36E5FB">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钢材</w:t>
                  </w:r>
                </w:p>
              </w:tc>
              <w:tc>
                <w:tcPr>
                  <w:tcW w:w="1275" w:type="dxa"/>
                  <w:noWrap w:val="0"/>
                  <w:vAlign w:val="center"/>
                </w:tcPr>
                <w:p w14:paraId="3B2DED61">
                  <w:pPr>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吨</w:t>
                  </w:r>
                  <w:r>
                    <w:rPr>
                      <w:rFonts w:hint="default" w:ascii="Times New Roman" w:hAnsi="Times New Roman" w:cs="Times New Roman"/>
                      <w:color w:val="auto"/>
                      <w:szCs w:val="21"/>
                      <w:u w:val="single"/>
                      <w:lang w:val="en-US" w:eastAsia="zh-CN"/>
                    </w:rPr>
                    <w:t>/年</w:t>
                  </w:r>
                </w:p>
              </w:tc>
              <w:tc>
                <w:tcPr>
                  <w:tcW w:w="2237" w:type="dxa"/>
                  <w:noWrap w:val="0"/>
                  <w:vAlign w:val="center"/>
                </w:tcPr>
                <w:p w14:paraId="705E5E8B">
                  <w:pPr>
                    <w:keepNext w:val="0"/>
                    <w:keepLines w:val="0"/>
                    <w:widowControl/>
                    <w:suppressLineNumbers w:val="0"/>
                    <w:jc w:val="center"/>
                    <w:textAlignment w:val="center"/>
                    <w:rPr>
                      <w:rFonts w:hint="default" w:ascii="Times New Roman" w:hAnsi="Times New Roman" w:cs="Times New Roman"/>
                      <w:color w:val="auto"/>
                      <w:szCs w:val="21"/>
                      <w:u w:val="single"/>
                    </w:rPr>
                  </w:pPr>
                  <w:r>
                    <w:rPr>
                      <w:rFonts w:hint="default" w:ascii="Times New Roman" w:hAnsi="Times New Roman" w:eastAsia="宋体" w:cs="Times New Roman"/>
                      <w:i w:val="0"/>
                      <w:iCs w:val="0"/>
                      <w:color w:val="000000"/>
                      <w:kern w:val="0"/>
                      <w:sz w:val="21"/>
                      <w:szCs w:val="21"/>
                      <w:u w:val="single"/>
                      <w:lang w:val="en-US" w:eastAsia="zh-CN" w:bidi="ar"/>
                    </w:rPr>
                    <w:t>500</w:t>
                  </w:r>
                </w:p>
              </w:tc>
              <w:tc>
                <w:tcPr>
                  <w:tcW w:w="2760" w:type="dxa"/>
                  <w:shd w:val="clear" w:color="auto" w:fill="auto"/>
                  <w:noWrap w:val="0"/>
                  <w:vAlign w:val="center"/>
                </w:tcPr>
                <w:p w14:paraId="3E06E628">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kern w:val="0"/>
                      <w:szCs w:val="21"/>
                      <w:u w:val="single"/>
                    </w:rPr>
                    <w:t>1000</w:t>
                  </w:r>
                </w:p>
              </w:tc>
            </w:tr>
            <w:tr w14:paraId="7709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0" w:type="dxa"/>
                  <w:noWrap w:val="0"/>
                  <w:vAlign w:val="center"/>
                </w:tcPr>
                <w:p w14:paraId="0B204412">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5</w:t>
                  </w:r>
                </w:p>
              </w:tc>
              <w:tc>
                <w:tcPr>
                  <w:tcW w:w="1830" w:type="dxa"/>
                  <w:noWrap w:val="0"/>
                  <w:vAlign w:val="center"/>
                </w:tcPr>
                <w:p w14:paraId="48763C25">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脱模剂</w:t>
                  </w:r>
                </w:p>
              </w:tc>
              <w:tc>
                <w:tcPr>
                  <w:tcW w:w="1275" w:type="dxa"/>
                  <w:noWrap w:val="0"/>
                  <w:vAlign w:val="center"/>
                </w:tcPr>
                <w:p w14:paraId="61F64FAB">
                  <w:pPr>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吨</w:t>
                  </w:r>
                  <w:r>
                    <w:rPr>
                      <w:rFonts w:hint="default" w:ascii="Times New Roman" w:hAnsi="Times New Roman" w:cs="Times New Roman"/>
                      <w:color w:val="auto"/>
                      <w:szCs w:val="21"/>
                      <w:u w:val="single"/>
                      <w:lang w:val="en-US" w:eastAsia="zh-CN"/>
                    </w:rPr>
                    <w:t>/年</w:t>
                  </w:r>
                </w:p>
              </w:tc>
              <w:tc>
                <w:tcPr>
                  <w:tcW w:w="2237" w:type="dxa"/>
                  <w:noWrap w:val="0"/>
                  <w:vAlign w:val="center"/>
                </w:tcPr>
                <w:p w14:paraId="039CCF49">
                  <w:pPr>
                    <w:keepNext w:val="0"/>
                    <w:keepLines w:val="0"/>
                    <w:widowControl/>
                    <w:suppressLineNumbers w:val="0"/>
                    <w:jc w:val="center"/>
                    <w:textAlignment w:val="center"/>
                    <w:rPr>
                      <w:rFonts w:hint="default" w:ascii="Times New Roman" w:hAnsi="Times New Roman" w:cs="Times New Roman"/>
                      <w:color w:val="auto"/>
                      <w:szCs w:val="21"/>
                      <w:u w:val="single"/>
                    </w:rPr>
                  </w:pPr>
                  <w:r>
                    <w:rPr>
                      <w:rFonts w:hint="default" w:ascii="Times New Roman" w:hAnsi="Times New Roman" w:eastAsia="宋体" w:cs="Times New Roman"/>
                      <w:i w:val="0"/>
                      <w:iCs w:val="0"/>
                      <w:color w:val="000000"/>
                      <w:kern w:val="0"/>
                      <w:sz w:val="21"/>
                      <w:szCs w:val="21"/>
                      <w:u w:val="single"/>
                      <w:lang w:val="en-US" w:eastAsia="zh-CN" w:bidi="ar"/>
                    </w:rPr>
                    <w:t>0.25</w:t>
                  </w:r>
                </w:p>
              </w:tc>
              <w:tc>
                <w:tcPr>
                  <w:tcW w:w="2760" w:type="dxa"/>
                  <w:shd w:val="clear" w:color="auto" w:fill="auto"/>
                  <w:noWrap w:val="0"/>
                  <w:vAlign w:val="center"/>
                </w:tcPr>
                <w:p w14:paraId="0DCB87AE">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Cs w:val="21"/>
                      <w:u w:val="single"/>
                    </w:rPr>
                    <w:t>0.5</w:t>
                  </w:r>
                </w:p>
              </w:tc>
            </w:tr>
            <w:tr w14:paraId="539E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0" w:type="dxa"/>
                  <w:noWrap w:val="0"/>
                  <w:vAlign w:val="center"/>
                </w:tcPr>
                <w:p w14:paraId="489D33E8">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6</w:t>
                  </w:r>
                </w:p>
              </w:tc>
              <w:tc>
                <w:tcPr>
                  <w:tcW w:w="1830" w:type="dxa"/>
                  <w:noWrap w:val="0"/>
                  <w:vAlign w:val="center"/>
                </w:tcPr>
                <w:p w14:paraId="0964D6BB">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机油</w:t>
                  </w:r>
                </w:p>
              </w:tc>
              <w:tc>
                <w:tcPr>
                  <w:tcW w:w="1275" w:type="dxa"/>
                  <w:noWrap w:val="0"/>
                  <w:vAlign w:val="center"/>
                </w:tcPr>
                <w:p w14:paraId="15F2A681">
                  <w:pPr>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吨</w:t>
                  </w:r>
                  <w:r>
                    <w:rPr>
                      <w:rFonts w:hint="default" w:ascii="Times New Roman" w:hAnsi="Times New Roman" w:cs="Times New Roman"/>
                      <w:color w:val="auto"/>
                      <w:szCs w:val="21"/>
                      <w:u w:val="single"/>
                      <w:lang w:val="en-US" w:eastAsia="zh-CN"/>
                    </w:rPr>
                    <w:t>/年</w:t>
                  </w:r>
                </w:p>
              </w:tc>
              <w:tc>
                <w:tcPr>
                  <w:tcW w:w="2237" w:type="dxa"/>
                  <w:noWrap w:val="0"/>
                  <w:vAlign w:val="center"/>
                </w:tcPr>
                <w:p w14:paraId="3CF7E0E9">
                  <w:pPr>
                    <w:keepNext w:val="0"/>
                    <w:keepLines w:val="0"/>
                    <w:widowControl/>
                    <w:suppressLineNumbers w:val="0"/>
                    <w:jc w:val="center"/>
                    <w:textAlignment w:val="center"/>
                    <w:rPr>
                      <w:rFonts w:hint="default" w:ascii="Times New Roman" w:hAnsi="Times New Roman" w:cs="Times New Roman"/>
                      <w:color w:val="auto"/>
                      <w:szCs w:val="21"/>
                      <w:u w:val="single"/>
                    </w:rPr>
                  </w:pPr>
                  <w:r>
                    <w:rPr>
                      <w:rFonts w:hint="default" w:ascii="Times New Roman" w:hAnsi="Times New Roman" w:eastAsia="宋体" w:cs="Times New Roman"/>
                      <w:i w:val="0"/>
                      <w:iCs w:val="0"/>
                      <w:color w:val="000000"/>
                      <w:kern w:val="0"/>
                      <w:sz w:val="21"/>
                      <w:szCs w:val="21"/>
                      <w:u w:val="single"/>
                      <w:lang w:val="en-US" w:eastAsia="zh-CN" w:bidi="ar"/>
                    </w:rPr>
                    <w:t>0.25</w:t>
                  </w:r>
                </w:p>
              </w:tc>
              <w:tc>
                <w:tcPr>
                  <w:tcW w:w="2760" w:type="dxa"/>
                  <w:shd w:val="clear" w:color="auto" w:fill="auto"/>
                  <w:noWrap w:val="0"/>
                  <w:vAlign w:val="center"/>
                </w:tcPr>
                <w:p w14:paraId="2E0BA825">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Cs w:val="21"/>
                      <w:u w:val="single"/>
                    </w:rPr>
                    <w:t>0.5</w:t>
                  </w:r>
                </w:p>
              </w:tc>
            </w:tr>
            <w:tr w14:paraId="2013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0" w:type="dxa"/>
                  <w:noWrap w:val="0"/>
                  <w:vAlign w:val="center"/>
                </w:tcPr>
                <w:p w14:paraId="3D26AB0A">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7</w:t>
                  </w:r>
                </w:p>
              </w:tc>
              <w:tc>
                <w:tcPr>
                  <w:tcW w:w="1830" w:type="dxa"/>
                  <w:noWrap w:val="0"/>
                  <w:vAlign w:val="center"/>
                </w:tcPr>
                <w:p w14:paraId="5455C1F0">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焊丝</w:t>
                  </w:r>
                </w:p>
              </w:tc>
              <w:tc>
                <w:tcPr>
                  <w:tcW w:w="1275" w:type="dxa"/>
                  <w:noWrap w:val="0"/>
                  <w:vAlign w:val="center"/>
                </w:tcPr>
                <w:p w14:paraId="31DCA81D">
                  <w:pPr>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吨</w:t>
                  </w:r>
                  <w:r>
                    <w:rPr>
                      <w:rFonts w:hint="default" w:ascii="Times New Roman" w:hAnsi="Times New Roman" w:cs="Times New Roman"/>
                      <w:color w:val="auto"/>
                      <w:szCs w:val="21"/>
                      <w:u w:val="single"/>
                      <w:lang w:val="en-US" w:eastAsia="zh-CN"/>
                    </w:rPr>
                    <w:t>/年</w:t>
                  </w:r>
                </w:p>
              </w:tc>
              <w:tc>
                <w:tcPr>
                  <w:tcW w:w="2237" w:type="dxa"/>
                  <w:noWrap w:val="0"/>
                  <w:vAlign w:val="center"/>
                </w:tcPr>
                <w:p w14:paraId="0D692C1F">
                  <w:pPr>
                    <w:keepNext w:val="0"/>
                    <w:keepLines w:val="0"/>
                    <w:widowControl/>
                    <w:suppressLineNumbers w:val="0"/>
                    <w:jc w:val="center"/>
                    <w:textAlignment w:val="center"/>
                    <w:rPr>
                      <w:rFonts w:hint="default" w:ascii="Times New Roman" w:hAnsi="Times New Roman" w:cs="Times New Roman"/>
                      <w:color w:val="auto"/>
                      <w:szCs w:val="21"/>
                      <w:u w:val="single"/>
                    </w:rPr>
                  </w:pPr>
                  <w:r>
                    <w:rPr>
                      <w:rFonts w:hint="default" w:ascii="Times New Roman" w:hAnsi="Times New Roman" w:eastAsia="宋体" w:cs="Times New Roman"/>
                      <w:i w:val="0"/>
                      <w:iCs w:val="0"/>
                      <w:color w:val="000000"/>
                      <w:kern w:val="0"/>
                      <w:sz w:val="21"/>
                      <w:szCs w:val="21"/>
                      <w:u w:val="single"/>
                      <w:lang w:val="en-US" w:eastAsia="zh-CN" w:bidi="ar"/>
                    </w:rPr>
                    <w:t>1</w:t>
                  </w:r>
                </w:p>
              </w:tc>
              <w:tc>
                <w:tcPr>
                  <w:tcW w:w="2760" w:type="dxa"/>
                  <w:shd w:val="clear" w:color="auto" w:fill="auto"/>
                  <w:noWrap w:val="0"/>
                  <w:vAlign w:val="center"/>
                </w:tcPr>
                <w:p w14:paraId="5B826FBF">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Cs w:val="21"/>
                      <w:u w:val="single"/>
                    </w:rPr>
                    <w:t>2</w:t>
                  </w:r>
                </w:p>
              </w:tc>
            </w:tr>
            <w:tr w14:paraId="7133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0" w:type="dxa"/>
                  <w:noWrap w:val="0"/>
                  <w:vAlign w:val="center"/>
                </w:tcPr>
                <w:p w14:paraId="58AD7CEE">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8</w:t>
                  </w:r>
                </w:p>
              </w:tc>
              <w:tc>
                <w:tcPr>
                  <w:tcW w:w="1830" w:type="dxa"/>
                  <w:noWrap w:val="0"/>
                  <w:vAlign w:val="center"/>
                </w:tcPr>
                <w:p w14:paraId="47EACDD3">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lang w:val="en-US" w:eastAsia="zh-CN"/>
                    </w:rPr>
                    <w:t>法兰</w:t>
                  </w:r>
                </w:p>
              </w:tc>
              <w:tc>
                <w:tcPr>
                  <w:tcW w:w="1275" w:type="dxa"/>
                  <w:noWrap w:val="0"/>
                  <w:vAlign w:val="center"/>
                </w:tcPr>
                <w:p w14:paraId="41FC30B3">
                  <w:pPr>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个/年</w:t>
                  </w:r>
                </w:p>
              </w:tc>
              <w:tc>
                <w:tcPr>
                  <w:tcW w:w="2237" w:type="dxa"/>
                  <w:noWrap w:val="0"/>
                  <w:vAlign w:val="center"/>
                </w:tcPr>
                <w:p w14:paraId="3AB01175">
                  <w:pPr>
                    <w:keepNext w:val="0"/>
                    <w:keepLines w:val="0"/>
                    <w:widowControl/>
                    <w:suppressLineNumbers w:val="0"/>
                    <w:jc w:val="center"/>
                    <w:textAlignment w:val="center"/>
                    <w:rPr>
                      <w:rFonts w:hint="default" w:ascii="Times New Roman" w:hAnsi="Times New Roman" w:eastAsia="宋体" w:cs="Times New Roman"/>
                      <w:color w:val="auto"/>
                      <w:szCs w:val="21"/>
                      <w:u w:val="single"/>
                      <w:lang w:val="en-US" w:eastAsia="zh-CN"/>
                    </w:rPr>
                  </w:pPr>
                  <w:r>
                    <w:rPr>
                      <w:rFonts w:hint="default" w:ascii="Times New Roman" w:hAnsi="Times New Roman" w:eastAsia="宋体" w:cs="Times New Roman"/>
                      <w:i w:val="0"/>
                      <w:iCs w:val="0"/>
                      <w:color w:val="000000"/>
                      <w:kern w:val="0"/>
                      <w:sz w:val="21"/>
                      <w:szCs w:val="21"/>
                      <w:u w:val="single"/>
                      <w:lang w:val="en-US" w:eastAsia="zh-CN" w:bidi="ar"/>
                    </w:rPr>
                    <w:t>10000</w:t>
                  </w:r>
                </w:p>
              </w:tc>
              <w:tc>
                <w:tcPr>
                  <w:tcW w:w="2760" w:type="dxa"/>
                  <w:shd w:val="clear" w:color="auto" w:fill="auto"/>
                  <w:noWrap w:val="0"/>
                  <w:vAlign w:val="center"/>
                </w:tcPr>
                <w:p w14:paraId="31EBEBF3">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Cs w:val="21"/>
                      <w:u w:val="single"/>
                      <w:lang w:val="en-US" w:eastAsia="zh-CN"/>
                    </w:rPr>
                    <w:t>20000</w:t>
                  </w:r>
                </w:p>
              </w:tc>
            </w:tr>
            <w:tr w14:paraId="43583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0" w:type="dxa"/>
                  <w:noWrap w:val="0"/>
                  <w:vAlign w:val="center"/>
                </w:tcPr>
                <w:p w14:paraId="007B1140">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9</w:t>
                  </w:r>
                </w:p>
              </w:tc>
              <w:tc>
                <w:tcPr>
                  <w:tcW w:w="1830" w:type="dxa"/>
                  <w:noWrap w:val="0"/>
                  <w:vAlign w:val="center"/>
                </w:tcPr>
                <w:p w14:paraId="180D54E3">
                  <w:pPr>
                    <w:tabs>
                      <w:tab w:val="left" w:pos="1021"/>
                    </w:tabs>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rPr>
                    <w:t>成型生物质</w:t>
                  </w:r>
                  <w:r>
                    <w:rPr>
                      <w:rFonts w:hint="default" w:ascii="Times New Roman" w:hAnsi="Times New Roman" w:cs="Times New Roman"/>
                      <w:color w:val="auto"/>
                      <w:szCs w:val="21"/>
                      <w:u w:val="single"/>
                      <w:lang w:val="en-US" w:eastAsia="zh-CN"/>
                    </w:rPr>
                    <w:t>燃料</w:t>
                  </w:r>
                </w:p>
              </w:tc>
              <w:tc>
                <w:tcPr>
                  <w:tcW w:w="1275" w:type="dxa"/>
                  <w:noWrap w:val="0"/>
                  <w:vAlign w:val="center"/>
                </w:tcPr>
                <w:p w14:paraId="7E303817">
                  <w:pPr>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吨</w:t>
                  </w:r>
                  <w:r>
                    <w:rPr>
                      <w:rFonts w:hint="default" w:ascii="Times New Roman" w:hAnsi="Times New Roman" w:cs="Times New Roman"/>
                      <w:color w:val="auto"/>
                      <w:szCs w:val="21"/>
                      <w:u w:val="single"/>
                      <w:lang w:val="en-US" w:eastAsia="zh-CN"/>
                    </w:rPr>
                    <w:t>/年</w:t>
                  </w:r>
                </w:p>
              </w:tc>
              <w:tc>
                <w:tcPr>
                  <w:tcW w:w="2237" w:type="dxa"/>
                  <w:noWrap w:val="0"/>
                  <w:vAlign w:val="center"/>
                </w:tcPr>
                <w:p w14:paraId="657CFE58">
                  <w:pPr>
                    <w:keepNext w:val="0"/>
                    <w:keepLines w:val="0"/>
                    <w:widowControl/>
                    <w:suppressLineNumbers w:val="0"/>
                    <w:jc w:val="center"/>
                    <w:textAlignment w:val="center"/>
                    <w:rPr>
                      <w:rFonts w:hint="default" w:ascii="Times New Roman" w:hAnsi="Times New Roman" w:cs="Times New Roman"/>
                      <w:color w:val="auto"/>
                      <w:szCs w:val="21"/>
                      <w:u w:val="single"/>
                    </w:rPr>
                  </w:pPr>
                  <w:r>
                    <w:rPr>
                      <w:rFonts w:hint="default" w:ascii="Times New Roman" w:hAnsi="Times New Roman" w:eastAsia="宋体" w:cs="Times New Roman"/>
                      <w:i w:val="0"/>
                      <w:iCs w:val="0"/>
                      <w:color w:val="000000"/>
                      <w:kern w:val="0"/>
                      <w:sz w:val="21"/>
                      <w:szCs w:val="21"/>
                      <w:u w:val="single"/>
                      <w:lang w:val="en-US" w:eastAsia="zh-CN" w:bidi="ar"/>
                    </w:rPr>
                    <w:t>47.25</w:t>
                  </w:r>
                </w:p>
              </w:tc>
              <w:tc>
                <w:tcPr>
                  <w:tcW w:w="2760" w:type="dxa"/>
                  <w:shd w:val="clear" w:color="auto" w:fill="auto"/>
                  <w:noWrap w:val="0"/>
                  <w:vAlign w:val="center"/>
                </w:tcPr>
                <w:p w14:paraId="1177F4B9">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szCs w:val="21"/>
                      <w:u w:val="single"/>
                    </w:rPr>
                    <w:t>94.5</w:t>
                  </w:r>
                </w:p>
              </w:tc>
            </w:tr>
            <w:tr w14:paraId="4880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0" w:type="dxa"/>
                  <w:noWrap w:val="0"/>
                  <w:vAlign w:val="center"/>
                </w:tcPr>
                <w:p w14:paraId="350C5492">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10</w:t>
                  </w:r>
                </w:p>
              </w:tc>
              <w:tc>
                <w:tcPr>
                  <w:tcW w:w="1830" w:type="dxa"/>
                  <w:noWrap w:val="0"/>
                  <w:vAlign w:val="center"/>
                </w:tcPr>
                <w:p w14:paraId="3AFFAEB4">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聚丙烯高强丝</w:t>
                  </w:r>
                </w:p>
              </w:tc>
              <w:tc>
                <w:tcPr>
                  <w:tcW w:w="1275" w:type="dxa"/>
                  <w:noWrap w:val="0"/>
                  <w:vAlign w:val="center"/>
                </w:tcPr>
                <w:p w14:paraId="5A7FD914">
                  <w:pPr>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吨</w:t>
                  </w:r>
                  <w:r>
                    <w:rPr>
                      <w:rFonts w:hint="default" w:ascii="Times New Roman" w:hAnsi="Times New Roman" w:cs="Times New Roman"/>
                      <w:color w:val="auto"/>
                      <w:szCs w:val="21"/>
                      <w:u w:val="single"/>
                      <w:lang w:val="en-US" w:eastAsia="zh-CN"/>
                    </w:rPr>
                    <w:t>/年</w:t>
                  </w:r>
                </w:p>
              </w:tc>
              <w:tc>
                <w:tcPr>
                  <w:tcW w:w="2237" w:type="dxa"/>
                  <w:noWrap w:val="0"/>
                  <w:vAlign w:val="center"/>
                </w:tcPr>
                <w:p w14:paraId="141C8F72">
                  <w:pPr>
                    <w:keepNext w:val="0"/>
                    <w:keepLines w:val="0"/>
                    <w:widowControl/>
                    <w:suppressLineNumbers w:val="0"/>
                    <w:jc w:val="center"/>
                    <w:textAlignment w:val="center"/>
                    <w:rPr>
                      <w:rFonts w:hint="default" w:ascii="Times New Roman" w:hAnsi="Times New Roman" w:cs="Times New Roman"/>
                      <w:color w:val="auto"/>
                      <w:szCs w:val="21"/>
                      <w:u w:val="single"/>
                    </w:rPr>
                  </w:pPr>
                  <w:r>
                    <w:rPr>
                      <w:rFonts w:hint="default" w:ascii="Times New Roman" w:hAnsi="Times New Roman" w:eastAsia="宋体" w:cs="Times New Roman"/>
                      <w:i w:val="0"/>
                      <w:iCs w:val="0"/>
                      <w:color w:val="000000"/>
                      <w:kern w:val="0"/>
                      <w:sz w:val="21"/>
                      <w:szCs w:val="21"/>
                      <w:u w:val="single"/>
                      <w:lang w:val="en-US" w:eastAsia="zh-CN" w:bidi="ar"/>
                    </w:rPr>
                    <w:t>100</w:t>
                  </w:r>
                </w:p>
              </w:tc>
              <w:tc>
                <w:tcPr>
                  <w:tcW w:w="2760" w:type="dxa"/>
                  <w:shd w:val="clear" w:color="auto" w:fill="auto"/>
                  <w:noWrap w:val="0"/>
                  <w:vAlign w:val="center"/>
                </w:tcPr>
                <w:p w14:paraId="6E62414C">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color w:val="auto"/>
                      <w:kern w:val="0"/>
                      <w:szCs w:val="21"/>
                      <w:u w:val="single"/>
                    </w:rPr>
                    <w:t>200</w:t>
                  </w:r>
                </w:p>
              </w:tc>
            </w:tr>
            <w:tr w14:paraId="6F89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0" w:type="dxa"/>
                  <w:noWrap w:val="0"/>
                  <w:vAlign w:val="center"/>
                </w:tcPr>
                <w:p w14:paraId="028B0306">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11</w:t>
                  </w:r>
                </w:p>
              </w:tc>
              <w:tc>
                <w:tcPr>
                  <w:tcW w:w="1830" w:type="dxa"/>
                  <w:noWrap w:val="0"/>
                  <w:vAlign w:val="center"/>
                </w:tcPr>
                <w:p w14:paraId="0588FC7E">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电</w:t>
                  </w:r>
                </w:p>
              </w:tc>
              <w:tc>
                <w:tcPr>
                  <w:tcW w:w="1275" w:type="dxa"/>
                  <w:noWrap w:val="0"/>
                  <w:vAlign w:val="center"/>
                </w:tcPr>
                <w:p w14:paraId="13D12693">
                  <w:pPr>
                    <w:tabs>
                      <w:tab w:val="left" w:pos="1021"/>
                    </w:tabs>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rPr>
                    <w:t>kw·h</w:t>
                  </w:r>
                  <w:r>
                    <w:rPr>
                      <w:rFonts w:hint="default" w:ascii="Times New Roman" w:hAnsi="Times New Roman" w:cs="Times New Roman"/>
                      <w:color w:val="auto"/>
                      <w:szCs w:val="21"/>
                      <w:u w:val="single"/>
                      <w:lang w:val="en-US" w:eastAsia="zh-CN"/>
                    </w:rPr>
                    <w:t>/a</w:t>
                  </w:r>
                </w:p>
              </w:tc>
              <w:tc>
                <w:tcPr>
                  <w:tcW w:w="2237" w:type="dxa"/>
                  <w:noWrap w:val="0"/>
                  <w:vAlign w:val="center"/>
                </w:tcPr>
                <w:p w14:paraId="25FC89CF">
                  <w:pPr>
                    <w:tabs>
                      <w:tab w:val="left" w:pos="1021"/>
                    </w:tabs>
                    <w:jc w:val="center"/>
                    <w:rPr>
                      <w:rFonts w:hint="default" w:ascii="Times New Roman" w:hAnsi="Times New Roman" w:cs="Times New Roman"/>
                      <w:color w:val="auto"/>
                      <w:u w:val="single"/>
                    </w:rPr>
                  </w:pPr>
                  <w:r>
                    <w:rPr>
                      <w:rFonts w:hint="eastAsia" w:ascii="Times New Roman" w:hAnsi="Times New Roman" w:cs="Times New Roman"/>
                      <w:color w:val="auto"/>
                      <w:szCs w:val="21"/>
                      <w:u w:val="single"/>
                      <w:lang w:val="en-US" w:eastAsia="zh-CN"/>
                    </w:rPr>
                    <w:t>3</w:t>
                  </w:r>
                  <w:r>
                    <w:rPr>
                      <w:rFonts w:hint="default" w:ascii="Times New Roman" w:hAnsi="Times New Roman" w:cs="Times New Roman"/>
                      <w:color w:val="auto"/>
                      <w:szCs w:val="21"/>
                      <w:u w:val="single"/>
                    </w:rPr>
                    <w:t>0000</w:t>
                  </w:r>
                </w:p>
              </w:tc>
              <w:tc>
                <w:tcPr>
                  <w:tcW w:w="2760" w:type="dxa"/>
                  <w:shd w:val="clear" w:color="auto" w:fill="auto"/>
                  <w:noWrap w:val="0"/>
                  <w:vAlign w:val="center"/>
                </w:tcPr>
                <w:p w14:paraId="60620106">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szCs w:val="21"/>
                      <w:u w:val="single"/>
                      <w:lang w:val="en-US" w:eastAsia="zh-CN"/>
                    </w:rPr>
                    <w:t>6</w:t>
                  </w:r>
                  <w:r>
                    <w:rPr>
                      <w:rFonts w:hint="default" w:ascii="Times New Roman" w:hAnsi="Times New Roman" w:cs="Times New Roman"/>
                      <w:color w:val="auto"/>
                      <w:szCs w:val="21"/>
                      <w:u w:val="single"/>
                    </w:rPr>
                    <w:t>0000</w:t>
                  </w:r>
                </w:p>
              </w:tc>
            </w:tr>
            <w:tr w14:paraId="0008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0" w:type="dxa"/>
                  <w:noWrap w:val="0"/>
                  <w:vAlign w:val="center"/>
                </w:tcPr>
                <w:p w14:paraId="49549CB5">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12</w:t>
                  </w:r>
                </w:p>
              </w:tc>
              <w:tc>
                <w:tcPr>
                  <w:tcW w:w="1830" w:type="dxa"/>
                  <w:noWrap w:val="0"/>
                  <w:vAlign w:val="center"/>
                </w:tcPr>
                <w:p w14:paraId="7E4960F9">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水</w:t>
                  </w:r>
                </w:p>
              </w:tc>
              <w:tc>
                <w:tcPr>
                  <w:tcW w:w="1275" w:type="dxa"/>
                  <w:noWrap w:val="0"/>
                  <w:vAlign w:val="center"/>
                </w:tcPr>
                <w:p w14:paraId="46BBE6C6">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m</w:t>
                  </w:r>
                  <w:r>
                    <w:rPr>
                      <w:rFonts w:hint="default" w:ascii="Times New Roman" w:hAnsi="Times New Roman" w:cs="Times New Roman"/>
                      <w:color w:val="auto"/>
                      <w:szCs w:val="21"/>
                      <w:u w:val="single"/>
                      <w:vertAlign w:val="superscript"/>
                    </w:rPr>
                    <w:t>3</w:t>
                  </w:r>
                  <w:r>
                    <w:rPr>
                      <w:rFonts w:hint="default" w:ascii="Times New Roman" w:hAnsi="Times New Roman" w:cs="Times New Roman"/>
                      <w:color w:val="auto"/>
                      <w:szCs w:val="21"/>
                      <w:u w:val="single"/>
                      <w:lang w:val="en-US" w:eastAsia="zh-CN"/>
                    </w:rPr>
                    <w:t>/a</w:t>
                  </w:r>
                </w:p>
              </w:tc>
              <w:tc>
                <w:tcPr>
                  <w:tcW w:w="2237" w:type="dxa"/>
                  <w:noWrap w:val="0"/>
                  <w:vAlign w:val="center"/>
                </w:tcPr>
                <w:p w14:paraId="6FD23596">
                  <w:pPr>
                    <w:tabs>
                      <w:tab w:val="left" w:pos="1021"/>
                    </w:tabs>
                    <w:jc w:val="center"/>
                    <w:rPr>
                      <w:rFonts w:hint="default" w:ascii="Times New Roman" w:hAnsi="Times New Roman" w:eastAsia="宋体" w:cs="Times New Roman"/>
                      <w:color w:val="auto"/>
                      <w:szCs w:val="21"/>
                      <w:u w:val="single"/>
                      <w:lang w:val="en-US" w:eastAsia="zh-CN"/>
                    </w:rPr>
                  </w:pPr>
                  <w:r>
                    <w:rPr>
                      <w:rFonts w:hint="eastAsia" w:ascii="Times New Roman" w:hAnsi="Times New Roman" w:cs="Times New Roman"/>
                      <w:color w:val="auto"/>
                      <w:szCs w:val="21"/>
                      <w:u w:val="single"/>
                      <w:lang w:val="en-US" w:eastAsia="zh-CN"/>
                    </w:rPr>
                    <w:t>1800</w:t>
                  </w:r>
                </w:p>
              </w:tc>
              <w:tc>
                <w:tcPr>
                  <w:tcW w:w="2760" w:type="dxa"/>
                  <w:shd w:val="clear" w:color="auto" w:fill="auto"/>
                  <w:noWrap w:val="0"/>
                  <w:vAlign w:val="center"/>
                </w:tcPr>
                <w:p w14:paraId="37FF1B66">
                  <w:pPr>
                    <w:tabs>
                      <w:tab w:val="left" w:pos="1021"/>
                    </w:tabs>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color w:val="auto"/>
                      <w:szCs w:val="21"/>
                      <w:u w:val="single"/>
                      <w:lang w:val="en-US" w:eastAsia="zh-CN"/>
                    </w:rPr>
                    <w:t>3317.16</w:t>
                  </w:r>
                </w:p>
              </w:tc>
            </w:tr>
          </w:tbl>
          <w:p w14:paraId="745B2C8A">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原辅料性质：</w:t>
            </w:r>
          </w:p>
          <w:p w14:paraId="2B6A83B0">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机油：即发动机润滑油，英文名称：Engine oil。密度约为0.91×10</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（kg/m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能对发动机起到润滑减磨、辅助冷却降温、密封防漏、防锈防蚀、减震缓冲等作用。被誉为汽车的“血液”。机油由基础油和添加剂两部分组成。基础油是润滑油的主要成分，决定着润滑油的基本性质，添加剂则可弥补和改善基础油性能方面的不足，赋予某些新的性能，是润滑油的重要组成部分。本项目所使用的机油均为外购于永州地区商品市场，建设方采取少量多次的方式采购机油。</w:t>
            </w:r>
          </w:p>
          <w:p w14:paraId="609BE754">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u w:val="single"/>
                <w:lang w:val="en-US" w:eastAsia="zh-CN"/>
              </w:rPr>
              <w:t>脱模剂：脱模剂用于混凝土浇筑前涂抹在施工模板上，以使浇筑后模板不致黏在混凝土表面上不易拆模，或影响混凝土表面的光洁度。其主要作用为在模板与混凝土表面形成一层膜将两者隔离开。建筑用脱模剂主要为聚氨酯脱模剂，其组成为：乳化蜡液：10%-15%；甲基硅油乳液：15%-20%；改性硅油乳液：5%-8%；去离子水：50%-55%；乳化剂：4.5%-6%；添加剂：0.5%-1%；防腐剂：0.3%-0.5%。这种水性脱模剂，主要应用于聚氨酯制品生产过程浇筑成型后离型；给予多数聚氨酯成型良好的脱模效果。其特点是以水为分散相，形成的水溶物既具备使聚氨酯泡沫脱模的功能，又具备生物降解性，无VOC等有害物质产生，环保性强；而且水作为稀释剂，无污染，低成本。</w:t>
            </w:r>
          </w:p>
          <w:p w14:paraId="4D32778A">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焊条：本项目使用钙钛型焊条，钙钛型焊条的发尘量约为6-8g/kg，本项目污染源源强核算以8g/kg计。</w:t>
            </w:r>
          </w:p>
          <w:p w14:paraId="5ABA566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u w:val="single"/>
                <w:lang w:val="en-US" w:eastAsia="zh-CN"/>
              </w:rPr>
            </w:pPr>
            <w:r>
              <w:rPr>
                <w:rFonts w:hint="default" w:ascii="Times New Roman" w:hAnsi="Times New Roman" w:eastAsia="宋体" w:cs="Times New Roman"/>
                <w:b/>
                <w:color w:val="auto"/>
                <w:sz w:val="24"/>
                <w:szCs w:val="24"/>
                <w:u w:val="single"/>
                <w:lang w:val="en-US" w:eastAsia="zh-CN"/>
              </w:rPr>
              <w:t>2.</w:t>
            </w:r>
            <w:r>
              <w:rPr>
                <w:rFonts w:hint="default" w:ascii="Times New Roman" w:hAnsi="Times New Roman" w:cs="Times New Roman"/>
                <w:b/>
                <w:color w:val="auto"/>
                <w:sz w:val="24"/>
                <w:szCs w:val="24"/>
                <w:u w:val="single"/>
                <w:lang w:val="en-US" w:eastAsia="zh-CN"/>
              </w:rPr>
              <w:t>5</w:t>
            </w:r>
            <w:r>
              <w:rPr>
                <w:rFonts w:hint="default" w:ascii="Times New Roman" w:hAnsi="Times New Roman" w:eastAsia="宋体" w:cs="Times New Roman"/>
                <w:b/>
                <w:color w:val="auto"/>
                <w:sz w:val="24"/>
                <w:szCs w:val="24"/>
                <w:u w:val="single"/>
                <w:lang w:val="en-US" w:eastAsia="zh-CN"/>
              </w:rPr>
              <w:t>主要生产设备</w:t>
            </w:r>
          </w:p>
          <w:p w14:paraId="24B0A702">
            <w:pPr>
              <w:keepNext w:val="0"/>
              <w:keepLines w:val="0"/>
              <w:pageBreakBefore w:val="0"/>
              <w:widowControl/>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u w:val="single"/>
              </w:rPr>
            </w:pPr>
            <w:r>
              <w:rPr>
                <w:rFonts w:hint="default" w:ascii="Times New Roman" w:hAnsi="Times New Roman" w:cs="Times New Roman"/>
                <w:color w:val="auto"/>
                <w:sz w:val="24"/>
                <w:u w:val="single"/>
              </w:rPr>
              <w:t>项目拟采用的设备不属于《部分工业行业淘汰落后生产工艺装备和产品指导目录》（2010年本）要求淘汰的落后设备，详见表3。</w:t>
            </w:r>
          </w:p>
          <w:p w14:paraId="624B46CC">
            <w:pPr>
              <w:pStyle w:val="161"/>
              <w:keepNext w:val="0"/>
              <w:keepLines w:val="0"/>
              <w:pageBreakBefore w:val="0"/>
              <w:widowControl/>
              <w:kinsoku/>
              <w:wordWrap/>
              <w:overflowPunct/>
              <w:topLinePunct w:val="0"/>
              <w:autoSpaceDE/>
              <w:autoSpaceDN/>
              <w:bidi w:val="0"/>
              <w:adjustRightInd/>
              <w:snapToGrid/>
              <w:spacing w:before="0" w:beforeLines="0" w:after="0" w:afterLines="0" w:line="360" w:lineRule="auto"/>
              <w:jc w:val="center"/>
              <w:textAlignment w:val="auto"/>
              <w:rPr>
                <w:rFonts w:hint="default" w:ascii="Times New Roman" w:hAnsi="Times New Roman" w:cs="Times New Roman"/>
                <w:color w:val="auto"/>
                <w:sz w:val="24"/>
                <w:szCs w:val="24"/>
                <w:u w:val="single"/>
              </w:rPr>
            </w:pPr>
            <w:r>
              <w:rPr>
                <w:rFonts w:hint="default" w:ascii="Times New Roman" w:hAnsi="Times New Roman" w:cs="Times New Roman"/>
                <w:color w:val="auto"/>
                <w:sz w:val="24"/>
                <w:szCs w:val="24"/>
                <w:u w:val="single"/>
              </w:rPr>
              <w:t>表3  主要设备、设施一览表</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2420"/>
              <w:gridCol w:w="1754"/>
              <w:gridCol w:w="1754"/>
              <w:gridCol w:w="2147"/>
            </w:tblGrid>
            <w:tr w14:paraId="43A1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noWrap w:val="0"/>
                  <w:vAlign w:val="center"/>
                </w:tcPr>
                <w:p w14:paraId="4A3D16B5">
                  <w:pPr>
                    <w:topLinePunct/>
                    <w:adjustRightInd w:val="0"/>
                    <w:snapToGrid w:val="0"/>
                    <w:jc w:val="center"/>
                    <w:rPr>
                      <w:rFonts w:hint="default" w:ascii="Times New Roman" w:hAnsi="Times New Roman" w:cs="Times New Roman"/>
                      <w:b/>
                      <w:bCs/>
                      <w:color w:val="auto"/>
                      <w:szCs w:val="21"/>
                      <w:u w:val="single"/>
                    </w:rPr>
                  </w:pPr>
                  <w:r>
                    <w:rPr>
                      <w:rFonts w:hint="default" w:ascii="Times New Roman" w:hAnsi="Times New Roman" w:cs="Times New Roman"/>
                      <w:b/>
                      <w:bCs/>
                      <w:color w:val="auto"/>
                      <w:szCs w:val="21"/>
                      <w:u w:val="single"/>
                    </w:rPr>
                    <w:t>序号</w:t>
                  </w:r>
                </w:p>
              </w:tc>
              <w:tc>
                <w:tcPr>
                  <w:tcW w:w="1365" w:type="pct"/>
                  <w:noWrap w:val="0"/>
                  <w:vAlign w:val="center"/>
                </w:tcPr>
                <w:p w14:paraId="22550033">
                  <w:pPr>
                    <w:topLinePunct/>
                    <w:adjustRightInd w:val="0"/>
                    <w:snapToGrid w:val="0"/>
                    <w:jc w:val="center"/>
                    <w:rPr>
                      <w:rFonts w:hint="default" w:ascii="Times New Roman" w:hAnsi="Times New Roman" w:cs="Times New Roman"/>
                      <w:b/>
                      <w:bCs/>
                      <w:color w:val="auto"/>
                      <w:szCs w:val="21"/>
                      <w:u w:val="single"/>
                    </w:rPr>
                  </w:pPr>
                  <w:r>
                    <w:rPr>
                      <w:rFonts w:hint="default" w:ascii="Times New Roman" w:hAnsi="Times New Roman" w:cs="Times New Roman"/>
                      <w:b/>
                      <w:bCs/>
                      <w:color w:val="auto"/>
                      <w:szCs w:val="21"/>
                      <w:u w:val="single"/>
                    </w:rPr>
                    <w:t>名称</w:t>
                  </w:r>
                </w:p>
              </w:tc>
              <w:tc>
                <w:tcPr>
                  <w:tcW w:w="989" w:type="pct"/>
                  <w:noWrap w:val="0"/>
                  <w:vAlign w:val="center"/>
                </w:tcPr>
                <w:p w14:paraId="774785C2">
                  <w:pPr>
                    <w:topLinePunct/>
                    <w:adjustRightInd w:val="0"/>
                    <w:snapToGrid w:val="0"/>
                    <w:jc w:val="center"/>
                    <w:rPr>
                      <w:rFonts w:hint="default" w:ascii="Times New Roman" w:hAnsi="Times New Roman" w:cs="Times New Roman"/>
                      <w:b/>
                      <w:bCs/>
                      <w:color w:val="auto"/>
                      <w:szCs w:val="21"/>
                      <w:u w:val="single"/>
                      <w:lang w:eastAsia="zh-CN"/>
                    </w:rPr>
                  </w:pPr>
                  <w:r>
                    <w:rPr>
                      <w:rFonts w:hint="default" w:ascii="Times New Roman" w:hAnsi="Times New Roman" w:cs="Times New Roman"/>
                      <w:b/>
                      <w:bCs/>
                      <w:color w:val="auto"/>
                      <w:szCs w:val="21"/>
                      <w:u w:val="single"/>
                      <w:lang w:eastAsia="zh-CN"/>
                    </w:rPr>
                    <w:t>改扩建前</w:t>
                  </w:r>
                </w:p>
              </w:tc>
              <w:tc>
                <w:tcPr>
                  <w:tcW w:w="989" w:type="pct"/>
                  <w:noWrap w:val="0"/>
                  <w:vAlign w:val="center"/>
                </w:tcPr>
                <w:p w14:paraId="636DA8F7">
                  <w:pPr>
                    <w:topLinePunct/>
                    <w:adjustRightInd w:val="0"/>
                    <w:snapToGrid w:val="0"/>
                    <w:jc w:val="center"/>
                    <w:rPr>
                      <w:rFonts w:hint="default" w:ascii="Times New Roman" w:hAnsi="Times New Roman" w:eastAsia="宋体" w:cs="Times New Roman"/>
                      <w:b/>
                      <w:bCs/>
                      <w:color w:val="auto"/>
                      <w:szCs w:val="21"/>
                      <w:u w:val="single"/>
                      <w:lang w:eastAsia="zh-CN"/>
                    </w:rPr>
                  </w:pPr>
                  <w:r>
                    <w:rPr>
                      <w:rFonts w:hint="default" w:ascii="Times New Roman" w:hAnsi="Times New Roman" w:cs="Times New Roman"/>
                      <w:b/>
                      <w:bCs/>
                      <w:color w:val="auto"/>
                      <w:szCs w:val="21"/>
                      <w:u w:val="single"/>
                      <w:lang w:eastAsia="zh-CN"/>
                    </w:rPr>
                    <w:t>改扩建后</w:t>
                  </w:r>
                </w:p>
              </w:tc>
              <w:tc>
                <w:tcPr>
                  <w:tcW w:w="1211" w:type="pct"/>
                  <w:noWrap w:val="0"/>
                  <w:vAlign w:val="center"/>
                </w:tcPr>
                <w:p w14:paraId="601F7C6B">
                  <w:pPr>
                    <w:topLinePunct/>
                    <w:adjustRightInd w:val="0"/>
                    <w:snapToGrid w:val="0"/>
                    <w:jc w:val="center"/>
                    <w:rPr>
                      <w:rFonts w:hint="default" w:ascii="Times New Roman" w:hAnsi="Times New Roman" w:eastAsia="宋体" w:cs="Times New Roman"/>
                      <w:b/>
                      <w:bCs/>
                      <w:color w:val="auto"/>
                      <w:szCs w:val="21"/>
                      <w:u w:val="single"/>
                      <w:lang w:val="en-US" w:eastAsia="zh-CN"/>
                    </w:rPr>
                  </w:pPr>
                  <w:r>
                    <w:rPr>
                      <w:rFonts w:hint="default" w:ascii="Times New Roman" w:hAnsi="Times New Roman" w:cs="Times New Roman"/>
                      <w:b/>
                      <w:bCs/>
                      <w:color w:val="auto"/>
                      <w:szCs w:val="21"/>
                      <w:u w:val="single"/>
                      <w:lang w:val="en-US" w:eastAsia="zh-CN"/>
                    </w:rPr>
                    <w:t>用途</w:t>
                  </w:r>
                </w:p>
              </w:tc>
            </w:tr>
            <w:tr w14:paraId="6C22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noWrap w:val="0"/>
                  <w:vAlign w:val="center"/>
                </w:tcPr>
                <w:p w14:paraId="1028A50D">
                  <w:pPr>
                    <w:topLinePunct/>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1</w:t>
                  </w:r>
                </w:p>
              </w:tc>
              <w:tc>
                <w:tcPr>
                  <w:tcW w:w="1365" w:type="pct"/>
                  <w:noWrap w:val="0"/>
                  <w:vAlign w:val="center"/>
                </w:tcPr>
                <w:p w14:paraId="53A3E72C">
                  <w:pPr>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钢筋调直机</w:t>
                  </w:r>
                </w:p>
              </w:tc>
              <w:tc>
                <w:tcPr>
                  <w:tcW w:w="989" w:type="pct"/>
                  <w:noWrap w:val="0"/>
                  <w:vAlign w:val="center"/>
                </w:tcPr>
                <w:p w14:paraId="169BF787">
                  <w:pPr>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1</w:t>
                  </w:r>
                </w:p>
              </w:tc>
              <w:tc>
                <w:tcPr>
                  <w:tcW w:w="989" w:type="pct"/>
                  <w:noWrap w:val="0"/>
                  <w:vAlign w:val="center"/>
                </w:tcPr>
                <w:p w14:paraId="68129AB6">
                  <w:pPr>
                    <w:jc w:val="center"/>
                    <w:rPr>
                      <w:rFonts w:hint="default" w:ascii="Times New Roman" w:hAnsi="Times New Roman" w:eastAsia="宋体" w:cs="Times New Roman"/>
                      <w:color w:val="auto"/>
                      <w:szCs w:val="21"/>
                      <w:u w:val="single"/>
                      <w:lang w:eastAsia="zh-CN"/>
                    </w:rPr>
                  </w:pPr>
                  <w:r>
                    <w:rPr>
                      <w:rFonts w:hint="default" w:ascii="Times New Roman" w:hAnsi="Times New Roman" w:cs="Times New Roman"/>
                      <w:color w:val="auto"/>
                      <w:szCs w:val="21"/>
                      <w:u w:val="single"/>
                      <w:lang w:val="en-US" w:eastAsia="zh-CN"/>
                    </w:rPr>
                    <w:t>2</w:t>
                  </w:r>
                </w:p>
              </w:tc>
              <w:tc>
                <w:tcPr>
                  <w:tcW w:w="1211" w:type="pct"/>
                  <w:noWrap w:val="0"/>
                  <w:vAlign w:val="center"/>
                </w:tcPr>
                <w:p w14:paraId="20CB6BFB">
                  <w:pPr>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用于拉直钢筋</w:t>
                  </w:r>
                </w:p>
              </w:tc>
            </w:tr>
            <w:tr w14:paraId="38E1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noWrap w:val="0"/>
                  <w:vAlign w:val="center"/>
                </w:tcPr>
                <w:p w14:paraId="0A17A6CA">
                  <w:pPr>
                    <w:topLinePunct/>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2</w:t>
                  </w:r>
                </w:p>
              </w:tc>
              <w:tc>
                <w:tcPr>
                  <w:tcW w:w="1365" w:type="pct"/>
                  <w:noWrap w:val="0"/>
                  <w:vAlign w:val="center"/>
                </w:tcPr>
                <w:p w14:paraId="38689770">
                  <w:pPr>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打圈机</w:t>
                  </w:r>
                </w:p>
              </w:tc>
              <w:tc>
                <w:tcPr>
                  <w:tcW w:w="989" w:type="pct"/>
                  <w:noWrap w:val="0"/>
                  <w:vAlign w:val="center"/>
                </w:tcPr>
                <w:p w14:paraId="7907388A">
                  <w:pPr>
                    <w:topLinePunct/>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1</w:t>
                  </w:r>
                </w:p>
              </w:tc>
              <w:tc>
                <w:tcPr>
                  <w:tcW w:w="989" w:type="pct"/>
                  <w:noWrap w:val="0"/>
                  <w:vAlign w:val="center"/>
                </w:tcPr>
                <w:p w14:paraId="552CD887">
                  <w:pPr>
                    <w:topLinePunct/>
                    <w:adjustRightInd w:val="0"/>
                    <w:snapToGrid w:val="0"/>
                    <w:jc w:val="center"/>
                    <w:rPr>
                      <w:rFonts w:hint="default" w:ascii="Times New Roman" w:hAnsi="Times New Roman" w:eastAsia="宋体" w:cs="Times New Roman"/>
                      <w:color w:val="auto"/>
                      <w:szCs w:val="21"/>
                      <w:u w:val="single"/>
                      <w:lang w:eastAsia="zh-CN"/>
                    </w:rPr>
                  </w:pPr>
                  <w:r>
                    <w:rPr>
                      <w:rFonts w:hint="default" w:ascii="Times New Roman" w:hAnsi="Times New Roman" w:cs="Times New Roman"/>
                      <w:color w:val="auto"/>
                      <w:szCs w:val="21"/>
                      <w:u w:val="single"/>
                      <w:lang w:val="en-US" w:eastAsia="zh-CN"/>
                    </w:rPr>
                    <w:t>2</w:t>
                  </w:r>
                </w:p>
              </w:tc>
              <w:tc>
                <w:tcPr>
                  <w:tcW w:w="1211" w:type="pct"/>
                  <w:noWrap w:val="0"/>
                  <w:vAlign w:val="center"/>
                </w:tcPr>
                <w:p w14:paraId="597E7352">
                  <w:pPr>
                    <w:topLinePunct/>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用于制作钢筋骨架</w:t>
                  </w:r>
                </w:p>
              </w:tc>
            </w:tr>
            <w:tr w14:paraId="55CB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43" w:type="pct"/>
                  <w:noWrap w:val="0"/>
                  <w:vAlign w:val="center"/>
                </w:tcPr>
                <w:p w14:paraId="37729E10">
                  <w:pPr>
                    <w:topLinePunct/>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3</w:t>
                  </w:r>
                </w:p>
              </w:tc>
              <w:tc>
                <w:tcPr>
                  <w:tcW w:w="1365" w:type="pct"/>
                  <w:noWrap w:val="0"/>
                  <w:vAlign w:val="center"/>
                </w:tcPr>
                <w:p w14:paraId="06020FD9">
                  <w:pPr>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CO</w:t>
                  </w:r>
                  <w:r>
                    <w:rPr>
                      <w:rFonts w:hint="default" w:ascii="Times New Roman" w:hAnsi="Times New Roman" w:cs="Times New Roman"/>
                      <w:color w:val="auto"/>
                      <w:szCs w:val="21"/>
                      <w:u w:val="single"/>
                      <w:vertAlign w:val="subscript"/>
                      <w:lang w:val="en-US" w:eastAsia="zh-CN"/>
                    </w:rPr>
                    <w:t>2</w:t>
                  </w:r>
                  <w:r>
                    <w:rPr>
                      <w:rFonts w:hint="default" w:ascii="Times New Roman" w:hAnsi="Times New Roman" w:cs="Times New Roman"/>
                      <w:color w:val="auto"/>
                      <w:szCs w:val="21"/>
                      <w:u w:val="single"/>
                      <w:lang w:val="en-US" w:eastAsia="zh-CN"/>
                    </w:rPr>
                    <w:t>气体保护焊机</w:t>
                  </w:r>
                </w:p>
              </w:tc>
              <w:tc>
                <w:tcPr>
                  <w:tcW w:w="989" w:type="pct"/>
                  <w:noWrap w:val="0"/>
                  <w:vAlign w:val="center"/>
                </w:tcPr>
                <w:p w14:paraId="1461E044">
                  <w:pPr>
                    <w:topLinePunct/>
                    <w:adjustRightInd w:val="0"/>
                    <w:snapToGrid w:val="0"/>
                    <w:jc w:val="center"/>
                    <w:rPr>
                      <w:rFonts w:hint="default" w:ascii="Times New Roman" w:hAnsi="Times New Roman" w:cs="Times New Roman"/>
                      <w:color w:val="auto"/>
                      <w:szCs w:val="21"/>
                      <w:u w:val="single"/>
                      <w:lang w:val="en-US" w:eastAsia="zh-CN"/>
                    </w:rPr>
                  </w:pPr>
                  <w:r>
                    <w:rPr>
                      <w:rFonts w:hint="default" w:ascii="Times New Roman" w:hAnsi="Times New Roman" w:cs="Times New Roman"/>
                      <w:color w:val="auto"/>
                      <w:szCs w:val="21"/>
                      <w:u w:val="single"/>
                      <w:lang w:val="en-US" w:eastAsia="zh-CN"/>
                    </w:rPr>
                    <w:t>1</w:t>
                  </w:r>
                </w:p>
              </w:tc>
              <w:tc>
                <w:tcPr>
                  <w:tcW w:w="989" w:type="pct"/>
                  <w:noWrap w:val="0"/>
                  <w:vAlign w:val="center"/>
                </w:tcPr>
                <w:p w14:paraId="1E8D84DA">
                  <w:pPr>
                    <w:topLinePunct/>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lang w:val="en-US" w:eastAsia="zh-CN"/>
                    </w:rPr>
                    <w:t>2</w:t>
                  </w:r>
                </w:p>
              </w:tc>
              <w:tc>
                <w:tcPr>
                  <w:tcW w:w="1211" w:type="pct"/>
                  <w:noWrap w:val="0"/>
                  <w:vAlign w:val="center"/>
                </w:tcPr>
                <w:p w14:paraId="147B6C2D">
                  <w:pPr>
                    <w:topLinePunct/>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用于焊接，制作钢筋骨架</w:t>
                  </w:r>
                </w:p>
              </w:tc>
            </w:tr>
            <w:tr w14:paraId="6D24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noWrap w:val="0"/>
                  <w:vAlign w:val="center"/>
                </w:tcPr>
                <w:p w14:paraId="563AC2FA">
                  <w:pPr>
                    <w:topLinePunct/>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4</w:t>
                  </w:r>
                </w:p>
              </w:tc>
              <w:tc>
                <w:tcPr>
                  <w:tcW w:w="1365" w:type="pct"/>
                  <w:noWrap w:val="0"/>
                  <w:vAlign w:val="center"/>
                </w:tcPr>
                <w:p w14:paraId="7B6B2175">
                  <w:pPr>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搅拌机</w:t>
                  </w:r>
                </w:p>
              </w:tc>
              <w:tc>
                <w:tcPr>
                  <w:tcW w:w="989" w:type="pct"/>
                  <w:noWrap w:val="0"/>
                  <w:vAlign w:val="center"/>
                </w:tcPr>
                <w:p w14:paraId="59FDF806">
                  <w:pPr>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1</w:t>
                  </w:r>
                </w:p>
              </w:tc>
              <w:tc>
                <w:tcPr>
                  <w:tcW w:w="989" w:type="pct"/>
                  <w:noWrap w:val="0"/>
                  <w:vAlign w:val="center"/>
                </w:tcPr>
                <w:p w14:paraId="6CA94ACE">
                  <w:pPr>
                    <w:jc w:val="center"/>
                    <w:rPr>
                      <w:rFonts w:hint="default" w:ascii="Times New Roman" w:hAnsi="Times New Roman" w:eastAsia="宋体" w:cs="Times New Roman"/>
                      <w:color w:val="auto"/>
                      <w:szCs w:val="21"/>
                      <w:u w:val="single"/>
                      <w:lang w:eastAsia="zh-CN"/>
                    </w:rPr>
                  </w:pPr>
                  <w:r>
                    <w:rPr>
                      <w:rFonts w:hint="default" w:ascii="Times New Roman" w:hAnsi="Times New Roman" w:cs="Times New Roman"/>
                      <w:color w:val="auto"/>
                      <w:szCs w:val="21"/>
                      <w:u w:val="single"/>
                      <w:lang w:val="en-US" w:eastAsia="zh-CN"/>
                    </w:rPr>
                    <w:t>2</w:t>
                  </w:r>
                </w:p>
              </w:tc>
              <w:tc>
                <w:tcPr>
                  <w:tcW w:w="1211" w:type="pct"/>
                  <w:noWrap w:val="0"/>
                  <w:vAlign w:val="center"/>
                </w:tcPr>
                <w:p w14:paraId="7BDD8E58">
                  <w:pPr>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用于制作混凝土</w:t>
                  </w:r>
                </w:p>
              </w:tc>
            </w:tr>
            <w:tr w14:paraId="5D2C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noWrap w:val="0"/>
                  <w:vAlign w:val="center"/>
                </w:tcPr>
                <w:p w14:paraId="31EA2300">
                  <w:pPr>
                    <w:topLinePunct/>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5</w:t>
                  </w:r>
                </w:p>
              </w:tc>
              <w:tc>
                <w:tcPr>
                  <w:tcW w:w="1365" w:type="pct"/>
                  <w:noWrap w:val="0"/>
                  <w:vAlign w:val="center"/>
                </w:tcPr>
                <w:p w14:paraId="55DDAAC1">
                  <w:pPr>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混凝土配料机</w:t>
                  </w:r>
                </w:p>
              </w:tc>
              <w:tc>
                <w:tcPr>
                  <w:tcW w:w="989" w:type="pct"/>
                  <w:noWrap w:val="0"/>
                  <w:vAlign w:val="center"/>
                </w:tcPr>
                <w:p w14:paraId="24F8CE07">
                  <w:pPr>
                    <w:topLinePunct/>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1</w:t>
                  </w:r>
                </w:p>
              </w:tc>
              <w:tc>
                <w:tcPr>
                  <w:tcW w:w="989" w:type="pct"/>
                  <w:noWrap w:val="0"/>
                  <w:vAlign w:val="center"/>
                </w:tcPr>
                <w:p w14:paraId="08D6B982">
                  <w:pPr>
                    <w:topLinePunct/>
                    <w:adjustRightInd w:val="0"/>
                    <w:snapToGrid w:val="0"/>
                    <w:jc w:val="center"/>
                    <w:rPr>
                      <w:rFonts w:hint="default" w:ascii="Times New Roman" w:hAnsi="Times New Roman" w:eastAsia="宋体" w:cs="Times New Roman"/>
                      <w:color w:val="auto"/>
                      <w:szCs w:val="21"/>
                      <w:u w:val="single"/>
                      <w:lang w:eastAsia="zh-CN"/>
                    </w:rPr>
                  </w:pPr>
                  <w:r>
                    <w:rPr>
                      <w:rFonts w:hint="default" w:ascii="Times New Roman" w:hAnsi="Times New Roman" w:cs="Times New Roman"/>
                      <w:color w:val="auto"/>
                      <w:szCs w:val="21"/>
                      <w:u w:val="single"/>
                      <w:lang w:val="en-US" w:eastAsia="zh-CN"/>
                    </w:rPr>
                    <w:t>2</w:t>
                  </w:r>
                </w:p>
              </w:tc>
              <w:tc>
                <w:tcPr>
                  <w:tcW w:w="1211" w:type="pct"/>
                  <w:noWrap w:val="0"/>
                  <w:vAlign w:val="center"/>
                </w:tcPr>
                <w:p w14:paraId="38BE38AA">
                  <w:pPr>
                    <w:topLinePunct/>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用于配料</w:t>
                  </w:r>
                </w:p>
              </w:tc>
            </w:tr>
            <w:tr w14:paraId="30F88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noWrap w:val="0"/>
                  <w:vAlign w:val="center"/>
                </w:tcPr>
                <w:p w14:paraId="26950600">
                  <w:pPr>
                    <w:topLinePunct/>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6</w:t>
                  </w:r>
                </w:p>
              </w:tc>
              <w:tc>
                <w:tcPr>
                  <w:tcW w:w="1365" w:type="pct"/>
                  <w:noWrap w:val="0"/>
                  <w:vAlign w:val="center"/>
                </w:tcPr>
                <w:p w14:paraId="21D84906">
                  <w:pPr>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铲车</w:t>
                  </w:r>
                </w:p>
              </w:tc>
              <w:tc>
                <w:tcPr>
                  <w:tcW w:w="989" w:type="pct"/>
                  <w:noWrap w:val="0"/>
                  <w:vAlign w:val="center"/>
                </w:tcPr>
                <w:p w14:paraId="64DA6B80">
                  <w:pPr>
                    <w:topLinePunct/>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1</w:t>
                  </w:r>
                </w:p>
              </w:tc>
              <w:tc>
                <w:tcPr>
                  <w:tcW w:w="989" w:type="pct"/>
                  <w:noWrap w:val="0"/>
                  <w:vAlign w:val="center"/>
                </w:tcPr>
                <w:p w14:paraId="06B5088E">
                  <w:pPr>
                    <w:topLinePunct/>
                    <w:adjustRightInd w:val="0"/>
                    <w:snapToGrid w:val="0"/>
                    <w:jc w:val="center"/>
                    <w:rPr>
                      <w:rFonts w:hint="default" w:ascii="Times New Roman" w:hAnsi="Times New Roman" w:eastAsia="宋体" w:cs="Times New Roman"/>
                      <w:color w:val="auto"/>
                      <w:szCs w:val="21"/>
                      <w:u w:val="single"/>
                      <w:lang w:eastAsia="zh-CN"/>
                    </w:rPr>
                  </w:pPr>
                  <w:r>
                    <w:rPr>
                      <w:rFonts w:hint="default" w:ascii="Times New Roman" w:hAnsi="Times New Roman" w:cs="Times New Roman"/>
                      <w:color w:val="auto"/>
                      <w:szCs w:val="21"/>
                      <w:u w:val="single"/>
                      <w:lang w:val="en-US" w:eastAsia="zh-CN"/>
                    </w:rPr>
                    <w:t>1</w:t>
                  </w:r>
                </w:p>
              </w:tc>
              <w:tc>
                <w:tcPr>
                  <w:tcW w:w="1211" w:type="pct"/>
                  <w:noWrap w:val="0"/>
                  <w:vAlign w:val="center"/>
                </w:tcPr>
                <w:p w14:paraId="265C8DCE">
                  <w:pPr>
                    <w:topLinePunct/>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用于转运装运物料</w:t>
                  </w:r>
                </w:p>
              </w:tc>
            </w:tr>
            <w:tr w14:paraId="57D1C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noWrap w:val="0"/>
                  <w:vAlign w:val="center"/>
                </w:tcPr>
                <w:p w14:paraId="5C6AF968">
                  <w:pPr>
                    <w:topLinePunct/>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8</w:t>
                  </w:r>
                </w:p>
              </w:tc>
              <w:tc>
                <w:tcPr>
                  <w:tcW w:w="1365" w:type="pct"/>
                  <w:noWrap w:val="0"/>
                  <w:vAlign w:val="center"/>
                </w:tcPr>
                <w:p w14:paraId="1EC3F42A">
                  <w:pPr>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行车</w:t>
                  </w:r>
                </w:p>
              </w:tc>
              <w:tc>
                <w:tcPr>
                  <w:tcW w:w="989" w:type="pct"/>
                  <w:noWrap w:val="0"/>
                  <w:vAlign w:val="center"/>
                </w:tcPr>
                <w:p w14:paraId="2C674EBA">
                  <w:pPr>
                    <w:topLinePunct/>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2</w:t>
                  </w:r>
                </w:p>
              </w:tc>
              <w:tc>
                <w:tcPr>
                  <w:tcW w:w="989" w:type="pct"/>
                  <w:noWrap w:val="0"/>
                  <w:vAlign w:val="center"/>
                </w:tcPr>
                <w:p w14:paraId="1D5A08A4">
                  <w:pPr>
                    <w:topLinePunct/>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3</w:t>
                  </w:r>
                </w:p>
              </w:tc>
              <w:tc>
                <w:tcPr>
                  <w:tcW w:w="1211" w:type="pct"/>
                  <w:noWrap w:val="0"/>
                  <w:vAlign w:val="center"/>
                </w:tcPr>
                <w:p w14:paraId="415849E9">
                  <w:pPr>
                    <w:topLinePunct/>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用于转移水泥电杆</w:t>
                  </w:r>
                </w:p>
              </w:tc>
            </w:tr>
            <w:tr w14:paraId="61A1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noWrap w:val="0"/>
                  <w:vAlign w:val="center"/>
                </w:tcPr>
                <w:p w14:paraId="2851BD98">
                  <w:pPr>
                    <w:topLinePunct/>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9</w:t>
                  </w:r>
                </w:p>
              </w:tc>
              <w:tc>
                <w:tcPr>
                  <w:tcW w:w="1365" w:type="pct"/>
                  <w:noWrap w:val="0"/>
                  <w:vAlign w:val="center"/>
                </w:tcPr>
                <w:p w14:paraId="13D9A62F">
                  <w:pPr>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离心机</w:t>
                  </w:r>
                </w:p>
              </w:tc>
              <w:tc>
                <w:tcPr>
                  <w:tcW w:w="989" w:type="pct"/>
                  <w:noWrap w:val="0"/>
                  <w:vAlign w:val="center"/>
                </w:tcPr>
                <w:p w14:paraId="16EF4D3F">
                  <w:pPr>
                    <w:topLinePunct/>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2</w:t>
                  </w:r>
                </w:p>
              </w:tc>
              <w:tc>
                <w:tcPr>
                  <w:tcW w:w="989" w:type="pct"/>
                  <w:noWrap w:val="0"/>
                  <w:vAlign w:val="center"/>
                </w:tcPr>
                <w:p w14:paraId="526F443E">
                  <w:pPr>
                    <w:topLinePunct/>
                    <w:adjustRightInd w:val="0"/>
                    <w:snapToGrid w:val="0"/>
                    <w:jc w:val="center"/>
                    <w:rPr>
                      <w:rFonts w:hint="default" w:ascii="Times New Roman" w:hAnsi="Times New Roman" w:eastAsia="宋体" w:cs="Times New Roman"/>
                      <w:color w:val="auto"/>
                      <w:szCs w:val="21"/>
                      <w:u w:val="single"/>
                      <w:lang w:eastAsia="zh-CN"/>
                    </w:rPr>
                  </w:pPr>
                  <w:r>
                    <w:rPr>
                      <w:rFonts w:hint="default" w:ascii="Times New Roman" w:hAnsi="Times New Roman" w:cs="Times New Roman"/>
                      <w:color w:val="auto"/>
                      <w:szCs w:val="21"/>
                      <w:u w:val="single"/>
                      <w:lang w:val="en-US" w:eastAsia="zh-CN"/>
                    </w:rPr>
                    <w:t>4</w:t>
                  </w:r>
                </w:p>
              </w:tc>
              <w:tc>
                <w:tcPr>
                  <w:tcW w:w="1211" w:type="pct"/>
                  <w:noWrap w:val="0"/>
                  <w:vAlign w:val="center"/>
                </w:tcPr>
                <w:p w14:paraId="5A5D2852">
                  <w:pPr>
                    <w:topLinePunct/>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用于水泥电杆成型</w:t>
                  </w:r>
                </w:p>
              </w:tc>
            </w:tr>
            <w:tr w14:paraId="5DA1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noWrap w:val="0"/>
                  <w:vAlign w:val="center"/>
                </w:tcPr>
                <w:p w14:paraId="7E058C72">
                  <w:pPr>
                    <w:topLinePunct/>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10</w:t>
                  </w:r>
                </w:p>
              </w:tc>
              <w:tc>
                <w:tcPr>
                  <w:tcW w:w="1365" w:type="pct"/>
                  <w:noWrap w:val="0"/>
                  <w:vAlign w:val="center"/>
                </w:tcPr>
                <w:p w14:paraId="24A8290D">
                  <w:pPr>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水泥筒仓</w:t>
                  </w:r>
                </w:p>
              </w:tc>
              <w:tc>
                <w:tcPr>
                  <w:tcW w:w="989" w:type="pct"/>
                  <w:noWrap w:val="0"/>
                  <w:vAlign w:val="center"/>
                </w:tcPr>
                <w:p w14:paraId="31318309">
                  <w:pPr>
                    <w:topLinePunct/>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1</w:t>
                  </w:r>
                </w:p>
              </w:tc>
              <w:tc>
                <w:tcPr>
                  <w:tcW w:w="989" w:type="pct"/>
                  <w:noWrap w:val="0"/>
                  <w:vAlign w:val="center"/>
                </w:tcPr>
                <w:p w14:paraId="62C66F01">
                  <w:pPr>
                    <w:topLinePunct/>
                    <w:adjustRightInd w:val="0"/>
                    <w:snapToGrid w:val="0"/>
                    <w:jc w:val="center"/>
                    <w:rPr>
                      <w:rFonts w:hint="default" w:ascii="Times New Roman" w:hAnsi="Times New Roman" w:eastAsia="宋体" w:cs="Times New Roman"/>
                      <w:color w:val="auto"/>
                      <w:szCs w:val="21"/>
                      <w:u w:val="single"/>
                      <w:lang w:eastAsia="zh-CN"/>
                    </w:rPr>
                  </w:pPr>
                  <w:r>
                    <w:rPr>
                      <w:rFonts w:hint="default" w:ascii="Times New Roman" w:hAnsi="Times New Roman" w:cs="Times New Roman"/>
                      <w:color w:val="auto"/>
                      <w:szCs w:val="21"/>
                      <w:u w:val="single"/>
                      <w:lang w:val="en-US" w:eastAsia="zh-CN"/>
                    </w:rPr>
                    <w:t>2</w:t>
                  </w:r>
                </w:p>
              </w:tc>
              <w:tc>
                <w:tcPr>
                  <w:tcW w:w="1211" w:type="pct"/>
                  <w:noWrap w:val="0"/>
                  <w:vAlign w:val="center"/>
                </w:tcPr>
                <w:p w14:paraId="2A68E05B">
                  <w:pPr>
                    <w:topLinePunct/>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用于存储水泥</w:t>
                  </w:r>
                </w:p>
              </w:tc>
            </w:tr>
            <w:tr w14:paraId="3AD9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noWrap w:val="0"/>
                  <w:vAlign w:val="center"/>
                </w:tcPr>
                <w:p w14:paraId="2319F3D3">
                  <w:pPr>
                    <w:topLinePunct/>
                    <w:adjustRightInd w:val="0"/>
                    <w:snapToGrid w:val="0"/>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11</w:t>
                  </w:r>
                </w:p>
              </w:tc>
              <w:tc>
                <w:tcPr>
                  <w:tcW w:w="1365" w:type="pct"/>
                  <w:noWrap w:val="0"/>
                  <w:vAlign w:val="center"/>
                </w:tcPr>
                <w:p w14:paraId="445F7E90">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lang w:val="en-US" w:eastAsia="zh-CN"/>
                    </w:rPr>
                    <w:t>钢模</w:t>
                  </w:r>
                </w:p>
              </w:tc>
              <w:tc>
                <w:tcPr>
                  <w:tcW w:w="989" w:type="pct"/>
                  <w:noWrap w:val="0"/>
                  <w:vAlign w:val="center"/>
                </w:tcPr>
                <w:p w14:paraId="2E1ACE5B">
                  <w:pPr>
                    <w:tabs>
                      <w:tab w:val="left" w:pos="1021"/>
                    </w:tabs>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46</w:t>
                  </w:r>
                </w:p>
              </w:tc>
              <w:tc>
                <w:tcPr>
                  <w:tcW w:w="989" w:type="pct"/>
                  <w:noWrap w:val="0"/>
                  <w:vAlign w:val="center"/>
                </w:tcPr>
                <w:p w14:paraId="0B8D4489">
                  <w:pPr>
                    <w:tabs>
                      <w:tab w:val="left" w:pos="1021"/>
                    </w:tabs>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60</w:t>
                  </w:r>
                </w:p>
              </w:tc>
              <w:tc>
                <w:tcPr>
                  <w:tcW w:w="1211" w:type="pct"/>
                  <w:noWrap w:val="0"/>
                  <w:vAlign w:val="center"/>
                </w:tcPr>
                <w:p w14:paraId="0CFD57B9">
                  <w:pPr>
                    <w:topLinePunct/>
                    <w:adjustRightInd w:val="0"/>
                    <w:snapToGrid w:val="0"/>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用于电杆成型</w:t>
                  </w:r>
                </w:p>
              </w:tc>
            </w:tr>
            <w:tr w14:paraId="71A3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noWrap w:val="0"/>
                  <w:vAlign w:val="center"/>
                </w:tcPr>
                <w:p w14:paraId="4C7B207A">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12</w:t>
                  </w:r>
                </w:p>
              </w:tc>
              <w:tc>
                <w:tcPr>
                  <w:tcW w:w="1365" w:type="pct"/>
                  <w:noWrap w:val="0"/>
                  <w:vAlign w:val="center"/>
                </w:tcPr>
                <w:p w14:paraId="5EBBC9F8">
                  <w:pPr>
                    <w:tabs>
                      <w:tab w:val="left" w:pos="1021"/>
                    </w:tabs>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eastAsia="zh-CN"/>
                    </w:rPr>
                    <w:t>生物质燃料蒸汽发生器</w:t>
                  </w:r>
                </w:p>
              </w:tc>
              <w:tc>
                <w:tcPr>
                  <w:tcW w:w="989" w:type="pct"/>
                  <w:noWrap w:val="0"/>
                  <w:vAlign w:val="center"/>
                </w:tcPr>
                <w:p w14:paraId="06BCBFC9">
                  <w:pPr>
                    <w:tabs>
                      <w:tab w:val="left" w:pos="1021"/>
                    </w:tabs>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1</w:t>
                  </w:r>
                </w:p>
              </w:tc>
              <w:tc>
                <w:tcPr>
                  <w:tcW w:w="989" w:type="pct"/>
                  <w:noWrap w:val="0"/>
                  <w:vAlign w:val="center"/>
                </w:tcPr>
                <w:p w14:paraId="2D204417">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1</w:t>
                  </w:r>
                </w:p>
              </w:tc>
              <w:tc>
                <w:tcPr>
                  <w:tcW w:w="1211" w:type="pct"/>
                  <w:noWrap w:val="0"/>
                  <w:vAlign w:val="center"/>
                </w:tcPr>
                <w:p w14:paraId="2568F637">
                  <w:pPr>
                    <w:tabs>
                      <w:tab w:val="left" w:pos="1021"/>
                    </w:tabs>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用于提供蒸汽</w:t>
                  </w:r>
                </w:p>
              </w:tc>
            </w:tr>
            <w:tr w14:paraId="174B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noWrap w:val="0"/>
                  <w:vAlign w:val="center"/>
                </w:tcPr>
                <w:p w14:paraId="559EE4E8">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13</w:t>
                  </w:r>
                </w:p>
              </w:tc>
              <w:tc>
                <w:tcPr>
                  <w:tcW w:w="1365" w:type="pct"/>
                  <w:noWrap w:val="0"/>
                  <w:vAlign w:val="center"/>
                </w:tcPr>
                <w:p w14:paraId="1FA6E25A">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kern w:val="0"/>
                      <w:szCs w:val="21"/>
                      <w:u w:val="single"/>
                    </w:rPr>
                    <w:t>钢筋校直切断机</w:t>
                  </w:r>
                </w:p>
              </w:tc>
              <w:tc>
                <w:tcPr>
                  <w:tcW w:w="989" w:type="pct"/>
                  <w:noWrap w:val="0"/>
                  <w:vAlign w:val="center"/>
                </w:tcPr>
                <w:p w14:paraId="606AD761">
                  <w:pPr>
                    <w:tabs>
                      <w:tab w:val="left" w:pos="1021"/>
                    </w:tabs>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1</w:t>
                  </w:r>
                </w:p>
              </w:tc>
              <w:tc>
                <w:tcPr>
                  <w:tcW w:w="989" w:type="pct"/>
                  <w:noWrap w:val="0"/>
                  <w:vAlign w:val="center"/>
                </w:tcPr>
                <w:p w14:paraId="14D3CC94">
                  <w:pPr>
                    <w:tabs>
                      <w:tab w:val="left" w:pos="1021"/>
                    </w:tabs>
                    <w:jc w:val="center"/>
                    <w:rPr>
                      <w:rFonts w:hint="default" w:ascii="Times New Roman" w:hAnsi="Times New Roman" w:cs="Times New Roman"/>
                      <w:color w:val="auto"/>
                      <w:szCs w:val="21"/>
                      <w:u w:val="single"/>
                    </w:rPr>
                  </w:pPr>
                  <w:r>
                    <w:rPr>
                      <w:rFonts w:hint="default" w:ascii="Times New Roman" w:hAnsi="Times New Roman" w:cs="Times New Roman"/>
                      <w:color w:val="auto"/>
                      <w:szCs w:val="21"/>
                      <w:u w:val="single"/>
                    </w:rPr>
                    <w:t>1</w:t>
                  </w:r>
                </w:p>
              </w:tc>
              <w:tc>
                <w:tcPr>
                  <w:tcW w:w="1211" w:type="pct"/>
                  <w:noWrap w:val="0"/>
                  <w:vAlign w:val="center"/>
                </w:tcPr>
                <w:p w14:paraId="57A9023B">
                  <w:pPr>
                    <w:tabs>
                      <w:tab w:val="left" w:pos="1021"/>
                    </w:tabs>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用于切断钢筋</w:t>
                  </w:r>
                </w:p>
              </w:tc>
            </w:tr>
            <w:tr w14:paraId="5EA1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noWrap w:val="0"/>
                  <w:vAlign w:val="center"/>
                </w:tcPr>
                <w:p w14:paraId="18A12430">
                  <w:pPr>
                    <w:tabs>
                      <w:tab w:val="left" w:pos="1021"/>
                    </w:tabs>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14</w:t>
                  </w:r>
                </w:p>
              </w:tc>
              <w:tc>
                <w:tcPr>
                  <w:tcW w:w="1365" w:type="pct"/>
                  <w:noWrap w:val="0"/>
                  <w:vAlign w:val="center"/>
                </w:tcPr>
                <w:p w14:paraId="4AC8B1EF">
                  <w:pPr>
                    <w:tabs>
                      <w:tab w:val="left" w:pos="1021"/>
                    </w:tabs>
                    <w:jc w:val="center"/>
                    <w:rPr>
                      <w:rFonts w:hint="default" w:ascii="Times New Roman" w:hAnsi="Times New Roman" w:eastAsia="宋体" w:cs="Times New Roman"/>
                      <w:color w:val="auto"/>
                      <w:kern w:val="0"/>
                      <w:szCs w:val="21"/>
                      <w:u w:val="single"/>
                      <w:lang w:val="en-US" w:eastAsia="zh-CN"/>
                    </w:rPr>
                  </w:pPr>
                  <w:r>
                    <w:rPr>
                      <w:rFonts w:hint="default" w:ascii="Times New Roman" w:hAnsi="Times New Roman" w:cs="Times New Roman"/>
                      <w:color w:val="auto"/>
                      <w:kern w:val="0"/>
                      <w:szCs w:val="21"/>
                      <w:u w:val="single"/>
                      <w:lang w:val="en-US" w:eastAsia="zh-CN"/>
                    </w:rPr>
                    <w:t>滚焊机</w:t>
                  </w:r>
                </w:p>
              </w:tc>
              <w:tc>
                <w:tcPr>
                  <w:tcW w:w="989" w:type="pct"/>
                  <w:noWrap w:val="0"/>
                  <w:vAlign w:val="center"/>
                </w:tcPr>
                <w:p w14:paraId="6A232B2B">
                  <w:pPr>
                    <w:tabs>
                      <w:tab w:val="left" w:pos="1021"/>
                    </w:tabs>
                    <w:jc w:val="center"/>
                    <w:rPr>
                      <w:rFonts w:hint="default" w:ascii="Times New Roman" w:hAnsi="Times New Roman" w:cs="Times New Roman"/>
                      <w:color w:val="auto"/>
                      <w:szCs w:val="21"/>
                      <w:u w:val="single"/>
                      <w:lang w:val="en-US" w:eastAsia="zh-CN"/>
                    </w:rPr>
                  </w:pPr>
                  <w:r>
                    <w:rPr>
                      <w:rFonts w:hint="default" w:ascii="Times New Roman" w:hAnsi="Times New Roman" w:cs="Times New Roman"/>
                      <w:color w:val="auto"/>
                      <w:szCs w:val="21"/>
                      <w:u w:val="single"/>
                      <w:lang w:val="en-US" w:eastAsia="zh-CN"/>
                    </w:rPr>
                    <w:t>1</w:t>
                  </w:r>
                </w:p>
              </w:tc>
              <w:tc>
                <w:tcPr>
                  <w:tcW w:w="989" w:type="pct"/>
                  <w:noWrap w:val="0"/>
                  <w:vAlign w:val="center"/>
                </w:tcPr>
                <w:p w14:paraId="6949060D">
                  <w:pPr>
                    <w:tabs>
                      <w:tab w:val="left" w:pos="1021"/>
                    </w:tabs>
                    <w:jc w:val="center"/>
                    <w:rPr>
                      <w:rFonts w:hint="default" w:ascii="Times New Roman" w:hAnsi="Times New Roman" w:eastAsia="宋体" w:cs="Times New Roman"/>
                      <w:color w:val="auto"/>
                      <w:szCs w:val="21"/>
                      <w:u w:val="single"/>
                      <w:lang w:val="en-US" w:eastAsia="zh-CN"/>
                    </w:rPr>
                  </w:pPr>
                  <w:r>
                    <w:rPr>
                      <w:rFonts w:hint="default" w:ascii="Times New Roman" w:hAnsi="Times New Roman" w:cs="Times New Roman"/>
                      <w:color w:val="auto"/>
                      <w:szCs w:val="21"/>
                      <w:u w:val="single"/>
                      <w:lang w:val="en-US" w:eastAsia="zh-CN"/>
                    </w:rPr>
                    <w:t>2</w:t>
                  </w:r>
                </w:p>
              </w:tc>
              <w:tc>
                <w:tcPr>
                  <w:tcW w:w="1211" w:type="pct"/>
                  <w:noWrap w:val="0"/>
                  <w:vAlign w:val="center"/>
                </w:tcPr>
                <w:p w14:paraId="01E135CA">
                  <w:pPr>
                    <w:tabs>
                      <w:tab w:val="left" w:pos="1021"/>
                    </w:tabs>
                    <w:jc w:val="center"/>
                    <w:rPr>
                      <w:rFonts w:hint="default" w:ascii="Times New Roman" w:hAnsi="Times New Roman" w:cs="Times New Roman"/>
                      <w:color w:val="auto"/>
                      <w:szCs w:val="21"/>
                      <w:u w:val="single"/>
                      <w:lang w:val="en-US" w:eastAsia="zh-CN"/>
                    </w:rPr>
                  </w:pPr>
                  <w:r>
                    <w:rPr>
                      <w:rFonts w:hint="default" w:ascii="Times New Roman" w:hAnsi="Times New Roman" w:cs="Times New Roman"/>
                      <w:color w:val="auto"/>
                      <w:szCs w:val="21"/>
                      <w:u w:val="single"/>
                      <w:lang w:val="en-US" w:eastAsia="zh-CN"/>
                    </w:rPr>
                    <w:t>用于制作钢筋骨架</w:t>
                  </w:r>
                </w:p>
              </w:tc>
            </w:tr>
            <w:tr w14:paraId="7B96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3" w:type="pct"/>
                  <w:noWrap w:val="0"/>
                  <w:vAlign w:val="center"/>
                </w:tcPr>
                <w:p w14:paraId="63B15896">
                  <w:pPr>
                    <w:tabs>
                      <w:tab w:val="left" w:pos="1021"/>
                    </w:tabs>
                    <w:jc w:val="center"/>
                    <w:rPr>
                      <w:rFonts w:hint="default" w:ascii="Times New Roman" w:hAnsi="Times New Roman" w:cs="Times New Roman"/>
                      <w:color w:val="auto"/>
                      <w:szCs w:val="21"/>
                      <w:u w:val="single"/>
                      <w:lang w:val="en-US" w:eastAsia="zh-CN"/>
                    </w:rPr>
                  </w:pPr>
                  <w:r>
                    <w:rPr>
                      <w:rFonts w:hint="eastAsia" w:ascii="Times New Roman" w:hAnsi="Times New Roman" w:cs="Times New Roman"/>
                      <w:color w:val="auto"/>
                      <w:szCs w:val="21"/>
                      <w:u w:val="single"/>
                      <w:lang w:val="en-US" w:eastAsia="zh-CN"/>
                    </w:rPr>
                    <w:t>15</w:t>
                  </w:r>
                </w:p>
              </w:tc>
              <w:tc>
                <w:tcPr>
                  <w:tcW w:w="1365" w:type="pct"/>
                  <w:noWrap w:val="0"/>
                  <w:vAlign w:val="center"/>
                </w:tcPr>
                <w:p w14:paraId="369C080E">
                  <w:pPr>
                    <w:tabs>
                      <w:tab w:val="left" w:pos="1021"/>
                    </w:tabs>
                    <w:jc w:val="center"/>
                    <w:rPr>
                      <w:rFonts w:hint="default" w:ascii="Times New Roman" w:hAnsi="Times New Roman" w:cs="Times New Roman"/>
                      <w:color w:val="auto"/>
                      <w:kern w:val="0"/>
                      <w:szCs w:val="21"/>
                      <w:u w:val="single"/>
                      <w:lang w:val="en-US" w:eastAsia="zh-CN"/>
                    </w:rPr>
                  </w:pPr>
                  <w:r>
                    <w:rPr>
                      <w:rFonts w:hint="eastAsia" w:ascii="Times New Roman" w:hAnsi="Times New Roman" w:cs="Times New Roman"/>
                      <w:color w:val="auto"/>
                      <w:kern w:val="0"/>
                      <w:szCs w:val="21"/>
                      <w:u w:val="single"/>
                      <w:lang w:val="en-US" w:eastAsia="zh-CN"/>
                    </w:rPr>
                    <w:t>喷淋设施</w:t>
                  </w:r>
                </w:p>
              </w:tc>
              <w:tc>
                <w:tcPr>
                  <w:tcW w:w="989" w:type="pct"/>
                  <w:noWrap w:val="0"/>
                  <w:vAlign w:val="center"/>
                </w:tcPr>
                <w:p w14:paraId="251FB435">
                  <w:pPr>
                    <w:tabs>
                      <w:tab w:val="left" w:pos="1021"/>
                    </w:tabs>
                    <w:jc w:val="center"/>
                    <w:rPr>
                      <w:rFonts w:hint="default" w:ascii="Times New Roman" w:hAnsi="Times New Roman" w:cs="Times New Roman"/>
                      <w:color w:val="auto"/>
                      <w:szCs w:val="21"/>
                      <w:u w:val="single"/>
                      <w:lang w:val="en-US" w:eastAsia="zh-CN"/>
                    </w:rPr>
                  </w:pPr>
                  <w:r>
                    <w:rPr>
                      <w:rFonts w:hint="eastAsia" w:ascii="Times New Roman" w:hAnsi="Times New Roman" w:cs="Times New Roman"/>
                      <w:color w:val="auto"/>
                      <w:szCs w:val="21"/>
                      <w:u w:val="single"/>
                      <w:lang w:val="en-US" w:eastAsia="zh-CN"/>
                    </w:rPr>
                    <w:t>2</w:t>
                  </w:r>
                </w:p>
              </w:tc>
              <w:tc>
                <w:tcPr>
                  <w:tcW w:w="989" w:type="pct"/>
                  <w:noWrap w:val="0"/>
                  <w:vAlign w:val="center"/>
                </w:tcPr>
                <w:p w14:paraId="382D3956">
                  <w:pPr>
                    <w:tabs>
                      <w:tab w:val="left" w:pos="1021"/>
                    </w:tabs>
                    <w:jc w:val="center"/>
                    <w:rPr>
                      <w:rFonts w:hint="default" w:ascii="Times New Roman" w:hAnsi="Times New Roman" w:cs="Times New Roman"/>
                      <w:color w:val="auto"/>
                      <w:szCs w:val="21"/>
                      <w:u w:val="single"/>
                      <w:lang w:val="en-US" w:eastAsia="zh-CN"/>
                    </w:rPr>
                  </w:pPr>
                  <w:r>
                    <w:rPr>
                      <w:rFonts w:hint="eastAsia" w:ascii="Times New Roman" w:hAnsi="Times New Roman" w:cs="Times New Roman"/>
                      <w:color w:val="auto"/>
                      <w:szCs w:val="21"/>
                      <w:u w:val="single"/>
                      <w:lang w:val="en-US" w:eastAsia="zh-CN"/>
                    </w:rPr>
                    <w:t>2</w:t>
                  </w:r>
                </w:p>
              </w:tc>
              <w:tc>
                <w:tcPr>
                  <w:tcW w:w="1211" w:type="pct"/>
                  <w:noWrap w:val="0"/>
                  <w:vAlign w:val="center"/>
                </w:tcPr>
                <w:p w14:paraId="4886B448">
                  <w:pPr>
                    <w:tabs>
                      <w:tab w:val="left" w:pos="1021"/>
                    </w:tabs>
                    <w:jc w:val="center"/>
                    <w:rPr>
                      <w:rFonts w:hint="default" w:ascii="Times New Roman" w:hAnsi="Times New Roman" w:cs="Times New Roman"/>
                      <w:color w:val="auto"/>
                      <w:szCs w:val="21"/>
                      <w:u w:val="single"/>
                      <w:lang w:val="en-US" w:eastAsia="zh-CN"/>
                    </w:rPr>
                  </w:pPr>
                  <w:r>
                    <w:rPr>
                      <w:rFonts w:hint="eastAsia" w:ascii="Times New Roman" w:hAnsi="Times New Roman" w:cs="Times New Roman"/>
                      <w:color w:val="auto"/>
                      <w:szCs w:val="21"/>
                      <w:u w:val="single"/>
                      <w:lang w:val="en-US" w:eastAsia="zh-CN"/>
                    </w:rPr>
                    <w:t>用于喷淋降尘</w:t>
                  </w:r>
                </w:p>
              </w:tc>
            </w:tr>
          </w:tbl>
          <w:p w14:paraId="0CB5A709">
            <w:pPr>
              <w:keepNext w:val="0"/>
              <w:keepLines w:val="0"/>
              <w:pageBreakBefore w:val="0"/>
              <w:widowControl/>
              <w:tabs>
                <w:tab w:val="left" w:pos="1021"/>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u w:val="single"/>
                <w:lang w:val="en-US" w:eastAsia="zh-CN"/>
              </w:rPr>
            </w:pPr>
            <w:r>
              <w:rPr>
                <w:rFonts w:hint="eastAsia" w:ascii="Times New Roman" w:hAnsi="Times New Roman" w:cs="Times New Roman"/>
                <w:color w:val="auto"/>
                <w:sz w:val="24"/>
                <w:u w:val="single"/>
                <w:lang w:val="en-US" w:eastAsia="zh-CN"/>
              </w:rPr>
              <w:t>本项目蒸汽发生器主要用于模具蒸汽养护，加速水泥固化，仅需增加养护时长即可，因此蒸汽发生器设备不增加。</w:t>
            </w:r>
          </w:p>
          <w:p w14:paraId="3DF4AA1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u w:val="none"/>
                <w:lang w:val="en-US" w:eastAsia="zh-CN"/>
              </w:rPr>
            </w:pPr>
            <w:r>
              <w:rPr>
                <w:rFonts w:hint="default" w:ascii="Times New Roman" w:hAnsi="Times New Roman" w:eastAsia="宋体" w:cs="Times New Roman"/>
                <w:b/>
                <w:color w:val="auto"/>
                <w:sz w:val="24"/>
                <w:szCs w:val="24"/>
                <w:u w:val="none"/>
                <w:lang w:val="en-US" w:eastAsia="zh-CN"/>
              </w:rPr>
              <w:t>2.</w:t>
            </w:r>
            <w:r>
              <w:rPr>
                <w:rFonts w:hint="default" w:ascii="Times New Roman" w:hAnsi="Times New Roman" w:cs="Times New Roman"/>
                <w:b/>
                <w:color w:val="auto"/>
                <w:sz w:val="24"/>
                <w:szCs w:val="24"/>
                <w:u w:val="none"/>
                <w:lang w:val="en-US" w:eastAsia="zh-CN"/>
              </w:rPr>
              <w:t>6</w:t>
            </w:r>
            <w:r>
              <w:rPr>
                <w:rFonts w:hint="default" w:ascii="Times New Roman" w:hAnsi="Times New Roman" w:eastAsia="宋体" w:cs="Times New Roman"/>
                <w:b/>
                <w:color w:val="auto"/>
                <w:sz w:val="24"/>
                <w:szCs w:val="24"/>
                <w:u w:val="none"/>
                <w:lang w:val="en-US" w:eastAsia="zh-CN"/>
              </w:rPr>
              <w:t xml:space="preserve">公用工程 </w:t>
            </w:r>
          </w:p>
          <w:p w14:paraId="45B84022">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（1）给水</w:t>
            </w:r>
          </w:p>
          <w:p w14:paraId="5EA2AB74">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项目用水主要为混凝土搅拌用水、场地抑尘用水、养护用水、生活用水，</w:t>
            </w:r>
            <w:r>
              <w:rPr>
                <w:rFonts w:hint="default" w:ascii="Times New Roman" w:hAnsi="Times New Roman" w:cs="Times New Roman"/>
                <w:sz w:val="24"/>
                <w:lang w:eastAsia="zh-CN"/>
              </w:rPr>
              <w:t>由自挖井供给</w:t>
            </w:r>
            <w:r>
              <w:rPr>
                <w:rFonts w:hint="default" w:ascii="Times New Roman" w:hAnsi="Times New Roman" w:eastAsia="宋体" w:cs="Times New Roman"/>
                <w:color w:val="auto"/>
                <w:lang w:val="en-US" w:eastAsia="zh-CN"/>
              </w:rPr>
              <w:t>。</w:t>
            </w:r>
          </w:p>
          <w:p w14:paraId="6D5DB706">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生活用水：项目共有职工11人，均为当地居民，均不在厂内食宿，一年工作300天，参照《湖南省用水定额标准》（DB43T388-2020）用水定额</w:t>
            </w:r>
            <w:r>
              <w:rPr>
                <w:rFonts w:hint="eastAsia" w:ascii="Times New Roman" w:hAnsi="Times New Roman" w:cs="Times New Roman"/>
                <w:color w:val="auto"/>
                <w:lang w:val="en-US" w:eastAsia="zh-CN"/>
              </w:rPr>
              <w:t>，</w:t>
            </w:r>
            <w:r>
              <w:rPr>
                <w:rFonts w:hint="default" w:ascii="Times New Roman" w:hAnsi="Times New Roman" w:eastAsia="宋体" w:cs="Times New Roman"/>
                <w:color w:val="auto"/>
                <w:lang w:val="en-US" w:eastAsia="zh-CN"/>
              </w:rPr>
              <w:t>不在厂内食宿员工生活用水量按38L/人·d，则生活用水量为0.418t/d，年用水量为125.4t/a。</w:t>
            </w:r>
          </w:p>
          <w:p w14:paraId="1DC8CB6F">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场地抑尘用水：本项目搅拌区设置有石子、沙子堆放区，水窖、水泥管及搅拌装置，堆放过程中易产生粉尘，搅拌产生的粉尘经布袋除尘器处理后车间排放，因此本项目需通过洒水进行抑尘处理。搅拌区建筑面积为300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，按平均2L/m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·d计，非雨天180天计，场地抑尘用水量为0.6t/d、108t/a；</w:t>
            </w:r>
          </w:p>
          <w:p w14:paraId="4478FBB8">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养护用水：当气温低于20℃时需要使用</w:t>
            </w:r>
            <w:r>
              <w:rPr>
                <w:rFonts w:hint="default" w:ascii="Times New Roman" w:hAnsi="Times New Roman" w:cs="Times New Roman"/>
                <w:color w:val="auto"/>
                <w:lang w:val="en-US" w:eastAsia="zh-CN"/>
              </w:rPr>
              <w:t>蒸汽发生器蒸汽</w:t>
            </w:r>
            <w:r>
              <w:rPr>
                <w:rFonts w:hint="default" w:ascii="Times New Roman" w:hAnsi="Times New Roman" w:eastAsia="宋体" w:cs="Times New Roman"/>
                <w:color w:val="auto"/>
                <w:lang w:val="en-US" w:eastAsia="zh-CN"/>
              </w:rPr>
              <w:t>对电杆进行养护，年使用天数以100天计，养护用水量为0.264t/d、26.4t/a</w:t>
            </w:r>
            <w:r>
              <w:rPr>
                <w:rFonts w:hint="eastAsia" w:ascii="Times New Roman" w:hAnsi="Times New Roman" w:cs="Times New Roman"/>
                <w:color w:val="auto"/>
                <w:lang w:val="en-US" w:eastAsia="zh-CN"/>
              </w:rPr>
              <w:t>；</w:t>
            </w:r>
          </w:p>
          <w:p w14:paraId="444EF4F8">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混凝土搅拌用水：混凝土搅拌时需大量搅拌用水，根据业主提供资料，本项目运营时混凝土搅拌用水量为10.1t/d、3030t/a；</w:t>
            </w:r>
          </w:p>
          <w:p w14:paraId="5FDFB17C">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搅拌机清洗用水：每日混凝土搅拌工作完成后需对搅拌机进行清洗，搅拌机清洗用水量为0.5t/d，150t/a。</w:t>
            </w:r>
          </w:p>
          <w:p w14:paraId="70667589">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（2）排水</w:t>
            </w:r>
          </w:p>
          <w:p w14:paraId="43784DCA">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项目实行雨污分流制，雨水经厂区沟渠流入沉淀池。废水主要为员工生活污水、养护废水和搅拌机清洗废水。</w:t>
            </w:r>
          </w:p>
          <w:p w14:paraId="4560F27E">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场地抑尘用水全部蒸发，混凝土搅拌用水大部分进入产品，部分挥发到空气中，养护废水、搅拌机清洗废水经沉淀池沉淀后全部回用于生产。生活污水经化粪池处理后用作周边农肥，不外排。</w:t>
            </w:r>
          </w:p>
          <w:p w14:paraId="49E2A3C1">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生活污水：排污系数取0.8，故生活污水产生量为0.3344t/d（100.32t/a）。</w:t>
            </w:r>
          </w:p>
          <w:p w14:paraId="3E46879E">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养护废水：养护用水为0.264t/d（26.4t/a），90%作蒸汽消耗，冷凝部分约为10%，则养护废水产生量为0.0264t/d（2.64t/a）。</w:t>
            </w:r>
          </w:p>
          <w:p w14:paraId="6757B972">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搅拌机清洗废水：搅拌机清洗用水量为0.5t/d（150t/a），清洗损耗20%，则搅拌机清洗废水产生量为0.4t/d（120t/a）。</w:t>
            </w:r>
          </w:p>
          <w:p w14:paraId="69E1CD61">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（3）水平衡图</w:t>
            </w:r>
          </w:p>
          <w:p w14:paraId="1B07B4BD">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项目水平衡图见图2.3-1。</w:t>
            </w:r>
          </w:p>
          <w:p w14:paraId="46DC2F39">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inline distT="0" distB="0" distL="0" distR="0">
                  <wp:extent cx="4662805" cy="3845560"/>
                  <wp:effectExtent l="0" t="0" r="4445" b="2540"/>
                  <wp:docPr id="5388249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24928" name="图片 1"/>
                          <pic:cNvPicPr>
                            <a:picLocks noChangeAspect="1"/>
                          </pic:cNvPicPr>
                        </pic:nvPicPr>
                        <pic:blipFill>
                          <a:blip r:embed="rId10"/>
                          <a:stretch>
                            <a:fillRect/>
                          </a:stretch>
                        </pic:blipFill>
                        <pic:spPr>
                          <a:xfrm>
                            <a:off x="0" y="0"/>
                            <a:ext cx="4662805" cy="3845560"/>
                          </a:xfrm>
                          <a:prstGeom prst="rect">
                            <a:avLst/>
                          </a:prstGeom>
                        </pic:spPr>
                      </pic:pic>
                    </a:graphicData>
                  </a:graphic>
                </wp:inline>
              </w:drawing>
            </w:r>
          </w:p>
          <w:p w14:paraId="6DB03F63">
            <w:pPr>
              <w:pStyle w:val="159"/>
              <w:keepNext w:val="0"/>
              <w:keepLines w:val="0"/>
              <w:pageBreakBefore w:val="0"/>
              <w:kinsoku/>
              <w:wordWrap/>
              <w:overflowPunct/>
              <w:topLinePunct w:val="0"/>
              <w:autoSpaceDE/>
              <w:autoSpaceDN/>
              <w:bidi w:val="0"/>
              <w:adjustRightInd/>
              <w:snapToGrid/>
              <w:spacing w:beforeLines="0" w:afterLines="0" w:line="360" w:lineRule="auto"/>
              <w:ind w:left="0" w:leftChars="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图2</w:t>
            </w:r>
            <w:r>
              <w:rPr>
                <w:rFonts w:hint="default" w:ascii="Times New Roman" w:hAnsi="Times New Roman" w:cs="Times New Roman"/>
                <w:b/>
                <w:bCs/>
                <w:color w:val="auto"/>
                <w:lang w:val="en-US" w:eastAsia="zh-CN"/>
              </w:rPr>
              <w:t>-</w:t>
            </w:r>
            <w:r>
              <w:rPr>
                <w:rFonts w:hint="default" w:ascii="Times New Roman" w:hAnsi="Times New Roman" w:eastAsia="宋体" w:cs="Times New Roman"/>
                <w:b/>
                <w:bCs/>
                <w:color w:val="auto"/>
                <w:lang w:val="en-US" w:eastAsia="zh-CN"/>
              </w:rPr>
              <w:t>1  项目水平衡图（单位：t/a）</w:t>
            </w:r>
          </w:p>
          <w:p w14:paraId="336C83DC">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w:t>
            </w:r>
            <w:r>
              <w:rPr>
                <w:rFonts w:hint="default" w:ascii="Times New Roman" w:hAnsi="Times New Roman" w:eastAsia="宋体" w:cs="Times New Roman"/>
                <w:color w:val="auto"/>
                <w:lang w:val="en-US" w:eastAsia="zh-CN"/>
              </w:rPr>
              <w:t>供电</w:t>
            </w:r>
          </w:p>
          <w:p w14:paraId="427312C0">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本项目供电由</w:t>
            </w:r>
            <w:r>
              <w:rPr>
                <w:rFonts w:hint="default" w:ascii="Times New Roman" w:hAnsi="Times New Roman" w:cs="Times New Roman"/>
                <w:color w:val="auto"/>
                <w:lang w:val="en-US" w:eastAsia="zh-CN"/>
              </w:rPr>
              <w:t>当地</w:t>
            </w:r>
            <w:r>
              <w:rPr>
                <w:rFonts w:hint="default" w:ascii="Times New Roman" w:hAnsi="Times New Roman" w:eastAsia="宋体" w:cs="Times New Roman"/>
                <w:color w:val="auto"/>
                <w:lang w:val="en-US" w:eastAsia="zh-CN"/>
              </w:rPr>
              <w:t>电网供电。</w:t>
            </w:r>
          </w:p>
          <w:p w14:paraId="04E0A1E4">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（5）通风</w:t>
            </w:r>
          </w:p>
          <w:p w14:paraId="08810F41">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项目办公区设分体空调。</w:t>
            </w:r>
          </w:p>
          <w:p w14:paraId="3783E34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u w:val="none"/>
                <w:lang w:val="en-US" w:eastAsia="zh-CN"/>
              </w:rPr>
            </w:pPr>
            <w:r>
              <w:rPr>
                <w:rFonts w:hint="default" w:ascii="Times New Roman" w:hAnsi="Times New Roman" w:eastAsia="宋体" w:cs="Times New Roman"/>
                <w:b/>
                <w:color w:val="auto"/>
                <w:sz w:val="24"/>
                <w:szCs w:val="24"/>
                <w:u w:val="none"/>
                <w:lang w:val="en-US" w:eastAsia="zh-CN"/>
              </w:rPr>
              <w:t>2.</w:t>
            </w:r>
            <w:r>
              <w:rPr>
                <w:rFonts w:hint="default" w:ascii="Times New Roman" w:hAnsi="Times New Roman" w:cs="Times New Roman"/>
                <w:b/>
                <w:color w:val="auto"/>
                <w:sz w:val="24"/>
                <w:szCs w:val="24"/>
                <w:u w:val="none"/>
                <w:lang w:val="en-US" w:eastAsia="zh-CN"/>
              </w:rPr>
              <w:t>7</w:t>
            </w:r>
            <w:r>
              <w:rPr>
                <w:rFonts w:hint="default" w:ascii="Times New Roman" w:hAnsi="Times New Roman" w:eastAsia="宋体" w:cs="Times New Roman"/>
                <w:b/>
                <w:color w:val="auto"/>
                <w:sz w:val="24"/>
                <w:szCs w:val="24"/>
                <w:u w:val="none"/>
                <w:lang w:val="en-US" w:eastAsia="zh-CN"/>
              </w:rPr>
              <w:t>劳动定员及生产班制</w:t>
            </w:r>
          </w:p>
          <w:p w14:paraId="4844011E">
            <w:pPr>
              <w:pStyle w:val="159"/>
              <w:keepNext w:val="0"/>
              <w:keepLines w:val="0"/>
              <w:pageBreakBefore w:val="0"/>
              <w:kinsoku/>
              <w:wordWrap/>
              <w:overflowPunct/>
              <w:topLinePunct w:val="0"/>
              <w:autoSpaceDE/>
              <w:autoSpaceDN/>
              <w:bidi w:val="0"/>
              <w:adjustRightInd/>
              <w:snapToGrid/>
              <w:spacing w:beforeLines="0" w:afterLines="0" w:line="360" w:lineRule="auto"/>
              <w:ind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w:t>
            </w:r>
            <w:r>
              <w:rPr>
                <w:rFonts w:hint="eastAsia" w:ascii="Times New Roman" w:hAnsi="Times New Roman" w:cs="Times New Roman"/>
                <w:color w:val="auto"/>
                <w:lang w:val="en-US" w:eastAsia="zh-CN"/>
              </w:rPr>
              <w:t>扩建前</w:t>
            </w:r>
            <w:r>
              <w:rPr>
                <w:rFonts w:hint="default" w:ascii="Times New Roman" w:hAnsi="Times New Roman" w:eastAsia="宋体" w:cs="Times New Roman"/>
                <w:color w:val="auto"/>
                <w:lang w:val="en-US" w:eastAsia="zh-CN"/>
              </w:rPr>
              <w:t>劳动定员</w:t>
            </w:r>
            <w:r>
              <w:rPr>
                <w:rFonts w:hint="eastAsia" w:ascii="Times New Roman" w:hAnsi="Times New Roman" w:cs="Times New Roman"/>
                <w:color w:val="auto"/>
                <w:lang w:val="en-US" w:eastAsia="zh-CN"/>
              </w:rPr>
              <w:t>为7</w:t>
            </w:r>
            <w:r>
              <w:rPr>
                <w:rFonts w:hint="default" w:ascii="Times New Roman" w:hAnsi="Times New Roman" w:eastAsia="宋体" w:cs="Times New Roman"/>
                <w:color w:val="auto"/>
                <w:lang w:val="en-US" w:eastAsia="zh-CN"/>
              </w:rPr>
              <w:t>人</w:t>
            </w:r>
            <w:r>
              <w:rPr>
                <w:rFonts w:hint="eastAsia" w:ascii="Times New Roman" w:hAnsi="Times New Roman" w:cs="Times New Roman"/>
                <w:color w:val="auto"/>
                <w:lang w:val="en-US" w:eastAsia="zh-CN"/>
              </w:rPr>
              <w:t>，本次扩建后新增4人，劳动定员共计11人</w:t>
            </w:r>
            <w:r>
              <w:rPr>
                <w:rFonts w:hint="default" w:ascii="Times New Roman" w:hAnsi="Times New Roman" w:eastAsia="宋体" w:cs="Times New Roman"/>
                <w:color w:val="auto"/>
                <w:lang w:val="en-US" w:eastAsia="zh-CN"/>
              </w:rPr>
              <w:t>，年工作300天，一班制</w:t>
            </w:r>
            <w:r>
              <w:rPr>
                <w:rFonts w:hint="eastAsia" w:ascii="Times New Roman" w:hAnsi="Times New Roman" w:cs="Times New Roman"/>
                <w:color w:val="auto"/>
                <w:lang w:val="en-US" w:eastAsia="zh-CN"/>
              </w:rPr>
              <w:t>，每班8h</w:t>
            </w:r>
            <w:r>
              <w:rPr>
                <w:rFonts w:hint="default" w:ascii="Times New Roman" w:hAnsi="Times New Roman" w:eastAsia="宋体" w:cs="Times New Roman"/>
                <w:color w:val="auto"/>
                <w:lang w:val="en-US" w:eastAsia="zh-CN"/>
              </w:rPr>
              <w:t>。</w:t>
            </w:r>
          </w:p>
        </w:tc>
      </w:tr>
      <w:tr w14:paraId="7178B0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433" w:type="pct"/>
            <w:vAlign w:val="center"/>
          </w:tcPr>
          <w:p w14:paraId="41F93E84">
            <w:pPr>
              <w:pStyle w:val="35"/>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工艺流程和产排污环节</w:t>
            </w:r>
          </w:p>
        </w:tc>
        <w:tc>
          <w:tcPr>
            <w:tcW w:w="4566" w:type="pct"/>
          </w:tcPr>
          <w:p w14:paraId="2C2C5342">
            <w:pPr>
              <w:pStyle w:val="103"/>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rPr>
              <w:t>2.</w:t>
            </w:r>
            <w:r>
              <w:rPr>
                <w:rFonts w:hint="default" w:ascii="Times New Roman" w:hAnsi="Times New Roman" w:cs="Times New Roman"/>
                <w:b/>
                <w:bCs/>
                <w:sz w:val="24"/>
                <w:szCs w:val="24"/>
                <w:u w:val="none"/>
                <w:lang w:val="en-US" w:eastAsia="zh-CN"/>
              </w:rPr>
              <w:t>8</w:t>
            </w:r>
            <w:r>
              <w:rPr>
                <w:rFonts w:hint="default" w:ascii="Times New Roman" w:hAnsi="Times New Roman" w:cs="Times New Roman"/>
                <w:b/>
                <w:bCs/>
                <w:sz w:val="24"/>
                <w:szCs w:val="24"/>
                <w:u w:val="none"/>
              </w:rPr>
              <w:t>工艺流程</w:t>
            </w:r>
          </w:p>
          <w:p w14:paraId="2C3B75BD">
            <w:pPr>
              <w:adjustRightInd/>
              <w:snapToGrid/>
              <w:jc w:val="center"/>
              <w:rPr>
                <w:rFonts w:hint="default" w:ascii="Times New Roman" w:hAnsi="Times New Roman" w:cs="Times New Roman"/>
                <w:kern w:val="0"/>
                <w:sz w:val="24"/>
                <w:szCs w:val="24"/>
                <w:u w:val="none"/>
              </w:rPr>
            </w:pPr>
            <w:r>
              <w:rPr>
                <w:rFonts w:hint="default" w:ascii="Times New Roman" w:hAnsi="Times New Roman" w:cs="Times New Roman"/>
                <w:color w:val="auto"/>
              </w:rPr>
              <mc:AlternateContent>
                <mc:Choice Requires="wpc">
                  <w:drawing>
                    <wp:inline distT="0" distB="0" distL="114300" distR="114300">
                      <wp:extent cx="5360670" cy="3955415"/>
                      <wp:effectExtent l="0" t="0" r="0" b="45085"/>
                      <wp:docPr id="43" name="画布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矩形 5"/>
                              <wps:cNvSpPr/>
                              <wps:spPr>
                                <a:xfrm>
                                  <a:off x="137160" y="521970"/>
                                  <a:ext cx="562610" cy="392430"/>
                                </a:xfrm>
                                <a:prstGeom prst="rect">
                                  <a:avLst/>
                                </a:prstGeom>
                                <a:noFill/>
                                <a:ln>
                                  <a:noFill/>
                                </a:ln>
                              </wps:spPr>
                              <wps:txbx>
                                <w:txbxContent>
                                  <w:p w14:paraId="36BE21A8">
                                    <w:pPr>
                                      <w:jc w:val="center"/>
                                      <w:rPr>
                                        <w:rFonts w:hint="eastAsia"/>
                                      </w:rPr>
                                    </w:pPr>
                                    <w:r>
                                      <w:rPr>
                                        <w:rFonts w:hint="eastAsia"/>
                                      </w:rPr>
                                      <w:t>钢材</w:t>
                                    </w:r>
                                  </w:p>
                                  <w:p w14:paraId="7C72EC32">
                                    <w:pPr>
                                      <w:jc w:val="center"/>
                                      <w:rPr>
                                        <w:rFonts w:hint="eastAsia"/>
                                      </w:rPr>
                                    </w:pPr>
                                    <w:r>
                                      <w:rPr>
                                        <w:rFonts w:hint="eastAsia"/>
                                      </w:rPr>
                                      <w:t>法兰</w:t>
                                    </w:r>
                                  </w:p>
                                </w:txbxContent>
                              </wps:txbx>
                              <wps:bodyPr lIns="0" tIns="0" rIns="0" bIns="0" upright="1"/>
                            </wps:wsp>
                            <wps:wsp>
                              <wps:cNvPr id="6" name="矩形 6"/>
                              <wps:cNvSpPr/>
                              <wps:spPr>
                                <a:xfrm>
                                  <a:off x="1898650" y="1239520"/>
                                  <a:ext cx="1452880" cy="19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172D53">
                                    <w:pPr>
                                      <w:jc w:val="center"/>
                                      <w:rPr>
                                        <w:rFonts w:hint="eastAsia"/>
                                      </w:rPr>
                                    </w:pPr>
                                    <w:r>
                                      <w:rPr>
                                        <w:rFonts w:hint="eastAsia"/>
                                      </w:rPr>
                                      <w:t>装模、灌浆</w:t>
                                    </w:r>
                                  </w:p>
                                </w:txbxContent>
                              </wps:txbx>
                              <wps:bodyPr lIns="0" tIns="0" rIns="0" bIns="0" upright="1"/>
                            </wps:wsp>
                            <wps:wsp>
                              <wps:cNvPr id="7" name="直接连接符 7"/>
                              <wps:cNvCnPr/>
                              <wps:spPr>
                                <a:xfrm>
                                  <a:off x="600710" y="661670"/>
                                  <a:ext cx="415290" cy="0"/>
                                </a:xfrm>
                                <a:prstGeom prst="line">
                                  <a:avLst/>
                                </a:prstGeom>
                                <a:ln w="9525" cap="flat" cmpd="sng">
                                  <a:solidFill>
                                    <a:srgbClr val="000000"/>
                                  </a:solidFill>
                                  <a:prstDash val="solid"/>
                                  <a:headEnd type="none" w="med" len="med"/>
                                  <a:tailEnd type="triangle" w="med" len="med"/>
                                </a:ln>
                              </wps:spPr>
                              <wps:bodyPr upright="1"/>
                            </wps:wsp>
                            <wps:wsp>
                              <wps:cNvPr id="8" name="矩形 8"/>
                              <wps:cNvSpPr/>
                              <wps:spPr>
                                <a:xfrm>
                                  <a:off x="3195320" y="544830"/>
                                  <a:ext cx="1029970" cy="190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129F84">
                                    <w:pPr>
                                      <w:jc w:val="center"/>
                                      <w:rPr>
                                        <w:rFonts w:hint="eastAsia"/>
                                      </w:rPr>
                                    </w:pPr>
                                    <w:r>
                                      <w:rPr>
                                        <w:rFonts w:hint="eastAsia"/>
                                      </w:rPr>
                                      <w:t>混凝土搅拌机</w:t>
                                    </w:r>
                                  </w:p>
                                </w:txbxContent>
                              </wps:txbx>
                              <wps:bodyPr lIns="0" tIns="0" rIns="0" bIns="0" upright="1"/>
                            </wps:wsp>
                            <wps:wsp>
                              <wps:cNvPr id="9" name="矩形 9"/>
                              <wps:cNvSpPr/>
                              <wps:spPr>
                                <a:xfrm>
                                  <a:off x="4748530" y="401320"/>
                                  <a:ext cx="455930" cy="582930"/>
                                </a:xfrm>
                                <a:prstGeom prst="rect">
                                  <a:avLst/>
                                </a:prstGeom>
                                <a:noFill/>
                                <a:ln>
                                  <a:noFill/>
                                </a:ln>
                              </wps:spPr>
                              <wps:txbx>
                                <w:txbxContent>
                                  <w:p w14:paraId="7D82AE4E">
                                    <w:pPr>
                                      <w:jc w:val="center"/>
                                      <w:rPr>
                                        <w:rFonts w:hint="eastAsia"/>
                                      </w:rPr>
                                    </w:pPr>
                                    <w:r>
                                      <w:rPr>
                                        <w:rFonts w:hint="eastAsia"/>
                                      </w:rPr>
                                      <w:t>河沙</w:t>
                                    </w:r>
                                  </w:p>
                                  <w:p w14:paraId="61939EA5">
                                    <w:pPr>
                                      <w:jc w:val="center"/>
                                      <w:rPr>
                                        <w:rFonts w:hint="eastAsia"/>
                                      </w:rPr>
                                    </w:pPr>
                                    <w:r>
                                      <w:rPr>
                                        <w:rFonts w:hint="eastAsia"/>
                                      </w:rPr>
                                      <w:t>碎石</w:t>
                                    </w:r>
                                  </w:p>
                                  <w:p w14:paraId="48093716">
                                    <w:pPr>
                                      <w:jc w:val="center"/>
                                      <w:rPr>
                                        <w:rFonts w:hint="eastAsia"/>
                                      </w:rPr>
                                    </w:pPr>
                                    <w:r>
                                      <w:rPr>
                                        <w:rFonts w:hint="eastAsia"/>
                                      </w:rPr>
                                      <w:t>水泥</w:t>
                                    </w:r>
                                  </w:p>
                                </w:txbxContent>
                              </wps:txbx>
                              <wps:bodyPr lIns="0" tIns="0" rIns="0" bIns="0" upright="1"/>
                            </wps:wsp>
                            <wps:wsp>
                              <wps:cNvPr id="10" name="直接连接符 10"/>
                              <wps:cNvCnPr/>
                              <wps:spPr>
                                <a:xfrm flipH="1">
                                  <a:off x="4230370" y="641350"/>
                                  <a:ext cx="560070" cy="0"/>
                                </a:xfrm>
                                <a:prstGeom prst="line">
                                  <a:avLst/>
                                </a:prstGeom>
                                <a:ln w="9525" cap="flat" cmpd="sng">
                                  <a:solidFill>
                                    <a:srgbClr val="000000"/>
                                  </a:solidFill>
                                  <a:prstDash val="solid"/>
                                  <a:headEnd type="none" w="med" len="med"/>
                                  <a:tailEnd type="triangle" w="med" len="med"/>
                                </a:ln>
                              </wps:spPr>
                              <wps:bodyPr upright="1"/>
                            </wps:wsp>
                            <wps:wsp>
                              <wps:cNvPr id="11" name="矩形 11"/>
                              <wps:cNvSpPr/>
                              <wps:spPr>
                                <a:xfrm>
                                  <a:off x="1017270" y="570230"/>
                                  <a:ext cx="1030605" cy="19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C1909B">
                                    <w:pPr>
                                      <w:jc w:val="center"/>
                                      <w:rPr>
                                        <w:rFonts w:hint="eastAsia"/>
                                      </w:rPr>
                                    </w:pPr>
                                    <w:r>
                                      <w:rPr>
                                        <w:rFonts w:hint="eastAsia"/>
                                      </w:rPr>
                                      <w:t>骨架制作</w:t>
                                    </w:r>
                                  </w:p>
                                </w:txbxContent>
                              </wps:txbx>
                              <wps:bodyPr lIns="0" tIns="0" rIns="0" bIns="0" upright="1"/>
                            </wps:wsp>
                            <wps:wsp>
                              <wps:cNvPr id="12" name="直接连接符 12"/>
                              <wps:cNvCnPr/>
                              <wps:spPr>
                                <a:xfrm>
                                  <a:off x="2002155" y="768350"/>
                                  <a:ext cx="635" cy="473710"/>
                                </a:xfrm>
                                <a:prstGeom prst="line">
                                  <a:avLst/>
                                </a:prstGeom>
                                <a:ln w="9525" cap="flat" cmpd="sng">
                                  <a:solidFill>
                                    <a:srgbClr val="000000"/>
                                  </a:solidFill>
                                  <a:prstDash val="solid"/>
                                  <a:headEnd type="none" w="med" len="med"/>
                                  <a:tailEnd type="triangle" w="med" len="med"/>
                                </a:ln>
                              </wps:spPr>
                              <wps:bodyPr upright="1"/>
                            </wps:wsp>
                            <wps:wsp>
                              <wps:cNvPr id="13" name="直接连接符 13"/>
                              <wps:cNvCnPr/>
                              <wps:spPr>
                                <a:xfrm>
                                  <a:off x="3270250" y="750570"/>
                                  <a:ext cx="635" cy="491490"/>
                                </a:xfrm>
                                <a:prstGeom prst="line">
                                  <a:avLst/>
                                </a:prstGeom>
                                <a:ln w="9525" cap="flat" cmpd="sng">
                                  <a:solidFill>
                                    <a:srgbClr val="000000"/>
                                  </a:solidFill>
                                  <a:prstDash val="solid"/>
                                  <a:headEnd type="none" w="med" len="med"/>
                                  <a:tailEnd type="triangle" w="med" len="med"/>
                                </a:ln>
                              </wps:spPr>
                              <wps:bodyPr upright="1"/>
                            </wps:wsp>
                            <wps:wsp>
                              <wps:cNvPr id="14" name="矩形 14"/>
                              <wps:cNvSpPr/>
                              <wps:spPr>
                                <a:xfrm>
                                  <a:off x="1557020" y="944880"/>
                                  <a:ext cx="455930" cy="191135"/>
                                </a:xfrm>
                                <a:prstGeom prst="rect">
                                  <a:avLst/>
                                </a:prstGeom>
                                <a:noFill/>
                                <a:ln>
                                  <a:noFill/>
                                </a:ln>
                              </wps:spPr>
                              <wps:txbx>
                                <w:txbxContent>
                                  <w:p w14:paraId="429B8C44">
                                    <w:pPr>
                                      <w:jc w:val="center"/>
                                      <w:rPr>
                                        <w:rFonts w:hint="eastAsia"/>
                                      </w:rPr>
                                    </w:pPr>
                                    <w:r>
                                      <w:rPr>
                                        <w:rFonts w:hint="eastAsia"/>
                                      </w:rPr>
                                      <w:t>骨架</w:t>
                                    </w:r>
                                  </w:p>
                                </w:txbxContent>
                              </wps:txbx>
                              <wps:bodyPr lIns="0" tIns="0" rIns="0" bIns="0" upright="1"/>
                            </wps:wsp>
                            <wps:wsp>
                              <wps:cNvPr id="15" name="矩形 15"/>
                              <wps:cNvSpPr/>
                              <wps:spPr>
                                <a:xfrm>
                                  <a:off x="3264535" y="935990"/>
                                  <a:ext cx="456565" cy="191135"/>
                                </a:xfrm>
                                <a:prstGeom prst="rect">
                                  <a:avLst/>
                                </a:prstGeom>
                                <a:noFill/>
                                <a:ln>
                                  <a:noFill/>
                                </a:ln>
                              </wps:spPr>
                              <wps:txbx>
                                <w:txbxContent>
                                  <w:p w14:paraId="0ABA0FAA">
                                    <w:pPr>
                                      <w:jc w:val="center"/>
                                      <w:rPr>
                                        <w:rFonts w:hint="eastAsia"/>
                                      </w:rPr>
                                    </w:pPr>
                                    <w:r>
                                      <w:rPr>
                                        <w:rFonts w:hint="eastAsia"/>
                                      </w:rPr>
                                      <w:t>混凝土</w:t>
                                    </w:r>
                                  </w:p>
                                </w:txbxContent>
                              </wps:txbx>
                              <wps:bodyPr lIns="0" tIns="0" rIns="0" bIns="0" upright="1"/>
                            </wps:wsp>
                            <wps:wsp>
                              <wps:cNvPr id="16" name="矩形 16"/>
                              <wps:cNvSpPr/>
                              <wps:spPr>
                                <a:xfrm>
                                  <a:off x="1906270" y="1757680"/>
                                  <a:ext cx="1452880" cy="19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C97FD4">
                                    <w:pPr>
                                      <w:jc w:val="center"/>
                                      <w:rPr>
                                        <w:rFonts w:hint="eastAsia"/>
                                      </w:rPr>
                                    </w:pPr>
                                    <w:r>
                                      <w:rPr>
                                        <w:rFonts w:hint="eastAsia"/>
                                      </w:rPr>
                                      <w:t>合模紧固</w:t>
                                    </w:r>
                                  </w:p>
                                </w:txbxContent>
                              </wps:txbx>
                              <wps:bodyPr lIns="0" tIns="0" rIns="0" bIns="0" upright="1"/>
                            </wps:wsp>
                            <wps:wsp>
                              <wps:cNvPr id="17" name="直接连接符 17"/>
                              <wps:cNvCnPr/>
                              <wps:spPr>
                                <a:xfrm>
                                  <a:off x="2605405" y="1431925"/>
                                  <a:ext cx="0" cy="328295"/>
                                </a:xfrm>
                                <a:prstGeom prst="line">
                                  <a:avLst/>
                                </a:prstGeom>
                                <a:ln w="9525" cap="flat" cmpd="sng">
                                  <a:solidFill>
                                    <a:srgbClr val="000000"/>
                                  </a:solidFill>
                                  <a:prstDash val="solid"/>
                                  <a:headEnd type="none" w="med" len="med"/>
                                  <a:tailEnd type="triangle" w="med" len="med"/>
                                </a:ln>
                              </wps:spPr>
                              <wps:bodyPr upright="1"/>
                            </wps:wsp>
                            <wps:wsp>
                              <wps:cNvPr id="18" name="矩形 18"/>
                              <wps:cNvSpPr/>
                              <wps:spPr>
                                <a:xfrm>
                                  <a:off x="1913890" y="2277110"/>
                                  <a:ext cx="1452880" cy="19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51E464">
                                    <w:pPr>
                                      <w:jc w:val="center"/>
                                      <w:rPr>
                                        <w:rFonts w:hint="eastAsia"/>
                                      </w:rPr>
                                    </w:pPr>
                                    <w:r>
                                      <w:rPr>
                                        <w:rFonts w:hint="eastAsia"/>
                                      </w:rPr>
                                      <w:t>离心成型</w:t>
                                    </w:r>
                                  </w:p>
                                </w:txbxContent>
                              </wps:txbx>
                              <wps:bodyPr lIns="0" tIns="0" rIns="0" bIns="0" upright="1"/>
                            </wps:wsp>
                            <wps:wsp>
                              <wps:cNvPr id="19" name="直接连接符 19"/>
                              <wps:cNvCnPr/>
                              <wps:spPr>
                                <a:xfrm>
                                  <a:off x="2588260" y="1958340"/>
                                  <a:ext cx="635" cy="327660"/>
                                </a:xfrm>
                                <a:prstGeom prst="line">
                                  <a:avLst/>
                                </a:prstGeom>
                                <a:ln w="9525" cap="flat" cmpd="sng">
                                  <a:solidFill>
                                    <a:srgbClr val="000000"/>
                                  </a:solidFill>
                                  <a:prstDash val="solid"/>
                                  <a:headEnd type="none" w="med" len="med"/>
                                  <a:tailEnd type="triangle" w="med" len="med"/>
                                </a:ln>
                              </wps:spPr>
                              <wps:bodyPr upright="1"/>
                            </wps:wsp>
                            <wps:wsp>
                              <wps:cNvPr id="20" name="矩形 20"/>
                              <wps:cNvSpPr/>
                              <wps:spPr>
                                <a:xfrm>
                                  <a:off x="1906270" y="2777490"/>
                                  <a:ext cx="1452880" cy="19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0C1832">
                                    <w:pPr>
                                      <w:jc w:val="center"/>
                                      <w:rPr>
                                        <w:rFonts w:hint="eastAsia"/>
                                      </w:rPr>
                                    </w:pPr>
                                    <w:r>
                                      <w:rPr>
                                        <w:rFonts w:hint="eastAsia"/>
                                      </w:rPr>
                                      <w:t>蒸汽养护</w:t>
                                    </w:r>
                                  </w:p>
                                </w:txbxContent>
                              </wps:txbx>
                              <wps:bodyPr lIns="0" tIns="0" rIns="0" bIns="0" upright="1"/>
                            </wps:wsp>
                            <wps:wsp>
                              <wps:cNvPr id="21" name="直接连接符 21"/>
                              <wps:cNvCnPr/>
                              <wps:spPr>
                                <a:xfrm>
                                  <a:off x="2580640" y="2458720"/>
                                  <a:ext cx="635" cy="327660"/>
                                </a:xfrm>
                                <a:prstGeom prst="line">
                                  <a:avLst/>
                                </a:prstGeom>
                                <a:ln w="9525" cap="flat" cmpd="sng">
                                  <a:solidFill>
                                    <a:srgbClr val="000000"/>
                                  </a:solidFill>
                                  <a:prstDash val="solid"/>
                                  <a:headEnd type="none" w="med" len="med"/>
                                  <a:tailEnd type="triangle" w="med" len="med"/>
                                </a:ln>
                              </wps:spPr>
                              <wps:bodyPr upright="1"/>
                            </wps:wsp>
                            <wps:wsp>
                              <wps:cNvPr id="22" name="矩形 22"/>
                              <wps:cNvSpPr/>
                              <wps:spPr>
                                <a:xfrm>
                                  <a:off x="342900" y="2777490"/>
                                  <a:ext cx="841375" cy="349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39D4FB">
                                    <w:pPr>
                                      <w:jc w:val="center"/>
                                      <w:rPr>
                                        <w:rFonts w:hint="eastAsia" w:eastAsia="宋体"/>
                                        <w:lang w:eastAsia="zh-CN"/>
                                      </w:rPr>
                                    </w:pPr>
                                    <w:r>
                                      <w:rPr>
                                        <w:rFonts w:hint="eastAsia"/>
                                        <w:lang w:eastAsia="zh-CN"/>
                                      </w:rPr>
                                      <w:t>生物质燃料蒸汽发生器</w:t>
                                    </w:r>
                                  </w:p>
                                </w:txbxContent>
                              </wps:txbx>
                              <wps:bodyPr lIns="0" tIns="0" rIns="0" bIns="0" upright="1"/>
                            </wps:wsp>
                            <wps:wsp>
                              <wps:cNvPr id="23" name="直接连接符 23"/>
                              <wps:cNvCnPr/>
                              <wps:spPr>
                                <a:xfrm>
                                  <a:off x="1209040" y="2899410"/>
                                  <a:ext cx="698500" cy="0"/>
                                </a:xfrm>
                                <a:prstGeom prst="line">
                                  <a:avLst/>
                                </a:prstGeom>
                                <a:ln w="9525" cap="flat" cmpd="sng">
                                  <a:solidFill>
                                    <a:srgbClr val="000000"/>
                                  </a:solidFill>
                                  <a:prstDash val="solid"/>
                                  <a:headEnd type="none" w="med" len="med"/>
                                  <a:tailEnd type="triangle" w="med" len="med"/>
                                </a:ln>
                              </wps:spPr>
                              <wps:bodyPr upright="1"/>
                            </wps:wsp>
                            <wps:wsp>
                              <wps:cNvPr id="24" name="矩形 24"/>
                              <wps:cNvSpPr/>
                              <wps:spPr>
                                <a:xfrm>
                                  <a:off x="1289050" y="2696210"/>
                                  <a:ext cx="455930" cy="191135"/>
                                </a:xfrm>
                                <a:prstGeom prst="rect">
                                  <a:avLst/>
                                </a:prstGeom>
                                <a:noFill/>
                                <a:ln>
                                  <a:noFill/>
                                </a:ln>
                              </wps:spPr>
                              <wps:txbx>
                                <w:txbxContent>
                                  <w:p w14:paraId="49CA2238">
                                    <w:pPr>
                                      <w:jc w:val="center"/>
                                      <w:rPr>
                                        <w:rFonts w:hint="eastAsia"/>
                                      </w:rPr>
                                    </w:pPr>
                                    <w:r>
                                      <w:rPr>
                                        <w:rFonts w:hint="eastAsia"/>
                                      </w:rPr>
                                      <w:t>蒸汽</w:t>
                                    </w:r>
                                  </w:p>
                                </w:txbxContent>
                              </wps:txbx>
                              <wps:bodyPr lIns="0" tIns="0" rIns="0" bIns="0" upright="1"/>
                            </wps:wsp>
                            <wps:wsp>
                              <wps:cNvPr id="25" name="矩形 25"/>
                              <wps:cNvSpPr/>
                              <wps:spPr>
                                <a:xfrm>
                                  <a:off x="1897380" y="3285490"/>
                                  <a:ext cx="1452880" cy="19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F7DBCC">
                                    <w:pPr>
                                      <w:jc w:val="center"/>
                                      <w:rPr>
                                        <w:rFonts w:hint="eastAsia"/>
                                      </w:rPr>
                                    </w:pPr>
                                    <w:r>
                                      <w:rPr>
                                        <w:rFonts w:hint="eastAsia"/>
                                      </w:rPr>
                                      <w:t>冷却、拆模</w:t>
                                    </w:r>
                                  </w:p>
                                </w:txbxContent>
                              </wps:txbx>
                              <wps:bodyPr lIns="0" tIns="0" rIns="0" bIns="0" upright="1"/>
                            </wps:wsp>
                            <wps:wsp>
                              <wps:cNvPr id="26" name="直接连接符 26"/>
                              <wps:cNvCnPr/>
                              <wps:spPr>
                                <a:xfrm>
                                  <a:off x="2571750" y="2966720"/>
                                  <a:ext cx="635" cy="327660"/>
                                </a:xfrm>
                                <a:prstGeom prst="line">
                                  <a:avLst/>
                                </a:prstGeom>
                                <a:ln w="9525" cap="flat" cmpd="sng">
                                  <a:solidFill>
                                    <a:srgbClr val="000000"/>
                                  </a:solidFill>
                                  <a:prstDash val="solid"/>
                                  <a:headEnd type="none" w="med" len="med"/>
                                  <a:tailEnd type="triangle" w="med" len="med"/>
                                </a:ln>
                              </wps:spPr>
                              <wps:bodyPr upright="1"/>
                            </wps:wsp>
                            <wps:wsp>
                              <wps:cNvPr id="27" name="矩形 27"/>
                              <wps:cNvSpPr/>
                              <wps:spPr>
                                <a:xfrm>
                                  <a:off x="1888490" y="3803650"/>
                                  <a:ext cx="1452880" cy="191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2400A3">
                                    <w:pPr>
                                      <w:jc w:val="center"/>
                                      <w:rPr>
                                        <w:rFonts w:hint="eastAsia"/>
                                      </w:rPr>
                                    </w:pPr>
                                    <w:r>
                                      <w:rPr>
                                        <w:rFonts w:hint="eastAsia"/>
                                      </w:rPr>
                                      <w:t>成品堆存、外售</w:t>
                                    </w:r>
                                  </w:p>
                                </w:txbxContent>
                              </wps:txbx>
                              <wps:bodyPr lIns="0" tIns="0" rIns="0" bIns="0" upright="1"/>
                            </wps:wsp>
                            <wps:wsp>
                              <wps:cNvPr id="28" name="直接连接符 28"/>
                              <wps:cNvCnPr/>
                              <wps:spPr>
                                <a:xfrm>
                                  <a:off x="2562860" y="3484880"/>
                                  <a:ext cx="635" cy="327660"/>
                                </a:xfrm>
                                <a:prstGeom prst="line">
                                  <a:avLst/>
                                </a:prstGeom>
                                <a:ln w="9525" cap="flat" cmpd="sng">
                                  <a:solidFill>
                                    <a:srgbClr val="000000"/>
                                  </a:solidFill>
                                  <a:prstDash val="solid"/>
                                  <a:headEnd type="none" w="med" len="med"/>
                                  <a:tailEnd type="triangle" w="med" len="med"/>
                                </a:ln>
                              </wps:spPr>
                              <wps:bodyPr upright="1"/>
                            </wps:wsp>
                            <wps:wsp>
                              <wps:cNvPr id="29" name="曲线连接符 29"/>
                              <wps:cNvCnPr/>
                              <wps:spPr>
                                <a:xfrm flipV="1">
                                  <a:off x="1337310" y="392430"/>
                                  <a:ext cx="201930" cy="16637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30" name="曲线连接符 30"/>
                              <wps:cNvCnPr/>
                              <wps:spPr>
                                <a:xfrm flipV="1">
                                  <a:off x="3463290" y="368300"/>
                                  <a:ext cx="201930" cy="16637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31" name="曲线连接符 31"/>
                              <wps:cNvCnPr/>
                              <wps:spPr>
                                <a:xfrm flipV="1">
                                  <a:off x="3392170" y="2221230"/>
                                  <a:ext cx="201930" cy="16637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32" name="矩形 32"/>
                              <wps:cNvSpPr/>
                              <wps:spPr>
                                <a:xfrm>
                                  <a:off x="1120140" y="176530"/>
                                  <a:ext cx="883920" cy="191135"/>
                                </a:xfrm>
                                <a:prstGeom prst="rect">
                                  <a:avLst/>
                                </a:prstGeom>
                                <a:noFill/>
                                <a:ln>
                                  <a:noFill/>
                                </a:ln>
                              </wps:spPr>
                              <wps:txbx>
                                <w:txbxContent>
                                  <w:p w14:paraId="57A3511B">
                                    <w:pPr>
                                      <w:jc w:val="center"/>
                                    </w:pPr>
                                    <w:r>
                                      <w:t>G、N、S</w:t>
                                    </w:r>
                                  </w:p>
                                </w:txbxContent>
                              </wps:txbx>
                              <wps:bodyPr lIns="0" tIns="0" rIns="0" bIns="0" upright="1"/>
                            </wps:wsp>
                            <wps:wsp>
                              <wps:cNvPr id="33" name="矩形 33"/>
                              <wps:cNvSpPr/>
                              <wps:spPr>
                                <a:xfrm>
                                  <a:off x="3210560" y="140970"/>
                                  <a:ext cx="883920" cy="191135"/>
                                </a:xfrm>
                                <a:prstGeom prst="rect">
                                  <a:avLst/>
                                </a:prstGeom>
                                <a:noFill/>
                                <a:ln>
                                  <a:noFill/>
                                </a:ln>
                              </wps:spPr>
                              <wps:txbx>
                                <w:txbxContent>
                                  <w:p w14:paraId="308B3A9F">
                                    <w:pPr>
                                      <w:jc w:val="center"/>
                                    </w:pPr>
                                    <w:r>
                                      <w:t>G、N</w:t>
                                    </w:r>
                                  </w:p>
                                </w:txbxContent>
                              </wps:txbx>
                              <wps:bodyPr lIns="0" tIns="0" rIns="0" bIns="0" upright="1"/>
                            </wps:wsp>
                            <wps:wsp>
                              <wps:cNvPr id="34" name="矩形 34"/>
                              <wps:cNvSpPr/>
                              <wps:spPr>
                                <a:xfrm>
                                  <a:off x="3399790" y="2100580"/>
                                  <a:ext cx="694690" cy="203200"/>
                                </a:xfrm>
                                <a:prstGeom prst="rect">
                                  <a:avLst/>
                                </a:prstGeom>
                                <a:noFill/>
                                <a:ln>
                                  <a:noFill/>
                                </a:ln>
                              </wps:spPr>
                              <wps:txbx>
                                <w:txbxContent>
                                  <w:p w14:paraId="51FACB45">
                                    <w:pPr>
                                      <w:jc w:val="center"/>
                                    </w:pPr>
                                    <w:r>
                                      <w:t>N</w:t>
                                    </w:r>
                                  </w:p>
                                </w:txbxContent>
                              </wps:txbx>
                              <wps:bodyPr lIns="0" tIns="0" rIns="0" bIns="0" upright="1"/>
                            </wps:wsp>
                            <wps:wsp>
                              <wps:cNvPr id="35" name="曲线连接符 35"/>
                              <wps:cNvCnPr/>
                              <wps:spPr>
                                <a:xfrm flipV="1">
                                  <a:off x="3380740" y="2696210"/>
                                  <a:ext cx="201930" cy="16637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36" name="矩形 36"/>
                              <wps:cNvSpPr/>
                              <wps:spPr>
                                <a:xfrm>
                                  <a:off x="3388360" y="2575560"/>
                                  <a:ext cx="670560" cy="190500"/>
                                </a:xfrm>
                                <a:prstGeom prst="rect">
                                  <a:avLst/>
                                </a:prstGeom>
                                <a:noFill/>
                                <a:ln>
                                  <a:noFill/>
                                </a:ln>
                              </wps:spPr>
                              <wps:txbx>
                                <w:txbxContent>
                                  <w:p w14:paraId="41740C65">
                                    <w:pPr>
                                      <w:jc w:val="center"/>
                                    </w:pPr>
                                    <w:r>
                                      <w:t>W</w:t>
                                    </w:r>
                                  </w:p>
                                </w:txbxContent>
                              </wps:txbx>
                              <wps:bodyPr lIns="0" tIns="0" rIns="0" bIns="0" upright="1"/>
                            </wps:wsp>
                            <wps:wsp>
                              <wps:cNvPr id="37" name="矩形 37"/>
                              <wps:cNvSpPr/>
                              <wps:spPr>
                                <a:xfrm>
                                  <a:off x="577850" y="2382520"/>
                                  <a:ext cx="741680" cy="190500"/>
                                </a:xfrm>
                                <a:prstGeom prst="rect">
                                  <a:avLst/>
                                </a:prstGeom>
                                <a:noFill/>
                                <a:ln>
                                  <a:noFill/>
                                </a:ln>
                              </wps:spPr>
                              <wps:txbx>
                                <w:txbxContent>
                                  <w:p w14:paraId="436169CD">
                                    <w:pPr>
                                      <w:jc w:val="center"/>
                                    </w:pPr>
                                    <w:r>
                                      <w:t>W、S、G</w:t>
                                    </w:r>
                                  </w:p>
                                </w:txbxContent>
                              </wps:txbx>
                              <wps:bodyPr lIns="0" tIns="0" rIns="0" bIns="0" upright="1"/>
                            </wps:wsp>
                            <wps:wsp>
                              <wps:cNvPr id="38" name="曲线连接符 38"/>
                              <wps:cNvCnPr/>
                              <wps:spPr>
                                <a:xfrm flipV="1">
                                  <a:off x="3369310" y="3229610"/>
                                  <a:ext cx="201930" cy="16637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39" name="矩形 39"/>
                              <wps:cNvSpPr/>
                              <wps:spPr>
                                <a:xfrm>
                                  <a:off x="3376930" y="3108960"/>
                                  <a:ext cx="670560" cy="190500"/>
                                </a:xfrm>
                                <a:prstGeom prst="rect">
                                  <a:avLst/>
                                </a:prstGeom>
                                <a:noFill/>
                                <a:ln>
                                  <a:noFill/>
                                </a:ln>
                              </wps:spPr>
                              <wps:txbx>
                                <w:txbxContent>
                                  <w:p w14:paraId="6563695C">
                                    <w:pPr>
                                      <w:jc w:val="center"/>
                                      <w:rPr>
                                        <w:rFonts w:hint="eastAsia"/>
                                      </w:rPr>
                                    </w:pPr>
                                    <w:r>
                                      <w:t>S</w:t>
                                    </w:r>
                                  </w:p>
                                </w:txbxContent>
                              </wps:txbx>
                              <wps:bodyPr lIns="0" tIns="0" rIns="0" bIns="0" upright="1"/>
                            </wps:wsp>
                            <wps:wsp>
                              <wps:cNvPr id="40" name="曲线连接符 40"/>
                              <wps:cNvCnPr/>
                              <wps:spPr>
                                <a:xfrm flipV="1">
                                  <a:off x="655955" y="2602865"/>
                                  <a:ext cx="190500" cy="165100"/>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41" name="矩形 41"/>
                              <wps:cNvSpPr/>
                              <wps:spPr>
                                <a:xfrm>
                                  <a:off x="3340735" y="1076960"/>
                                  <a:ext cx="685800" cy="203200"/>
                                </a:xfrm>
                                <a:prstGeom prst="rect">
                                  <a:avLst/>
                                </a:prstGeom>
                                <a:noFill/>
                                <a:ln>
                                  <a:noFill/>
                                </a:ln>
                              </wps:spPr>
                              <wps:txbx>
                                <w:txbxContent>
                                  <w:p w14:paraId="75E1712C">
                                    <w:pPr>
                                      <w:jc w:val="center"/>
                                    </w:pPr>
                                    <w:r>
                                      <w:t>N</w:t>
                                    </w:r>
                                  </w:p>
                                </w:txbxContent>
                              </wps:txbx>
                              <wps:bodyPr lIns="0" tIns="0" rIns="0" bIns="0" upright="1"/>
                            </wps:wsp>
                            <wps:wsp>
                              <wps:cNvPr id="42" name="曲线连接符 42"/>
                              <wps:cNvCnPr/>
                              <wps:spPr>
                                <a:xfrm flipV="1">
                                  <a:off x="3362960" y="1179830"/>
                                  <a:ext cx="190500" cy="165100"/>
                                </a:xfrm>
                                <a:prstGeom prst="curvedConnector3">
                                  <a:avLst>
                                    <a:gd name="adj1" fmla="val 50000"/>
                                  </a:avLst>
                                </a:prstGeom>
                                <a:ln w="9525" cap="flat" cmpd="sng">
                                  <a:solidFill>
                                    <a:srgbClr val="000000"/>
                                  </a:solidFill>
                                  <a:prstDash val="dash"/>
                                  <a:headEnd type="none" w="med" len="med"/>
                                  <a:tailEnd type="triangle" w="med" len="med"/>
                                </a:ln>
                              </wps:spPr>
                              <wps:bodyPr/>
                            </wps:wsp>
                          </wpc:wpc>
                        </a:graphicData>
                      </a:graphic>
                    </wp:inline>
                  </w:drawing>
                </mc:Choice>
                <mc:Fallback>
                  <w:pict>
                    <v:group id="_x0000_s1026" o:spid="_x0000_s1026" o:spt="203" style="height:311.45pt;width:422.1pt;" coordsize="5360670,3955415" editas="canvas" o:gfxdata="UEsDBAoAAAAAAIdO4kAAAAAAAAAAAAAAAAAEAAAAZHJzL1BLAwQUAAAACACHTuJAcjjSSdcAAAAF&#10;AQAADwAAAGRycy9kb3ducmV2LnhtbE2PQWvCQBCF7wX/wzJCL0U3BhEbs/EgiFIK0th6HrPTJDQ7&#10;G7NrYv99t73Yy8DjPd77Jl3fTCN66lxtWcFsGoEgLqyuuVTwftxOliCcR9bYWCYF3+RgnY0eUky0&#10;HfiN+tyXIpSwS1BB5X2bSOmKigy6qW2Jg/dpO4M+yK6UusMhlJtGxlG0kAZrDgsVtrSpqPjKr0bB&#10;UBz60/F1Jw9Pp73ly/6yyT9elHocz6IVCE83fw/DL35Ahywwne2VtRONgvCI/7vBW87nMYizgkUc&#10;P4PMUvmfPvsBUEsDBBQAAAAIAIdO4kDuSNBejwgAAIJRAAAOAAAAZHJzL2Uyb0RvYy54bWztXMuO&#10;nEYU3UfKP6Dex01VQQEtj73wK5GixJKT7Bma7iaiAQHz8Dr7rLKzlEiREilSVlEWUaLIX2NPPiOn&#10;imqg6cbQY2vG4ykvxgwwPO49de69p25x9/75OjZOw7yI0uRoQu6YEyNMgnQeJcujyddfPf7EnRhF&#10;6SdzP06T8GjyPCwm9+99/NHds2wW0nSVxvMwN3CRpJidZUeTVVlms+m0CFbh2i/upFmY4OAizdd+&#10;iV/z5XSe+2e4+jqeUtPk07M0n2d5GoRFgb0Pq4MTdcV8zAXTxSIKwodpcLIOk7K6ah7GfolXKlZR&#10;VkzuyaddLMKg/HKxKMLSiI8meNNS/sRNsH0sfk7v3fVny9zPVlGgHsEf8widd1r7UYKb1pd66Je+&#10;cZJHO5daR0GeFumivBOk62n1ItIieAtidmzzJE9PMvkuy9nZMquNDkd1rH7pywZfnD7NjWh+NLHY&#10;xEj8NTx+8cM/r/76zsAOWOcsW85w0pM8e5Y9zdWOZfWbeOHzRb4W/+NVjHNp1+e1XcPz0giw02bc&#10;5A5MHuAY82zbInZl+WAF9+z8XbB6NPCX082Np+L56sc5y4DJojFU8XaGerbys1DavxA2UIayazv9&#10;9Nurf3825KuIO+OU2kbFrIC59hiIMIdwmAKWsCnxYBUJwdpUnHJSW4paTB6vX9efZXlRPgnTtSE2&#10;jiY5EC6B559+XpS4FE7dnCLunqSPoziWt4iTrR04UeyBATfPKrbK8+Nz6eRidpzOn+OV488SmBGP&#10;VG428s3G8WbjJMuj5QqPQ8TbyEvCDQI8V+AP3vEHF88w3h+u53K7cgihACfteIRYNnVd5RLiEcKk&#10;wy/vkiKNo7nwinBHkS+PH8S5ceqDoB7Lf9KEONI+LU6Ms6MJHg7gC3yw7gJsh811hpFbJEsJga2/&#10;2LqwKf/tu7DAykO/WFUPIK8gTvNn66gMc7m1Cv35o2RulM8zkEOCoDARD7MO5xMjDhFDxJY8s/Sj&#10;eMyZHwz0nBp6L/58/f0v/738ET8vfv/VcIRBFAYfJIo3N+Nsw101aXLTdMSgBydwTgRTSnNuOAFs&#10;ST0FwAE6iCN4R7ivhw6uHkeXRU+ZR36yjHuwth9BirGulY2QPakoWkUHt4WE4ejAiGczMJAMD5bl&#10;VvTvzzZQICb1RMyQkZR4pm0OAGIoPvRzhiYjNYRvShz0OsjzDkKe5ViuDbgJ5FkmESDcJiHb9sRh&#10;kcLZLhXbOH75KHgLEhNB6YoLOuEBRxS4kDP2xAdjEUfZpyKlEnyu0muLMpOJ8S9ChYVUpOMlW4QS&#10;5aUBB+lQgeT2WkMFITU+qliBHQ0shoMFMYlDFRhsxwQ0tocsMZnJTZExAi06c9WZa6uIJbTGXpeb&#10;aAuEPdzUYiRIOpTYABkw5nB3h5E4yiUJQMtB5as5SZZK72/6ShoVqIsLJQdJnWMYFwzMRFVd7dgm&#10;+GmbnBpceMRCdfPGZELHqmuPVVbNFypWWS2aGBGrbBGhqsTFQ2EDQQUebwobq5VevotQdRvSSxDr&#10;VqlZiaqjlS9GuWULdgZze8z2qkHYdgm3uSJv7ZKONL9fGiZdLRI7DsroPJNvMjri2IinnWGixUgt&#10;RibLHvD1qpHkMDmSomiwRN0gygYLkhRU5y2yVgUmo9ABBsRwHbmvPXJ3FUlymCQJ6meukJ+BBkod&#10;h1RJfBMnNCdpTurlpEaU7JYTbXlyuJygtuuClypO8myXWZ3IWNcTKDw4TtT1RGWBPXO878M0iSgF&#10;tpLXSm8enbxi7qPOlEBKjiohNSvpadt2d9H+TIk2wmuHlXCkyddHsZLJwUQyNlq263RnTTQr7WkU&#10;eH/VL9qoopXKgR0NHoZVDmZhol7BYR8puZiycVRJzSzk1QNxSs/eDjWd7MfSDexior3CK440GBzm&#10;JEJNz9xwkut5Vjdf554r2gakKD+AP129XXf1Rru6K3Y0aBhmJEJRuykZnnKP0y4atPAahL0NuD3p&#10;Axh8O3c9sAXU9RwmOgpRUUNDsXXuKiCtWw5HScy0kZi7uWtbax6OE9R2IDGrZMXjXOeuVa5xUxsP&#10;aSP/qty1rfqOiBSu6womkqzkmkw0RcthWfce6kZo3QjdM/dAG5G5y0pttXkMK3HqKp2PWe7uRLGu&#10;qG9WRV0LwK9f/HHx98umRZ6OEIBlD+Q3nR5IwpjDkMZKovI2S2Qa5Q8LqepOVcK5aJcEj/V3qgYn&#10;+Wk4f5AmCdbSpDlr+udFUrKcq1zPn38L2WixjrE+DKs1DNRQdfO17LaX92ivvbmiZvs5lm9UTH31&#10;vfbCsEKzvbrVPqIHuUq+u4Cq2h/fvOhiL6CYxZlcYCHycbSwVW7VgPJntwJQtRi8A6gRYvB+QDGP&#10;EtWYSynFsrJOKqUpakjX82fbi8kun5VfA0V1VWR2mIpMIOERpeARh4tVGVuJuOsCX6DBd9XWfQt6&#10;5VijrlbFEXbApqOnGxl0M6ytkDkHXLOzbFe75GAVjXWVTew4yCUMK+E2fSnENO1urxz3LC6Oi2FC&#10;TSxoGsgDhyZbbsMwqZXNnVjYljh7yrieWOiazmY6Yp8ArWPhBx0LG7lSEW9bpRxWpRgDtSrihWJp&#10;CxLeCoZYLS2JuQqGb78g9jaM8q5SyA5TCm3HwQyijIWUuXTniwmORUTjsspPtEu2vnezf0qJ1frZ&#10;DvGO0M96iJd7tUxCqSc+K7I1cjTxftDEWwtvF4p423rbGOJ1gJ9qlANGrqeJ94AvN+0f5SIN2q9d&#10;4UiT+x6SXnGsm1KrL9EeC+m806qvvhFRcTG3kSeLG2kxtP+zNTdJabBq7UoNcuxocDRmkFumo5aA&#10;ERMDfmeQuyirVCjXNdSoCXqrVn+6oRxHGuccMsgZ44jfFRcT4ni7n4WpvgSjR/noj1O9o1EuPz+H&#10;T/NJSlWfERTf/mv/LqdImk8n3v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oAAFtDb250ZW50X1R5cGVzXS54bWxQSwECFAAKAAAAAACHTuJA&#10;AAAAAAAAAAAAAAAABgAAAAAAAAAAABAAAADhCQAAX3JlbHMvUEsBAhQAFAAAAAgAh07iQIoUZjzR&#10;AAAAlAEAAAsAAAAAAAAAAQAgAAAABQoAAF9yZWxzLy5yZWxzUEsBAhQACgAAAAAAh07iQAAAAAAA&#10;AAAAAAAAAAQAAAAAAAAAAAAQAAAAAAAAAGRycy9QSwECFAAUAAAACACHTuJAcjjSSdcAAAAFAQAA&#10;DwAAAAAAAAABACAAAAAiAAAAZHJzL2Rvd25yZXYueG1sUEsBAhQAFAAAAAgAh07iQO5I0F6PCAAA&#10;glEAAA4AAAAAAAAAAQAgAAAAJgEAAGRycy9lMm9Eb2MueG1sUEsFBgAAAAAGAAYAWQEAACcMAAAA&#10;AA==&#10;">
                      <o:lock v:ext="edit" aspectratio="f"/>
                      <v:shape id="_x0000_s1026" o:spid="_x0000_s1026" style="position:absolute;left:0;top:0;height:3955415;width:5360670;" filled="f" stroked="f" coordsize="21600,21600" o:gfxdata="UEsDBAoAAAAAAIdO4kAAAAAAAAAAAAAAAAAEAAAAZHJzL1BLAwQUAAAACACHTuJAcjjSSdcAAAAF&#10;AQAADwAAAGRycy9kb3ducmV2LnhtbE2PQWvCQBCF7wX/wzJCL0U3BhEbs/EgiFIK0th6HrPTJDQ7&#10;G7NrYv99t73Yy8DjPd77Jl3fTCN66lxtWcFsGoEgLqyuuVTwftxOliCcR9bYWCYF3+RgnY0eUky0&#10;HfiN+tyXIpSwS1BB5X2bSOmKigy6qW2Jg/dpO4M+yK6UusMhlJtGxlG0kAZrDgsVtrSpqPjKr0bB&#10;UBz60/F1Jw9Pp73ly/6yyT9elHocz6IVCE83fw/DL35Ahywwne2VtRONgvCI/7vBW87nMYizgkUc&#10;P4PMUvmfPvsBUEsDBBQAAAAIAIdO4kA5Fq/VPQgAAP1QAAAOAAAAZHJzL2Uyb0RvYy54bWztXN1u&#10;nEYUvq/Ud0DcN8vMwACr2Lmwm7ZS1UZK23vMsrtULCDAP3mJvkCkVqrUSpV6VfWqUpWnadLH6DfD&#10;LLDsbmAd147j8cUaM3gW5nzznXO+OcPjJ1erxLiIijLO0iOTPLJMI0rDbBaniyPz22+efuKZRlkF&#10;6SxIsjQ6Ml9Epfnk+OOPHl/m04hmyyyZRYWBTtJyepkfmcuqyqeTSRkuo1VQPsryKEXjPCtWQYU/&#10;i8VkVgSX6H2VTKhl8cllVszyIgujssTZ07rRVD0WYzrM5vM4jE6z8HwVpVXdaxElQYVHKpdxXprH&#10;8m7n8yisvp7Py6gykiMTT1rJT3wJjs/E5+T4cTBdFEG+jEN1C8GYW+g90yqIU3xp09VpUAXGeRFv&#10;dbWKwyIrs3n1KMxWk/pB5IjgKYjVG5uTIL0I6ocJMdbrG8TRDfZ7thD3nWZP4yTBaEzQ+1ScE78v&#10;Ye1INCfp5kX1GXmtuuYyBxzKvAFG+W63+HwZ5JE0YzkNv7p4Vhjx7Mh0TCMNVgDlm59+++fvnw1H&#10;2E98My55nj8r1F8lDsX9Xs2LlfiNYTaugHXmEg7Dv0BHlPiusn50VRkhmh1OOUFziHbmU5vJ9knb&#10;TV6U1WdRtjLEwZFZAFzS5sHFl2Ulhi6Yri/ZGK23DF85re9VPEN1dXalHuAsm73AIydfpBhGAdv1&#10;QbE+OFsfnOdFvFjidogYC1hEmqEelf/dHrxnD36YPTzf405tEEKZ79CeRYjtUM9TJiE+IUwa/Pom&#10;KbMkngmgC/uUxeLsJCmMiwDc8FT+yCFES/eyJDUuj0zcHMAXBiC8OYgGh6scgCzThYTAxn9sdGzJ&#10;n10dC6ycBuWyvgHZg7gsmK7iKirk0TIKZp+mM6N6kQP0KfjYFDezimamkUSgb3Ekr6yCOBlzJcZO&#10;zGWJk3sNPbeB3ss/X//wy7+vfsTnm99/NVwxIIoTTtIhTuCW5YpJjznPOeF9TrCJQ30FwAE6SGJY&#10;R5hvDx3cPo6ui56qiIN0kezB2m4EKca6UzZC4LLhHbwOEoa9AyO+w8BA0j3YtlfTfzBduwdiUV/4&#10;DOkfiG851gAghvzDfs7QZKSm8H3xg34Pef5ByLNd23MAN4E82yIChJLT18izHccXzSIwcTwqjtF+&#10;fS/YxHofbmAiKF1xQc89oGXQPxjzJM4/FyGV4HMVPdqUWUzMf+EqbIQiPSs5wpUoKw0YSLsKBLd3&#10;6ioIafBRZxI40cJi2FkQi7hUgcFxLUBjc8oSi1ncEhEj0KIjVx25dpJYQhvs9bmJdkA4HLtCTaHE&#10;AciAMZd7W4zEkS5JANouMl/NSTJVen/DV8L24oIdhAsGZqIqr3YdC/y0SU4tLnxiI7t5azChfdWd&#10;+yq7wYXyVXYHDiN8lSM8VB24+EhsIKjA4m1i0w0vb8JVPYTwEsS6kWqSw5RIRrntCHYGc/vM8etJ&#10;2DUJd7gib22Sniq+WxomfS0SJw6K6HyLryM64jrwp71posVILUamiz3g26tGksPkSIqkwRZ5g0gb&#10;bEhSUJ03yFolmIxCBxgQw7XnvnPP3VckyWGSJKifeUJ+BhoodV1SB/Gtn9CcpDlpLye1omQ/zezK&#10;kyPSTMfzwEs1J/mOx+yeZ2zyCSQeHBfqfKIegR0Lbe/DMolIBTaC11pvHr+M3omUQEquSiE1K+ll&#10;225hz+5IibbCa4+V0NLG66NYyeJgIukbbcdz+6smmpV2FAq8v+oXbVXRWuXAiRYPwyoHs7FQr+Cw&#10;i5Q8LNm4KqVmNuLqAT+lV2+Hik52Y+keVjHRvcIrWloMDnMSoZZvrTnJ8327H69z3xNlA1KUH8Cf&#10;zt7uOnujfd0VJ1o0DDMSocjdlAxPuc9pHw1aeA2jvbWve8IHMPhm7HqY8Eo832WiohAZNTQUR8eu&#10;AtK65HCUxExbibkfu3a15mE/QR0XErMKVnzOdexaxxr3tfCQtvKvil27qu8IT+F5nmAiyUqexURR&#10;tJyW6wowrfNpnW+fzkdbkbnPSl21eQwrceopnY/Z3vZCsc6o71dG3QjAr1/+8eavV22JPB0hAMsa&#10;yO96NZCEMZchjJVE1WyRaZU/7GFqKlUJ56JcEjy2v1I1PC8uotlJlqbYS5MVrK2fF0HJYqZivWD2&#10;PWSj+SrB1izs1jCQQzXF17LaXn5Hd+/NLRXbz7B9o2bq26+1FwN7u7t9RA1yHXz3AVWXP75908VO&#10;QDGbM7nBQsTjKGGrzaoBFUwfBKAaMXgLUCPE4N2Aws49ogpzKaXYVtYLpTRFDel6wXRzM9n1o/I7&#10;oKi+iswOU5EJJDyiFDzicrErYyMQ9zzgCzR4U2XdD6BWjrXqap0c4QTGdPRyI4Nuhr0VMuaAaba2&#10;7WqTHKyisb6yiRMHmYRhJ9y6LoVYltOvleO+zUW7mCbUwoamgThwaLHlIUyTRtnc8oVdiXNPGrfH&#10;F3qWu16O2CVAa1/4QfvCVq5UxNtVKYdVKcZArYp4oVg6goQ3nCF2S0tirp3hu2+IfQizvK8UssOU&#10;Qsd1sYIofSFlHt16Y4JrE1G4rOITbZKNV83sXlJijX62Rbwj9LM9xMv9Riah1BevFdmYOZp4P2ji&#10;bYQ39Zoa1tXbxhCvC/zUsxww8nxNvAe8NGn3LBdh0G7tCi1t7HtIeMWxLV/tvkR5LKTzXqm+ekdE&#10;zcXcQZwsvkiLoftfW3OflAa70a7UJMeJFkdjJrltuWoLGLEw4bcmuYe0SrlynUONWqC3G/Wn78rR&#10;0hrnkEnOGIf/rrmYENfffi1M/SYYPctHv5zqhmZ5/fK5PJSUqt7gJ1671/1bLpG0by0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tCgAAW0Nv&#10;bnRlbnRfVHlwZXNdLnhtbFBLAQIUAAoAAAAAAIdO4kAAAAAAAAAAAAAAAAAGAAAAAAAAAAAAEAAA&#10;AI8JAABfcmVscy9QSwECFAAUAAAACACHTuJAihRmPNEAAACUAQAACwAAAAAAAAABACAAAACzCQAA&#10;X3JlbHMvLnJlbHNQSwECFAAKAAAAAACHTuJAAAAAAAAAAAAAAAAABAAAAAAAAAAAABAAAAAAAAAA&#10;ZHJzL1BLAQIUABQAAAAIAIdO4kByONJJ1wAAAAUBAAAPAAAAAAAAAAEAIAAAACIAAABkcnMvZG93&#10;bnJldi54bWxQSwECFAAUAAAACACHTuJAORav1T0IAAD9UAAADgAAAAAAAAABACAAAAAmAQAAZHJz&#10;L2Uyb0RvYy54bWxQSwUGAAAAAAYABgBZAQAA1QsAAAAA&#10;">
                        <v:fill on="f" focussize="0,0"/>
                        <v:stroke on="f"/>
                        <v:imagedata o:title=""/>
                        <o:lock v:ext="edit" aspectratio="t"/>
                      </v:shape>
                      <v:rect id="_x0000_s1026" o:spid="_x0000_s1026" o:spt="1" style="position:absolute;left:137160;top:521970;height:392430;width:562610;" filled="f" stroked="f" coordsize="21600,21600" o:gfxdata="UEsDBAoAAAAAAIdO4kAAAAAAAAAAAAAAAAAEAAAAZHJzL1BLAwQUAAAACACHTuJA81OFv9cAAAAF&#10;AQAADwAAAGRycy9kb3ducmV2LnhtbE2PQUvDQBCF70L/wzIFb3bTUEoSsynSKvWorVC9bbNjEtyd&#10;DdlpU/31rl70MvB4j/e+KVcXZ8UZh9B5UjCfJSCQam86ahS87B9uMhCBNRltPaGCTwywqiZXpS6M&#10;H+kZzztuRCyhUGgFLXNfSBnqFp0OM98jRe/dD05zlEMjzaDHWO6sTJNkKZ3uKC60usd1i/XH7uQU&#10;bLP+7vXRf42NvX/bHp4O+Wafs1LX03lyC4Lxwn9h+MGP6FBFpqM/kQnCKoiP8O+NXrZYpCCOCpZp&#10;moOsSvmfvvoGUEsDBBQAAAAIAIdO4kDrbEBxugEAAG4DAAAOAAAAZHJzL2Uyb0RvYy54bWytU0tu&#10;2zAQ3RfoHQjua1py7TSC5WyMFAWKNkDSA9AUaRHgD0Pakk9ToLseoscpeo0OaTlp000W3VAznMGb&#10;995Q65vRGnKUELV3La1mc0qkE77Tbt/SLw+3b95REhN3HTfeyZaeZKQ3m9ev1kNoZO17bzoJBEFc&#10;bIbQ0j6l0DAWRS8tjzMfpMOi8mB5whT2rAM+ILo1rJ7PV2zw0AXwQsaIt9tzkU6I8BJAr5QWcuvF&#10;wUqXzqggDU8oKfY6RLopbJWSIn1WKspETEtRaSonDsF4l0+2WfNmDzz0WkwU+EsoPNNkuXY49BFq&#10;yxMnB9D/QFktwEev0kx4y85CiiOoopo/8+a+50EWLWh1DI+mx/8HKz4d74DorqVLShy3uPBfX7//&#10;/PGNLLM3Q4gNttyHO5iyiGEWOiqw+YsSyIjvaHFVrdDUEwLV1fXV5KwcExFYXq7qVYVlgfXFdf12&#10;UersCSZATO+ltyQHLQVcXPGTHz/GhKOx9dKSpzp/q40pyzPurwtszDcsMz9zzVEad+MkYOe7E0o2&#10;HxzamJ/EJYBLsLsEhwB63yOdKntRIHENhcz0ZPKe/8xL19Nvsv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1OFv9cAAAAFAQAADwAAAAAAAAABACAAAAAiAAAAZHJzL2Rvd25yZXYueG1sUEsBAhQA&#10;FAAAAAgAh07iQOtsQHG6AQAAbgMAAA4AAAAAAAAAAQAgAAAAJgEAAGRycy9lMm9Eb2MueG1sUEsF&#10;BgAAAAAGAAYAWQEAAFIFAAAAAA==&#10;">
                        <v:fill on="f" focussize="0,0"/>
                        <v:stroke on="f"/>
                        <v:imagedata o:title=""/>
                        <o:lock v:ext="edit" aspectratio="f"/>
                        <v:textbox inset="0mm,0mm,0mm,0mm">
                          <w:txbxContent>
                            <w:p w14:paraId="36BE21A8">
                              <w:pPr>
                                <w:jc w:val="center"/>
                                <w:rPr>
                                  <w:rFonts w:hint="eastAsia"/>
                                </w:rPr>
                              </w:pPr>
                              <w:r>
                                <w:rPr>
                                  <w:rFonts w:hint="eastAsia"/>
                                </w:rPr>
                                <w:t>钢材</w:t>
                              </w:r>
                            </w:p>
                            <w:p w14:paraId="7C72EC32">
                              <w:pPr>
                                <w:jc w:val="center"/>
                                <w:rPr>
                                  <w:rFonts w:hint="eastAsia"/>
                                </w:rPr>
                              </w:pPr>
                              <w:r>
                                <w:rPr>
                                  <w:rFonts w:hint="eastAsia"/>
                                </w:rPr>
                                <w:t>法兰</w:t>
                              </w:r>
                            </w:p>
                          </w:txbxContent>
                        </v:textbox>
                      </v:rect>
                      <v:rect id="_x0000_s1026" o:spid="_x0000_s1026" o:spt="1" style="position:absolute;left:1898650;top:1239520;height:191135;width:1452880;" fillcolor="#FFFFFF" filled="t" stroked="t" coordsize="21600,21600" o:gfxdata="UEsDBAoAAAAAAIdO4kAAAAAAAAAAAAAAAAAEAAAAZHJzL1BLAwQUAAAACACHTuJAGH4EWtgAAAAF&#10;AQAADwAAAGRycy9kb3ducmV2LnhtbE2PzU7DMBCE70i8g7VI3KjTKFQljdMDUi8gqhIq1KMbb5NA&#10;vI5iN/15+m57gctIq1nNfJPNj7YVA/a+caRgPIpAIJXONFQpWH8tnqYgfNBkdOsIFZzQwzy/v8t0&#10;atyBPnEoQiU4hHyqFdQhdKmUvqzRaj9yHRJ7O9dbHfjsK2l6feBw28o4iibS6oa4odYdvtZY/hZ7&#10;y71J97Nevi0XH6fz9+BX75vieeeUenwYRzMQAY/h7xmu+IwOOTNt3Z6MF60CHhJuyt40SWIQWwWT&#10;OH4BmWfyP31+AVBLAwQUAAAACACHTuJANx4EgRgCAABZBAAADgAAAGRycy9lMm9Eb2MueG1srVTN&#10;jtMwEL4j8Q6W7zRtl1ZttOkeKEVICFba5QFc20ks+U9jt0mfBokbD8HjIF6DsZPuHxx6IIfkc/L5&#10;m5lvxrm+6Y0mRwlBOVvR2WRKibTcCWWbin69371ZURIis4JpZ2VFTzLQm83rV9edL+XctU4LCQRF&#10;bCg7X9E2Rl8WReCtNCxMnJcWP9YODIu4hKYQwDpUN7qYT6fLonMgPDguQ8C32+EjHRXhEkFX14rL&#10;reMHI20cVEFqFrGk0Cof6CZnW9eSxy91HWQkuqJYacx3DIJ4n+7F5pqVDTDfKj6mwC5J4UVNhimL&#10;QR+ktiwycgD1l5RRHFxwdZxwZ4qhkOwIVjGbvvDmrmVe5lrQ6uAfTA//T5Z/Pt4CUaKiS0osM9jw&#10;399+/Pr5nSyTN50PJVLu/C2Mq4AwFdrXYNITSyA9ztFqvVou0NUT4vnVejEfvZV9JDwR3i7mqxUS&#10;eGKsZ7OrRQpQPCp5CPGDdIYkUFHA3mVL2fFTiAP1TEmBg9NK7JTWeQHN/p0GcmTY512+RvVnNG1J&#10;V1FMboF5MBzeGocGofFoQLBNjvdsR3gqPM3Xv4RTYlsW2iGBrJBorDQqSsiolUy8t4LEk0eTLZ4t&#10;mpIxUlCiJR7FhDIzMqUvYaJ32qKFqUlDWxKK/b5HmQT3Tpywu/qjxYlJ038GcAb7Mzh4UE2Lts9y&#10;eWk3Tlzuz3g60kg/XefAj3+Ez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YfgRa2AAAAAUBAAAP&#10;AAAAAAAAAAEAIAAAACIAAABkcnMvZG93bnJldi54bWxQSwECFAAUAAAACACHTuJANx4EgRgCAABZ&#10;BAAADgAAAAAAAAABACAAAAAnAQAAZHJzL2Uyb0RvYy54bWxQSwUGAAAAAAYABgBZAQAAsQUAAAAA&#10;">
                        <v:fill on="t" focussize="0,0"/>
                        <v:stroke color="#000000" joinstyle="miter"/>
                        <v:imagedata o:title=""/>
                        <o:lock v:ext="edit" aspectratio="f"/>
                        <v:textbox inset="0mm,0mm,0mm,0mm">
                          <w:txbxContent>
                            <w:p w14:paraId="62172D53">
                              <w:pPr>
                                <w:jc w:val="center"/>
                                <w:rPr>
                                  <w:rFonts w:hint="eastAsia"/>
                                </w:rPr>
                              </w:pPr>
                              <w:r>
                                <w:rPr>
                                  <w:rFonts w:hint="eastAsia"/>
                                </w:rPr>
                                <w:t>装模、灌浆</w:t>
                              </w:r>
                            </w:p>
                          </w:txbxContent>
                        </v:textbox>
                      </v:rect>
                      <v:line id="_x0000_s1026" o:spid="_x0000_s1026" o:spt="20" style="position:absolute;left:600710;top:661670;height:0;width:415290;" filled="f" stroked="t" coordsize="21600,21600" o:gfxdata="UEsDBAoAAAAAAIdO4kAAAAAAAAAAAAAAAAAEAAAAZHJzL1BLAwQUAAAACACHTuJA/0hPVtcAAAAF&#10;AQAADwAAAGRycy9kb3ducmV2LnhtbE2PQUvDQBCF74L/YRnBm90klBJjJj0I9dJqaSuit212TILZ&#10;2bC7aeO/d+tFLwOP93jvm3I5mV6cyPnOMkI6S0AQ11Z33CC8HlZ3OQgfFGvVWyaEb/KwrK6vSlVo&#10;e+YdnfahEbGEfaEQ2hCGQkpft2SUn9mBOHqf1hkVonSN1E6dY7npZZYkC2lUx3GhVQM9tlR/7UeD&#10;sNus1vnbepxq9/GUvhy2m+d3nyPe3qTJA4hAU/gLwwU/okMVmY52ZO1FjxAfCb83evl8noE4Iiyy&#10;7B5kVcr/9NUPUEsDBBQAAAAIAIdO4kARPwUABwIAAPEDAAAOAAAAZHJzL2Uyb0RvYy54bWytU82O&#10;0zAQviPxDpbvNElFWzZquoctywVBJeABpraTWPKfbLdpX4IXQOIGJ47ceRuWx2DslO3uIqQ9kIMz&#10;zjf+Zr4v4+XlQSuyFz5IaxpaTUpKhGGWS9M19MP762cvKAkRDAdljWjoUQR6uXr6ZDm4WkxtbxUX&#10;niCJCfXgGtrH6OqiCKwXGsLEOmEQbK3XEHHru4J7GJBdq2JalvNisJ47b5kIAb+uR5CeGP1jCG3b&#10;SibWlu20MHFk9UJBREmhly7QVe62bQWLb9s2iEhUQ1FpzCsWwXib1mK1hLrz4HrJTi3AY1p4oEmD&#10;NFj0lmoNEcjOy7+otGTeBtvGCbO6GIVkR1BFVT7w5l0PTmQtaHVwt6aH/0fL3uw3nkje0AUlBjT+&#10;8JtP339+/PLrx2dcb759JYtk0uBCjblXZuNPu+A2Pik+tF6nN2ohh4bOy3JRobtHDOfVfHGyWBwi&#10;YQg/r2bTC4QZ4hkqzgzOh/hKWE1S0FAlTRIPNexfh4hVMfVPSvqsDBkaejGbzpAOcBJbnAAMtUM1&#10;wXT5bLBK8mupVDoRfLe9Up7sIU1DfpI25L2XloqsIfRjXobGOekF8JeGk3h06JPB60FTC1pwSpTA&#10;25QiJIQ6glTnzOglmE79IxvLK4NdJItHU1O0tfyIf2bnvOx6dKPKnSYEJyH3fJraNGp395npfFN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E9W1wAAAAUBAAAPAAAAAAAAAAEAIAAAACIAAABk&#10;cnMvZG93bnJldi54bWxQSwECFAAUAAAACACHTuJAET8FAAcCAADxAwAADgAAAAAAAAABACAAAAAm&#10;AQAAZHJzL2Uyb0RvYy54bWxQSwUGAAAAAAYABgBZAQAAnwUAAAAA&#10;">
                        <v:fill on="f" focussize="0,0"/>
                        <v:stroke color="#000000" joinstyle="round" endarrow="block"/>
                        <v:imagedata o:title=""/>
                        <o:lock v:ext="edit" aspectratio="f"/>
                      </v:line>
                      <v:rect id="_x0000_s1026" o:spid="_x0000_s1026" o:spt="1" style="position:absolute;left:3195320;top:544830;height:190500;width:1029970;" fillcolor="#FFFFFF" filled="t" stroked="t" coordsize="21600,21600" o:gfxdata="UEsDBAoAAAAAAIdO4kAAAAAAAAAAAAAAAAAEAAAAZHJzL1BLAwQUAAAACACHTuJAGH4EWtgAAAAF&#10;AQAADwAAAGRycy9kb3ducmV2LnhtbE2PzU7DMBCE70i8g7VI3KjTKFQljdMDUi8gqhIq1KMbb5NA&#10;vI5iN/15+m57gctIq1nNfJPNj7YVA/a+caRgPIpAIJXONFQpWH8tnqYgfNBkdOsIFZzQwzy/v8t0&#10;atyBPnEoQiU4hHyqFdQhdKmUvqzRaj9yHRJ7O9dbHfjsK2l6feBw28o4iibS6oa4odYdvtZY/hZ7&#10;y71J97Nevi0XH6fz9+BX75vieeeUenwYRzMQAY/h7xmu+IwOOTNt3Z6MF60CHhJuyt40SWIQWwWT&#10;OH4BmWfyP31+AVBLAwQUAAAACACHTuJAKqM3xR4CAABYBAAADgAAAGRycy9lMm9Eb2MueG1srVTL&#10;rtMwEN0j8Q+W9zRJewtt1PQuKEVICK504QOmtpNY8ku226Rfg8SOj+BzEL/B2G3vCxZ3QRbpcT0+&#10;M+fMOKvrUStyED5IaxpaTUpKhGGWS9M19OuX7asFJSGC4aCsEQ09ikCv1y9frAZXi6ntreLCEyQx&#10;oR5cQ/sYXV0UgfVCQ5hYJwxuttZriLj0XcE9DMiuVTEty9fFYD133jIRAv67OW3SM6N/DqFtW8nE&#10;xrK9FiaeWL1QEFFS6KULdJ2rbVvB4ue2DSIS1VBUGvMbkyDepXexXkHdeXC9ZOcS4DklPNGkQRpM&#10;eke1gQhk7+VfVFoyb4Nt44RZXZyEZEdQRVU+8ea2ByeyFrQ6uDvTw/+jZZ8ON55I3lBsuwGNDf/9&#10;7cevn9/JInkzuFBjyK278edVQJiEjq3X6RclkLGhs2o5n03R1WND51dXi9nZWjFGwnC/KqfL5Rvc&#10;ZxhQLct5mQOKeyLnQ3wvrCYJNNRj67KjcPgYIibH0EtIyhusknwrlcoL3+3eKk8OgG3e5idVj0ce&#10;hSlDhoYu59M51gE4uy3ODELtUH8wXc736ER4SFzm51/EqbANhP5UQGZIYVBrGUVyDupeAH9nOIlH&#10;hx4bvFo0FaMFp0QJvIkJ5cgIUj0nEtUpgyJTj05dSSiOuxFpEtxZfsTmqg8GByYN/wX4C9hdwN55&#10;2fVoe5XlpdM4cNnB8+VIE/1wnRPffxD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fgRa2AAA&#10;AAUBAAAPAAAAAAAAAAEAIAAAACIAAABkcnMvZG93bnJldi54bWxQSwECFAAUAAAACACHTuJAKqM3&#10;xR4CAABYBAAADgAAAAAAAAABACAAAAAnAQAAZHJzL2Uyb0RvYy54bWxQSwUGAAAAAAYABgBZAQAA&#10;twUAAAAA&#10;">
                        <v:fill on="t" focussize="0,0"/>
                        <v:stroke color="#000000" joinstyle="miter"/>
                        <v:imagedata o:title=""/>
                        <o:lock v:ext="edit" aspectratio="f"/>
                        <v:textbox inset="0mm,0mm,0mm,0mm">
                          <w:txbxContent>
                            <w:p w14:paraId="1D129F84">
                              <w:pPr>
                                <w:jc w:val="center"/>
                                <w:rPr>
                                  <w:rFonts w:hint="eastAsia"/>
                                </w:rPr>
                              </w:pPr>
                              <w:r>
                                <w:rPr>
                                  <w:rFonts w:hint="eastAsia"/>
                                </w:rPr>
                                <w:t>混凝土搅拌机</w:t>
                              </w:r>
                            </w:p>
                          </w:txbxContent>
                        </v:textbox>
                      </v:rect>
                      <v:rect id="_x0000_s1026" o:spid="_x0000_s1026" o:spt="1" style="position:absolute;left:4748530;top:401320;height:582930;width:455930;" filled="f" stroked="f" coordsize="21600,21600" o:gfxdata="UEsDBAoAAAAAAIdO4kAAAAAAAAAAAAAAAAAEAAAAZHJzL1BLAwQUAAAACACHTuJA81OFv9cAAAAF&#10;AQAADwAAAGRycy9kb3ducmV2LnhtbE2PQUvDQBCF70L/wzIFb3bTUEoSsynSKvWorVC9bbNjEtyd&#10;DdlpU/31rl70MvB4j/e+KVcXZ8UZh9B5UjCfJSCQam86ahS87B9uMhCBNRltPaGCTwywqiZXpS6M&#10;H+kZzztuRCyhUGgFLXNfSBnqFp0OM98jRe/dD05zlEMjzaDHWO6sTJNkKZ3uKC60usd1i/XH7uQU&#10;bLP+7vXRf42NvX/bHp4O+Wafs1LX03lyC4Lxwn9h+MGP6FBFpqM/kQnCKoiP8O+NXrZYpCCOCpZp&#10;moOsSvmfvvoGUEsDBBQAAAAIAIdO4kAf0AiRuAEAAG8DAAAOAAAAZHJzL2Uyb0RvYy54bWytU0tu&#10;2zAQ3RfoHQjua8pO3NqC5WyMFAWKNkDSA9AUZRHgDzO0JZ+mQHc9RI9T9BodSnLSppssuqEeZ4g3&#10;7z1Sm5veWXbSgCb4is9nBWfaq1Abf6j4l4fbNyvOMElfSxu8rvhZI7/Zvn616WKpF6ENttbAiMRj&#10;2cWKtynFUghUrXYSZyFqT80mgJOJtnAQNciO2J0Vi6J4K7oAdYSgNCJVd2OTT4zwEsLQNEbpXVBH&#10;p30aWUFbmcgStiYi3w5qm0ar9LlpUCdmK05O07DSEML7vIrtRpYHkLE1apIgXyLhmScnjaehj1Q7&#10;mSQ7gvmHyhkFAUOTZio4MRoZEiEX8+JZNvetjHrwQlFjfAwd/x+t+nS6A2bqiq8589LRhf/6+v3n&#10;j29snbPpIpZ05D7ewbRDgtlo34DLX7LA+opfv7teLa8o1TPhYn61mKLVfWIq95fLdW4r6i9Xi4yJ&#10;UDzxRMD0XgfHMqg40M0NgcrTR0zj0cuRPNaHW2Mt1WVp/V8F4swVkaWPYjNK/b6fHOxDfSbP9oOn&#10;HPObuAC4gP0FHCOYQ0ty5oPaTET3MOie3ky+6D/3w+Cn/2T7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NThb/XAAAABQEAAA8AAAAAAAAAAQAgAAAAIgAAAGRycy9kb3ducmV2LnhtbFBLAQIUABQA&#10;AAAIAIdO4kAf0AiRuAEAAG8DAAAOAAAAAAAAAAEAIAAAACYBAABkcnMvZTJvRG9jLnhtbFBLBQYA&#10;AAAABgAGAFkBAABQBQAAAAA=&#10;">
                        <v:fill on="f" focussize="0,0"/>
                        <v:stroke on="f"/>
                        <v:imagedata o:title=""/>
                        <o:lock v:ext="edit" aspectratio="f"/>
                        <v:textbox inset="0mm,0mm,0mm,0mm">
                          <w:txbxContent>
                            <w:p w14:paraId="7D82AE4E">
                              <w:pPr>
                                <w:jc w:val="center"/>
                                <w:rPr>
                                  <w:rFonts w:hint="eastAsia"/>
                                </w:rPr>
                              </w:pPr>
                              <w:r>
                                <w:rPr>
                                  <w:rFonts w:hint="eastAsia"/>
                                </w:rPr>
                                <w:t>河沙</w:t>
                              </w:r>
                            </w:p>
                            <w:p w14:paraId="61939EA5">
                              <w:pPr>
                                <w:jc w:val="center"/>
                                <w:rPr>
                                  <w:rFonts w:hint="eastAsia"/>
                                </w:rPr>
                              </w:pPr>
                              <w:r>
                                <w:rPr>
                                  <w:rFonts w:hint="eastAsia"/>
                                </w:rPr>
                                <w:t>碎石</w:t>
                              </w:r>
                            </w:p>
                            <w:p w14:paraId="48093716">
                              <w:pPr>
                                <w:jc w:val="center"/>
                                <w:rPr>
                                  <w:rFonts w:hint="eastAsia"/>
                                </w:rPr>
                              </w:pPr>
                              <w:r>
                                <w:rPr>
                                  <w:rFonts w:hint="eastAsia"/>
                                </w:rPr>
                                <w:t>水泥</w:t>
                              </w:r>
                            </w:p>
                          </w:txbxContent>
                        </v:textbox>
                      </v:rect>
                      <v:line id="_x0000_s1026" o:spid="_x0000_s1026" o:spt="20" style="position:absolute;left:4230370;top:641350;flip:x;height:0;width:560070;" filled="f" stroked="t" coordsize="21600,21600" o:gfxdata="UEsDBAoAAAAAAIdO4kAAAAAAAAAAAAAAAAAEAAAAZHJzL1BLAwQUAAAACACHTuJANyDaBdcAAAAF&#10;AQAADwAAAGRycy9kb3ducmV2LnhtbE2PwU7DMBBE70j8g7VI3KiTKFRtiNMDolJPCNoKiZsbL0lo&#10;vA72til8PaYXellpNKOZt+XiZHtxRB86RwrSSQICqXamo0bBdrO8m4EIrMno3hEq+MYAi+r6qtSF&#10;cSO94nHNjYglFAqtoGUeCilD3aLVYeIGpOh9OG81R+kbabweY7ntZZYkU2l1R3Gh1QM+tljv1wer&#10;YL4Z792L37/laff1/vP0ycPqmZW6vUmTBxCMJ/4Pwx9+RIcqMu3cgUwQvYL4CJ9v9GZ5noHYKZhm&#10;2RxkVcpL+uoXUEsDBBQAAAAIAIdO4kAlhek9EAIAAP4DAAAOAAAAZHJzL2Uyb0RvYy54bWytU0uO&#10;EzEQ3SNxB8t70p1kMkArnVlMGFggiAQcoOJPtyX/ZDvp5BJcAIkdrFiy5zYMx6DsDjMwCGkW9MIq&#10;+5Vf1XtdXl4cjCZ7EaJytqXTSU2JsMxxZbuWvnt79egJJTGB5aCdFS09ikgvVg8fLAffiJnrneYi&#10;ECSxsRl8S/uUfFNVkfXCQJw4LyyC0gUDCbehq3iAAdmNrmZ1fV4NLnAfHBMx4ul6BOmJMdyH0Emp&#10;mFg7tjPCppE1CA0JJcVe+UhXpVspBUuvpYwiEd1SVJrKikUw3ua1Wi2h6QL4XrFTC3CfFu5oMqAs&#10;Fr2hWkMCsgvqLyqjWHDRyTRhzlSjkOIIqpjWd7x504MXRQtaHf2N6fH/0bJX+00giuMkoCUWDP7x&#10;6w9fv7//9OPbR1yvv3wmiKBNg48NZl/aTTjtot+ErPkggyFSK/8CWYoLqIscWno2m9fzx8h7bOn5&#10;2XS+OPktDokwxBfndZ1hhniBqpEsk/oQ03PhDMlBS7Wy2QloYP8yJmwAU3+l5GNtydDSp4vZAukA&#10;x1LiOGBoPEqLtit3o9OKXymt840Yuu2lDmQPeTTKl2Ui7x9pucgaYj/mFWgcml4Af2Y5SUePnll8&#10;KzS3YASnRAt8WjlCQmgSKH2bmYIC2+l/ZGN5bbGL7Pbob462jh/xN+18UF2PbkxLpxnBsSg9n0Y4&#10;z93v+8J0+2x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3INoF1wAAAAUBAAAPAAAAAAAAAAEA&#10;IAAAACIAAABkcnMvZG93bnJldi54bWxQSwECFAAUAAAACACHTuJAJYXpPRACAAD+AwAADgAAAAAA&#10;AAABACAAAAAmAQAAZHJzL2Uyb0RvYy54bWxQSwUGAAAAAAYABgBZAQAAqAUAAAAA&#10;">
                        <v:fill on="f" focussize="0,0"/>
                        <v:stroke color="#000000" joinstyle="round" endarrow="block"/>
                        <v:imagedata o:title=""/>
                        <o:lock v:ext="edit" aspectratio="f"/>
                      </v:line>
                      <v:rect id="_x0000_s1026" o:spid="_x0000_s1026" o:spt="1" style="position:absolute;left:1017270;top:570230;height:191135;width:1030605;" fillcolor="#FFFFFF" filled="t" stroked="t" coordsize="21600,21600" o:gfxdata="UEsDBAoAAAAAAIdO4kAAAAAAAAAAAAAAAAAEAAAAZHJzL1BLAwQUAAAACACHTuJAGH4EWtgAAAAF&#10;AQAADwAAAGRycy9kb3ducmV2LnhtbE2PzU7DMBCE70i8g7VI3KjTKFQljdMDUi8gqhIq1KMbb5NA&#10;vI5iN/15+m57gctIq1nNfJPNj7YVA/a+caRgPIpAIJXONFQpWH8tnqYgfNBkdOsIFZzQwzy/v8t0&#10;atyBPnEoQiU4hHyqFdQhdKmUvqzRaj9yHRJ7O9dbHfjsK2l6feBw28o4iibS6oa4odYdvtZY/hZ7&#10;y71J97Nevi0XH6fz9+BX75vieeeUenwYRzMQAY/h7xmu+IwOOTNt3Z6MF60CHhJuyt40SWIQWwWT&#10;OH4BmWfyP31+AVBLAwQUAAAACACHTuJAa7NjOBgCAABaBAAADgAAAGRycy9lMm9Eb2MueG1srVTN&#10;jtMwEL4j8Q6W7zRJq27ZqOkeKEVICFba5QFcx0ks+U9jt0mfBokbD8HjIF6DsZPuHxx6wAfnsz3+&#10;ZuabcdY3g1bkKMBLaypazHJKhOG2lqat6Nf73Zu3lPjATM2UNaKiJ+Hpzeb1q3XvSjG3nVW1AIIk&#10;xpe9q2gXgiuzzPNOaOZn1gmDh40FzQIuoc1qYD2ya5XN8/wq6y3UDiwX3uPudjykEyNcQmibRnKx&#10;tfyghQkjKwjFAqbkO+k83aRom0bw8KVpvAhEVRQzDWlGJ4j3cc42a1a2wFwn+RQCuySEFzlpJg06&#10;faDassDIAeRfVFpysN42YcatzsZEkiKYRZG/0OauY06kXFBq7x5E9/+Pln8+3gKRNXZCQYlhGiv+&#10;+9uPXz+/E9xAdXrnSzS6c7cwrTzCmOrQgI5fTIIMeD8vVvMV6nqq6HKVzxeTuGIIhKfzRX6VLynh&#10;aFBcF8ViGfmzRyIHPnwQVpMIKgpYvKQpO37yYTQ9m0S/3ipZ76RSaQHt/p0CcmRY6F0aE/szM2VI&#10;X9Hr5TzGwbB7G+wahNqhAt60yd+zG/4pcZ7Gv4hjYFvmuzGAxBDNWKllEJBQJ1j93tQknByKbPBx&#10;0RiMFjUlSuBbjChZBibVJZaonTIoYazRWJWIwrAfkCbCva1PWF710WDLxPY/AziD/RkcHMi2Q9lT&#10;1RMltlyqz/Q8Yk8/XSfHj7+Ez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YfgRa2AAAAAUBAAAP&#10;AAAAAAAAAAEAIAAAACIAAABkcnMvZG93bnJldi54bWxQSwECFAAUAAAACACHTuJAa7NjOBgCAABa&#10;BAAADgAAAAAAAAABACAAAAAnAQAAZHJzL2Uyb0RvYy54bWxQSwUGAAAAAAYABgBZAQAAsQUAAAAA&#10;">
                        <v:fill on="t" focussize="0,0"/>
                        <v:stroke color="#000000" joinstyle="miter"/>
                        <v:imagedata o:title=""/>
                        <o:lock v:ext="edit" aspectratio="f"/>
                        <v:textbox inset="0mm,0mm,0mm,0mm">
                          <w:txbxContent>
                            <w:p w14:paraId="59C1909B">
                              <w:pPr>
                                <w:jc w:val="center"/>
                                <w:rPr>
                                  <w:rFonts w:hint="eastAsia"/>
                                </w:rPr>
                              </w:pPr>
                              <w:r>
                                <w:rPr>
                                  <w:rFonts w:hint="eastAsia"/>
                                </w:rPr>
                                <w:t>骨架制作</w:t>
                              </w:r>
                            </w:p>
                          </w:txbxContent>
                        </v:textbox>
                      </v:rect>
                      <v:line id="_x0000_s1026" o:spid="_x0000_s1026" o:spt="20" style="position:absolute;left:2002155;top:768350;height:473710;width:635;" filled="f" stroked="t" coordsize="21600,21600" o:gfxdata="UEsDBAoAAAAAAIdO4kAAAAAAAAAAAAAAAAAEAAAAZHJzL1BLAwQUAAAACACHTuJA/0hPVtcAAAAF&#10;AQAADwAAAGRycy9kb3ducmV2LnhtbE2PQUvDQBCF74L/YRnBm90klBJjJj0I9dJqaSuit212TILZ&#10;2bC7aeO/d+tFLwOP93jvm3I5mV6cyPnOMkI6S0AQ11Z33CC8HlZ3OQgfFGvVWyaEb/KwrK6vSlVo&#10;e+YdnfahEbGEfaEQ2hCGQkpft2SUn9mBOHqf1hkVonSN1E6dY7npZZYkC2lUx3GhVQM9tlR/7UeD&#10;sNus1vnbepxq9/GUvhy2m+d3nyPe3qTJA4hAU/gLwwU/okMVmY52ZO1FjxAfCb83evl8noE4Iiyy&#10;7B5kVcr/9NUPUEsDBBQAAAAIAIdO4kBQs8vpCwIAAPYDAAAOAAAAZHJzL2Uyb0RvYy54bWytU82O&#10;0zAQviPxDpbvNP2h7RI13cOW5YJgJeABpo6TWPKfPG7TvgQvgMQNThy58zYsj8HYKVtYhLQHcnDG&#10;+SbfzPd5vLo8GM32MqBytuKT0ZgzaYWrlW0r/u7t9ZMLzjCCrUE7Kyt+lMgv148frXpfyqnrnK5l&#10;YERisex9xbsYfVkUKDppAEfOS0tg44KBSNvQFnWAntiNLqbj8aLoXah9cEIi0tfNAPITY3gIoWsa&#10;JeTGiZ2RNg6sQWqIJAk75ZGvc7dNI0V83TQoI9MVJ6Uxr1SE4m1ai/UKyjaA75Q4tQAPaeGeJgPK&#10;UtE7qg1EYLug/qIySgSHrokj4UwxCMmOkIrJ+J43bzrwMmshq9HfmY7/j1a82t8EpmqahClnFgyd&#10;+O2Hr9/ff/rx7SOtt18+M0LIpt5jSdlX9iacduhvQtJ8aIJJb1LDDhWnQ55O5nPOjhVfLi5m85PL&#10;8hCZIHwxI0wQ+HQ5W04yWJxJfMD4QjrDUlBxrWxyAErYv8RIhSn1V0r6rC3rK/5sPk2cQOPY0BhQ&#10;aDxJQtvmf9FpVV8rrdMfGNrtlQ5sD2kk8pPkEe8faanIBrAb8jI0DEsnoX5uaxaPnryydEd4asHI&#10;mjMt6UqliAihjKD0OTMGBbbV/8im8tpSF8nlwdcUbV19pOPZ+aDajtyY5E4TQuOQez6Nbpq33/eZ&#10;6Xxd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hPVtcAAAAFAQAADwAAAAAAAAABACAAAAAi&#10;AAAAZHJzL2Rvd25yZXYueG1sUEsBAhQAFAAAAAgAh07iQFCzy+kLAgAA9gMAAA4AAAAAAAAAAQAg&#10;AAAAJgEAAGRycy9lMm9Eb2MueG1sUEsFBgAAAAAGAAYAWQEAAKMFAAAAAA==&#10;">
                        <v:fill on="f" focussize="0,0"/>
                        <v:stroke color="#000000" joinstyle="round" endarrow="block"/>
                        <v:imagedata o:title=""/>
                        <o:lock v:ext="edit" aspectratio="f"/>
                      </v:line>
                      <v:line id="_x0000_s1026" o:spid="_x0000_s1026" o:spt="20" style="position:absolute;left:3270250;top:750570;height:491490;width:635;" filled="f" stroked="t" coordsize="21600,21600" o:gfxdata="UEsDBAoAAAAAAIdO4kAAAAAAAAAAAAAAAAAEAAAAZHJzL1BLAwQUAAAACACHTuJA/0hPVtcAAAAF&#10;AQAADwAAAGRycy9kb3ducmV2LnhtbE2PQUvDQBCF74L/YRnBm90klBJjJj0I9dJqaSuit212TILZ&#10;2bC7aeO/d+tFLwOP93jvm3I5mV6cyPnOMkI6S0AQ11Z33CC8HlZ3OQgfFGvVWyaEb/KwrK6vSlVo&#10;e+YdnfahEbGEfaEQ2hCGQkpft2SUn9mBOHqf1hkVonSN1E6dY7npZZYkC2lUx3GhVQM9tlR/7UeD&#10;sNus1vnbepxq9/GUvhy2m+d3nyPe3qTJA4hAU/gLwwU/okMVmY52ZO1FjxAfCb83evl8noE4Iiyy&#10;7B5kVcr/9NUPUEsDBBQAAAAIAIdO4kBbjfr6DAIAAPYDAAAOAAAAZHJzL2Uyb0RvYy54bWytU82O&#10;0zAQviPxDpbvNGm73dKo6R62LBcElYAHmNpOYsl/st2mfQleAIkbnDhy37dheQzGTtnCIqQ9kIMz&#10;zoy/me/L5+XVQSuyFz5Ia2o6HpWUCMMsl6at6ft3N8+eUxIiGA7KGlHTowj0avX0ybJ3lZjYziou&#10;PEEQE6re1bSL0VVFEVgnNISRdcJgsrFeQ8StbwvuoUd0rYpJWV4WvfXcectECPh1PSTpCdE/BtA2&#10;jWRibdlOCxMHVC8URKQUOukCXeVpm0aw+KZpgohE1RSZxrxiE4y3aS1WS6haD66T7DQCPGaEB5w0&#10;SINN76HWEIHsvPwLSkvmbbBNHDGri4FIVgRZjMsH2rztwInMBaUO7l708P9g2ev9xhPJ0QlTSgxo&#10;/ON3H799//D5x+0nXO++fiGYQZl6FyqsvjYbf9oFt/GJ86HxOr2RDTnUdDqZl5MZCnys6XxWzuYn&#10;lcUhEob5y+mMEobJi8X4YpGTxRnE+RBfCqtJCmqqpEkKQAX7VyFiYyz9VZI+K0P6mi5mk4QJaMcG&#10;bYChdkgpmDafDVZJfiOVSieCb7fXypM9JEvkJ9FD3D/KUpM1hG6oy6nBLJ0A/sJwEo8OtTJ4R2ga&#10;QQtOiRJ4pVKEgFBFkOpcGb0E06p/VGN7ZXCKpPKga4q2lh/x9+ycl22HaozzpCmDdsgzn6yb/Pb7&#10;PiOdr+v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9IT1bXAAAABQEAAA8AAAAAAAAAAQAgAAAA&#10;IgAAAGRycy9kb3ducmV2LnhtbFBLAQIUABQAAAAIAIdO4kBbjfr6DAIAAPYDAAAOAAAAAAAAAAEA&#10;IAAAACYBAABkcnMvZTJvRG9jLnhtbFBLBQYAAAAABgAGAFkBAACkBQAAAAA=&#10;">
                        <v:fill on="f" focussize="0,0"/>
                        <v:stroke color="#000000" joinstyle="round" endarrow="block"/>
                        <v:imagedata o:title=""/>
                        <o:lock v:ext="edit" aspectratio="f"/>
                      </v:line>
                      <v:rect id="_x0000_s1026" o:spid="_x0000_s1026" o:spt="1" style="position:absolute;left:1557020;top:944880;height:191135;width:455930;" filled="f" stroked="f" coordsize="21600,21600" o:gfxdata="UEsDBAoAAAAAAIdO4kAAAAAAAAAAAAAAAAAEAAAAZHJzL1BLAwQUAAAACACHTuJA81OFv9cAAAAF&#10;AQAADwAAAGRycy9kb3ducmV2LnhtbE2PQUvDQBCF70L/wzIFb3bTUEoSsynSKvWorVC9bbNjEtyd&#10;DdlpU/31rl70MvB4j/e+KVcXZ8UZh9B5UjCfJSCQam86ahS87B9uMhCBNRltPaGCTwywqiZXpS6M&#10;H+kZzztuRCyhUGgFLXNfSBnqFp0OM98jRe/dD05zlEMjzaDHWO6sTJNkKZ3uKC60usd1i/XH7uQU&#10;bLP+7vXRf42NvX/bHp4O+Wafs1LX03lyC4Lxwn9h+MGP6FBFpqM/kQnCKoiP8O+NXrZYpCCOCpZp&#10;moOsSvmfvvoGUEsDBBQAAAAIAIdO4kDNRe75vQEAAHEDAAAOAAAAZHJzL2Uyb0RvYy54bWytU0tu&#10;2zAQ3RfoHQjuY0qO1dqC5WyMFAWKNkCSA9AUZRHgD0Pakk8TILseoscpeo0OJTlJ000W2VDDGerN&#10;e2/I9VVvNDlKCMrZiuazjBJphauV3Vf0/u76YklJiNzWXDsrK3qSgV5tPn5Yd76Uc9c6XUsgCGJD&#10;2fmKtjH6krEgWml4mDkvLRYbB4ZH3MKe1cA7RDeazbPsE+sc1B6ckCFgdjsW6YQIbwF0TaOE3Dpx&#10;MNLGERWk5hElhVb5QDcD26aRIv5omiAj0RVFpXFYsQnGu7SyzZqXe+C+VWKiwN9C4ZUmw5XFpk9Q&#10;Wx45OYD6D8ooAS64Js6EM2wUMjiCKvLslTe3Lfdy0IJWB/9keng/WPH9eANE1XgTFpRYbnDifx5+&#10;/v71SDCB7nQ+lHjo1t/AtAsYJql9AyZ9UQTp8f+i+JzN0ddTRVeLxXI5mSv7SATWF0WxusSywHq+&#10;yvPLIsGzZxwPIX6RzpAUVBRwdoOl/PgtxPHo+Uhqa9210hrzvNT2nwRipgxL1EeyKYr9rp8U7Fx9&#10;QtX6q0Un0604B3AOdufg4EHtW6STD2wTEE5i4D3dmjTql/uh8fNL2f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1OFv9cAAAAFAQAADwAAAAAAAAABACAAAAAiAAAAZHJzL2Rvd25yZXYueG1sUEsB&#10;AhQAFAAAAAgAh07iQM1F7vm9AQAAcQMAAA4AAAAAAAAAAQAgAAAAJgEAAGRycy9lMm9Eb2MueG1s&#10;UEsFBgAAAAAGAAYAWQEAAFUFAAAAAA==&#10;">
                        <v:fill on="f" focussize="0,0"/>
                        <v:stroke on="f"/>
                        <v:imagedata o:title=""/>
                        <o:lock v:ext="edit" aspectratio="f"/>
                        <v:textbox inset="0mm,0mm,0mm,0mm">
                          <w:txbxContent>
                            <w:p w14:paraId="429B8C44">
                              <w:pPr>
                                <w:jc w:val="center"/>
                                <w:rPr>
                                  <w:rFonts w:hint="eastAsia"/>
                                </w:rPr>
                              </w:pPr>
                              <w:r>
                                <w:rPr>
                                  <w:rFonts w:hint="eastAsia"/>
                                </w:rPr>
                                <w:t>骨架</w:t>
                              </w:r>
                            </w:p>
                          </w:txbxContent>
                        </v:textbox>
                      </v:rect>
                      <v:rect id="_x0000_s1026" o:spid="_x0000_s1026" o:spt="1" style="position:absolute;left:3264535;top:935990;height:191135;width:456565;" filled="f" stroked="f" coordsize="21600,21600" o:gfxdata="UEsDBAoAAAAAAIdO4kAAAAAAAAAAAAAAAAAEAAAAZHJzL1BLAwQUAAAACACHTuJA81OFv9cAAAAF&#10;AQAADwAAAGRycy9kb3ducmV2LnhtbE2PQUvDQBCF70L/wzIFb3bTUEoSsynSKvWorVC9bbNjEtyd&#10;DdlpU/31rl70MvB4j/e+KVcXZ8UZh9B5UjCfJSCQam86ahS87B9uMhCBNRltPaGCTwywqiZXpS6M&#10;H+kZzztuRCyhUGgFLXNfSBnqFp0OM98jRe/dD05zlEMjzaDHWO6sTJNkKZ3uKC60usd1i/XH7uQU&#10;bLP+7vXRf42NvX/bHp4O+Wafs1LX03lyC4Lxwn9h+MGP6FBFpqM/kQnCKoiP8O+NXrZYpCCOCpZp&#10;moOsSvmfvvoGUEsDBBQAAAAIAIdO4kCMbIHzvAEAAHEDAAAOAAAAZHJzL2Uyb0RvYy54bWytU82O&#10;0zAQviPxDpbvNE27rWjUdC/VIiQEKy08gOvYjSX/acZt0qdB4sZD8DiI12CcpLuwXPaAIiXjmdE3&#10;3/eNs73tnWVnBWiCr3k5m3OmvAyN8ceaf/l89+YtZ5iEb4QNXtX8opDf7l6/2naxUovQBtsoYATi&#10;sepizduUYlUUKFvlBM5CVJ6KOoATiY5wLBoQHaE7Wyzm83XRBWgiBKkQKbsfi3xChJcABq2NVPsg&#10;T075NKKCsiKRJGxNRL4b2GqtZPqkNarEbM1JaRreNITiQ34Xu62ojiBia+REQbyEwjNNThhPQx+h&#10;9iIJdgLzD5QzEgIGnWYyuGIUMjhCKsr5M28eWhHVoIWsxvhoOv4/WPnxfA/MNHQTVpx54Wjjv75+&#10;//njG6MEudNFrKjpId7DdEIKs9Reg8tfEsH6mi8X65vVkkAuNd8sV5vNZK7qE5NUv1mt6eFMUr3c&#10;lCW1EmDxhBMB0zsVHMtBzYF2N1gqzh8wja3XljzWhztjLeVFZf1fCcLMmSJTH8nmKPWHflJwCM2F&#10;VNv3npzMt+IawDU4XINTBHNsiU45sM1AtImB93Rr8qr/PA+Dn/6U3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zU4W/1wAAAAUBAAAPAAAAAAAAAAEAIAAAACIAAABkcnMvZG93bnJldi54bWxQSwEC&#10;FAAUAAAACACHTuJAjGyB87wBAABxAwAADgAAAAAAAAABACAAAAAmAQAAZHJzL2Uyb0RvYy54bWxQ&#10;SwUGAAAAAAYABgBZAQAAVAUAAAAA&#10;">
                        <v:fill on="f" focussize="0,0"/>
                        <v:stroke on="f"/>
                        <v:imagedata o:title=""/>
                        <o:lock v:ext="edit" aspectratio="f"/>
                        <v:textbox inset="0mm,0mm,0mm,0mm">
                          <w:txbxContent>
                            <w:p w14:paraId="0ABA0FAA">
                              <w:pPr>
                                <w:jc w:val="center"/>
                                <w:rPr>
                                  <w:rFonts w:hint="eastAsia"/>
                                </w:rPr>
                              </w:pPr>
                              <w:r>
                                <w:rPr>
                                  <w:rFonts w:hint="eastAsia"/>
                                </w:rPr>
                                <w:t>混凝土</w:t>
                              </w:r>
                            </w:p>
                          </w:txbxContent>
                        </v:textbox>
                      </v:rect>
                      <v:rect id="_x0000_s1026" o:spid="_x0000_s1026" o:spt="1" style="position:absolute;left:1906270;top:1757680;height:191135;width:1452880;" fillcolor="#FFFFFF" filled="t" stroked="t" coordsize="21600,21600" o:gfxdata="UEsDBAoAAAAAAIdO4kAAAAAAAAAAAAAAAAAEAAAAZHJzL1BLAwQUAAAACACHTuJAGH4EWtgAAAAF&#10;AQAADwAAAGRycy9kb3ducmV2LnhtbE2PzU7DMBCE70i8g7VI3KjTKFQljdMDUi8gqhIq1KMbb5NA&#10;vI5iN/15+m57gctIq1nNfJPNj7YVA/a+caRgPIpAIJXONFQpWH8tnqYgfNBkdOsIFZzQwzy/v8t0&#10;atyBPnEoQiU4hHyqFdQhdKmUvqzRaj9yHRJ7O9dbHfjsK2l6feBw28o4iibS6oa4odYdvtZY/hZ7&#10;y71J97Nevi0XH6fz9+BX75vieeeUenwYRzMQAY/h7xmu+IwOOTNt3Z6MF60CHhJuyt40SWIQWwWT&#10;OH4BmWfyP31+AVBLAwQUAAAACACHTuJAYXEEHxkCAABbBAAADgAAAGRycy9lMm9Eb2MueG1srVTL&#10;rtMwEN0j8Q+W9zRpoa+o6V1QipAQXOnCB7iOk1jyS2O3Sb8GiR0fwecgfoOxk94XLLogi/TYOT4z&#10;c2bczU2vFTkJ8NKakk4nOSXCcFtJ05T065f9qxUlPjBTMWWNKOlZeHqzffli07lCzGxrVSWAoIjx&#10;RedK2obgiizzvBWa+Yl1wuDH2oJmAZfQZBWwDtW1ymZ5vsg6C5UDy4X3uLsbPtJREa4RtHUtudhZ&#10;ftTChEEVhGIBS/KtdJ5uU7Z1LXj4XNdeBKJKipWG9MYgiA/xnW03rGiAuVbyMQV2TQrPatJMGgx6&#10;L7VjgZEjyL+ktORgva3DhFudDYUkR7CKaf7Mm7uWOZFqQau9uzfd/z9Z/ul0C0RWOAkLSgzT2PHf&#10;3378+vmd4Aa60zlfIOnO3cK48ghjqX0NOv5iEaTH8+t8MVuir2fEy/lysRrdFX0gPBLezGcr3CQ8&#10;MtbT6et5DJA9KDnw4b2wmkRQUsDuJVPZ6aMPA/VCiYG9VbLaS6XSAprDWwXkxLDT+/SM6k9oypCu&#10;pOv5bI55MBzfGscGoXZogTdNivfkhH8snKfnX8IxsR3z7ZBAUog0VmgZBCTUCla9MxUJZ4cuG7xd&#10;NCajRUWJEngZI0rMwKS6honeKYMWxiYNbYko9IceZSI82OqM/VUfDM5MnP8LgAs4XMDRgWxatH2a&#10;younceZSf8b7EYf68ToFfvhP2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H4EWtgAAAAFAQAA&#10;DwAAAAAAAAABACAAAAAiAAAAZHJzL2Rvd25yZXYueG1sUEsBAhQAFAAAAAgAh07iQGFxBB8ZAgAA&#10;WwQAAA4AAAAAAAAAAQAgAAAAJwEAAGRycy9lMm9Eb2MueG1sUEsFBgAAAAAGAAYAWQEAALIFAAAA&#10;AA==&#10;">
                        <v:fill on="t" focussize="0,0"/>
                        <v:stroke color="#000000" joinstyle="miter"/>
                        <v:imagedata o:title=""/>
                        <o:lock v:ext="edit" aspectratio="f"/>
                        <v:textbox inset="0mm,0mm,0mm,0mm">
                          <w:txbxContent>
                            <w:p w14:paraId="53C97FD4">
                              <w:pPr>
                                <w:jc w:val="center"/>
                                <w:rPr>
                                  <w:rFonts w:hint="eastAsia"/>
                                </w:rPr>
                              </w:pPr>
                              <w:r>
                                <w:rPr>
                                  <w:rFonts w:hint="eastAsia"/>
                                </w:rPr>
                                <w:t>合模紧固</w:t>
                              </w:r>
                            </w:p>
                          </w:txbxContent>
                        </v:textbox>
                      </v:rect>
                      <v:line id="_x0000_s1026" o:spid="_x0000_s1026" o:spt="20" style="position:absolute;left:2605405;top:1431925;height:328295;width:0;" filled="f" stroked="t" coordsize="21600,21600" o:gfxdata="UEsDBAoAAAAAAIdO4kAAAAAAAAAAAAAAAAAEAAAAZHJzL1BLAwQUAAAACACHTuJA/0hPVtcAAAAF&#10;AQAADwAAAGRycy9kb3ducmV2LnhtbE2PQUvDQBCF74L/YRnBm90klBJjJj0I9dJqaSuit212TILZ&#10;2bC7aeO/d+tFLwOP93jvm3I5mV6cyPnOMkI6S0AQ11Z33CC8HlZ3OQgfFGvVWyaEb/KwrK6vSlVo&#10;e+YdnfahEbGEfaEQ2hCGQkpft2SUn9mBOHqf1hkVonSN1E6dY7npZZYkC2lUx3GhVQM9tlR/7UeD&#10;sNus1vnbepxq9/GUvhy2m+d3nyPe3qTJA4hAU/gLwwU/okMVmY52ZO1FjxAfCb83evl8noE4Iiyy&#10;7B5kVcr/9NUPUEsDBBQAAAAIAIdO4kCmmXG7DAIAAPUDAAAOAAAAZHJzL2Uyb0RvYy54bWytU82O&#10;0zAQviPxDpbvNGl2u2yjpnvYslwQVAIeYGo7iSX/yXab9iV4ASRucOLIfd+G5TEYO2ULi5D2QA7O&#10;ODP+5vu+jBdXe63ITvggrWnodFJSIgyzXJquoe/f3Ty7pCREMByUNaKhBxHo1fLpk8XgalHZ3iou&#10;PEEQE+rBNbSP0dVFEVgvNISJdcJgsrVeQ8St7wruYUB0rYqqLC+KwXruvGUiBPy6GpP0iOgfA2jb&#10;VjKxsmyrhYkjqhcKIkoKvXSBLjPbthUsvmnbICJRDUWlMa/YBONNWovlAurOg+slO1KAx1B4oEmD&#10;NNj0HmoFEcjWy7+gtGTeBtvGCbO6GIVkR1DFtHzgzdsenMha0Org7k0P/w+Wvd6tPZEcJ+E5JQY0&#10;/vG7j9++f/j84/YTrndfvxDMoE2DCzVWX5u1P+6CW/uked96nd6ohuwbWl2Us/NyRskBQc/PpvNq&#10;Ntos9pEwLEDvGebOqstqnlPFCcP5EF8Kq0kKGqqkSQZADbtXIWJfLP1Vkj4rQ4aGzmfYgjDAaWxx&#10;CjDUDhUF0+WzwSrJb6RS6UTw3eZaebKDNBH5SewQ94+y1GQFoR/rcmoU0QvgLwwn8eDQKoNXhCYK&#10;WnBKlMAblSIEhDqCVKfK6CWYTv2jGtsrgyySyaOtKdpYfsC/s3Vedj26Mc1MUwanIXM+Tm4at9/3&#10;Gel0W5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9IT1bXAAAABQEAAA8AAAAAAAAAAQAgAAAA&#10;IgAAAGRycy9kb3ducmV2LnhtbFBLAQIUABQAAAAIAIdO4kCmmXG7DAIAAPUDAAAOAAAAAAAAAAEA&#10;IAAAACYBAABkcnMvZTJvRG9jLnhtbFBLBQYAAAAABgAGAFkBAACkBQAAAAA=&#10;">
                        <v:fill on="f" focussize="0,0"/>
                        <v:stroke color="#000000" joinstyle="round" endarrow="block"/>
                        <v:imagedata o:title=""/>
                        <o:lock v:ext="edit" aspectratio="f"/>
                      </v:line>
                      <v:rect id="_x0000_s1026" o:spid="_x0000_s1026" o:spt="1" style="position:absolute;left:1913890;top:2277110;height:191135;width:1452880;" fillcolor="#FFFFFF" filled="t" stroked="t" coordsize="21600,21600" o:gfxdata="UEsDBAoAAAAAAIdO4kAAAAAAAAAAAAAAAAAEAAAAZHJzL1BLAwQUAAAACACHTuJAGH4EWtgAAAAF&#10;AQAADwAAAGRycy9kb3ducmV2LnhtbE2PzU7DMBCE70i8g7VI3KjTKFQljdMDUi8gqhIq1KMbb5NA&#10;vI5iN/15+m57gctIq1nNfJPNj7YVA/a+caRgPIpAIJXONFQpWH8tnqYgfNBkdOsIFZzQwzy/v8t0&#10;atyBPnEoQiU4hHyqFdQhdKmUvqzRaj9yHRJ7O9dbHfjsK2l6feBw28o4iibS6oa4odYdvtZY/hZ7&#10;y71J97Nevi0XH6fz9+BX75vieeeUenwYRzMQAY/h7xmu+IwOOTNt3Z6MF60CHhJuyt40SWIQWwWT&#10;OH4BmWfyP31+AVBLAwQUAAAACACHTuJAGBdwqBoCAABbBAAADgAAAGRycy9lMm9Eb2MueG1srVTL&#10;rtMwEN0j8Q+W9zRNLuW2UdO7oBQhIbjShQ9wHSex5Jc8bpN+DRI7PoLPQfwGYye9L1h0QRbJcXJ8&#10;ZubMOOubQStyFB6kNRXNZ3NKhOG2lqat6Ncvu1dLSiAwUzNljajoSQC92bx8se5dKQrbWVULT1DE&#10;QNm7inYhuDLLgHdCM5hZJwx+bKzXLODSt1ntWY/qWmXFfP4m662vnbdcAODb7fiRTor+EkHbNJKL&#10;reUHLUwYVb1QLGBJ0EkHdJOybRrBw+emARGIqihWGtIdgyDex3u2WbOy9cx1kk8psEtSeFaTZtJg&#10;0HupLQuMHLz8S0pL7i3YJsy41dlYSHIEq8jnz7y565gTqRa0Gty96fD/ZPmn460nssZJwL4bprHj&#10;v7/9+PXzO8EX6E7voETSnbv10woQxlKHxuv4xCLIgPtX+dVyhb6eKloU19d5PrkrhkB4JLxeFMsl&#10;EjgykJ1fLWKA7EHJeQjvhdUkgop67F4ylR0/QhipZ0oMDFbJeieVSgvf7t8qT44MO71L16T+hKYM&#10;6Su6WhQLzIPh+DY4Ngi1QwvAtCnekx3wWHiern8Jx8S2DLoxgaQQaazUMgifUCdY/c7UJJwcumzw&#10;dNGYjBY1JUrgYYwoMQOT6hImeqcMWhibNLYlojDsB5SJcG/rE/ZXfTA4M3H+z8Cfwf4MDs7LtkPb&#10;81Re3I0zl/oznY841I/XKfDDP2H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h+BFrYAAAABQEA&#10;AA8AAAAAAAAAAQAgAAAAIgAAAGRycy9kb3ducmV2LnhtbFBLAQIUABQAAAAIAIdO4kAYF3CoGgIA&#10;AFsEAAAOAAAAAAAAAAEAIAAAACcBAABkcnMvZTJvRG9jLnhtbFBLBQYAAAAABgAGAFkBAACzBQAA&#10;AAA=&#10;">
                        <v:fill on="t" focussize="0,0"/>
                        <v:stroke color="#000000" joinstyle="miter"/>
                        <v:imagedata o:title=""/>
                        <o:lock v:ext="edit" aspectratio="f"/>
                        <v:textbox inset="0mm,0mm,0mm,0mm">
                          <w:txbxContent>
                            <w:p w14:paraId="5C51E464">
                              <w:pPr>
                                <w:jc w:val="center"/>
                                <w:rPr>
                                  <w:rFonts w:hint="eastAsia"/>
                                </w:rPr>
                              </w:pPr>
                              <w:r>
                                <w:rPr>
                                  <w:rFonts w:hint="eastAsia"/>
                                </w:rPr>
                                <w:t>离心成型</w:t>
                              </w:r>
                            </w:p>
                          </w:txbxContent>
                        </v:textbox>
                      </v:rect>
                      <v:line id="_x0000_s1026" o:spid="_x0000_s1026" o:spt="20" style="position:absolute;left:2588260;top:1958340;height:327660;width:635;" filled="f" stroked="t" coordsize="21600,21600" o:gfxdata="UEsDBAoAAAAAAIdO4kAAAAAAAAAAAAAAAAAEAAAAZHJzL1BLAwQUAAAACACHTuJA/0hPVtcAAAAF&#10;AQAADwAAAGRycy9kb3ducmV2LnhtbE2PQUvDQBCF74L/YRnBm90klBJjJj0I9dJqaSuit212TILZ&#10;2bC7aeO/d+tFLwOP93jvm3I5mV6cyPnOMkI6S0AQ11Z33CC8HlZ3OQgfFGvVWyaEb/KwrK6vSlVo&#10;e+YdnfahEbGEfaEQ2hCGQkpft2SUn9mBOHqf1hkVonSN1E6dY7npZZYkC2lUx3GhVQM9tlR/7UeD&#10;sNus1vnbepxq9/GUvhy2m+d3nyPe3qTJA4hAU/gLwwU/okMVmY52ZO1FjxAfCb83evl8noE4Iiyy&#10;7B5kVcr/9NUPUEsDBBQAAAAIAIdO4kBRYA5OCAIAAPcDAAAOAAAAZHJzL2Uyb0RvYy54bWytU02O&#10;0zAU3iNxB8t7mjalpRM1ncWUYYNgJOAAr7aTWPKfbLdpL8EFkNjBiiV7bsNwDJ6dMIVBSLMgC+fZ&#10;7/Pn931+Xl8etSIH4YO0pqazyZQSYZjl0rQ1fff2+smKkhDBcFDWiJqeRKCXm8eP1r2rRGk7q7jw&#10;BElMqHpX0y5GVxVFYJ3QECbWCYPJxnoNEae+LbiHHtm1KsrpdFn01nPnLRMh4Op2SNKR0T+E0DaN&#10;ZGJr2V4LEwdWLxRElBQ66QLd5GqbRrD4ummCiETVFJXGPOIhGO/SWGzWULUeXCfZWAI8pIR7mjRI&#10;g4feUW0hAtl7+ReVlszbYJs4YVYXg5DsCKqYTe9586YDJ7IWtDq4O9PD/6Nlrw43nkiOnXBBiQGN&#10;N3774ev3959+fPuI4+2XzwQzaFPvQoXoK3Pjx1lwNz5pPjZepz+qIcealovVqlyiwadEuljNn442&#10;i2MkDAHL+YIShtl5+WyJQKQrzizOh/hCWE1SUFMlTbIAKji8DHGA/oKkZWVIX9OLRZk4AfuxwT7A&#10;UDvUFEyb9warJL+WSqUdwbe7K+XJAVJP5G8s4Q9YOmQLoRtwOZVgUHUC+HPDSTw5NMvgI6GpBC04&#10;JUrgm0pRRkaQ6oyMXoJp1T/Q6IAyaESyeTA2RTvLT3g/e+dl26Ebs1xpymA/ZNvG3k0N9/s8M53f&#10;6+Y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hPVtcAAAAFAQAADwAAAAAAAAABACAAAAAiAAAA&#10;ZHJzL2Rvd25yZXYueG1sUEsBAhQAFAAAAAgAh07iQFFgDk4IAgAA9wMAAA4AAAAAAAAAAQAgAAAA&#10;JgEAAGRycy9lMm9Eb2MueG1sUEsFBgAAAAAGAAYAWQEAAKAFAAAAAA==&#10;">
                        <v:fill on="f" focussize="0,0"/>
                        <v:stroke color="#000000" joinstyle="round" endarrow="block"/>
                        <v:imagedata o:title=""/>
                        <o:lock v:ext="edit" aspectratio="f"/>
                      </v:line>
                      <v:rect id="_x0000_s1026" o:spid="_x0000_s1026" o:spt="1" style="position:absolute;left:1906270;top:2777490;height:191135;width:1452880;" fillcolor="#FFFFFF" filled="t" stroked="t" coordsize="21600,21600" o:gfxdata="UEsDBAoAAAAAAIdO4kAAAAAAAAAAAAAAAAAEAAAAZHJzL1BLAwQUAAAACACHTuJAGH4EWtgAAAAF&#10;AQAADwAAAGRycy9kb3ducmV2LnhtbE2PzU7DMBCE70i8g7VI3KjTKFQljdMDUi8gqhIq1KMbb5NA&#10;vI5iN/15+m57gctIq1nNfJPNj7YVA/a+caRgPIpAIJXONFQpWH8tnqYgfNBkdOsIFZzQwzy/v8t0&#10;atyBPnEoQiU4hHyqFdQhdKmUvqzRaj9yHRJ7O9dbHfjsK2l6feBw28o4iibS6oa4odYdvtZY/hZ7&#10;y71J97Nevi0XH6fz9+BX75vieeeUenwYRzMQAY/h7xmu+IwOOTNt3Z6MF60CHhJuyt40SWIQWwWT&#10;OH4BmWfyP31+AVBLAwQUAAAACACHTuJApTid4BsCAABbBAAADgAAAGRycy9lMm9Eb2MueG1srVTL&#10;jtMwFN0j8Q+W9zQPptM2ajoLShESgpEGPsC1ncSSX7LdJv0aJHZ8BJ+D+I25dtJ5waILskiOk+Nz&#10;7z33OuubQUl05M4Lo2tczHKMuKaGCd3W+NvX3ZslRj4QzYg0mtf4xD2+2bx+te5txUvTGcm4QyCi&#10;fdXbGnch2CrLPO24In5mLNfwsTFOkQBL12bMkR7UlczKPL/OeuOYdYZy7+HtdvyIJ0V3iaBpGkH5&#10;1tCD4jqMqo5LEqAk3wnr8SZl2zSchi9N43lAssZQaUh3CAJ4H+/ZZk2q1hHbCTqlQC5J4UVNiggN&#10;QR+ktiQQdHDiLyklqDPeNGFGjcrGQpIjUEWRv/DmriOWp1rAam8fTPf/T5Z+Pt46JFiNS7BEEwUd&#10;//P95+9fPxC8AHd66ysg3dlbN608wFjq0DgVn1AEGmCSVvl1uQCRE2gtFour1eQuHwKikXA1L5dL&#10;IFBgFKuieDuPAbJHJet8+MCNQhHU2EH3kqnk+MmHkXqmxMDeSMF2Qsq0cO3+nXToSKDTu3RN6s9o&#10;UqO+xqt5OYc8CIxvA2MDUFmwwOs2xXu2wz8VztP1L+GY2Jb4bkwgKUQaqZQI3CXUccLea4bCyYLL&#10;Gk4XjskozjCSHA5jRIkZiJCXMME7qcHC2KSxLRGFYT+ATIR7w07QX/lRw8yA9eEM3Bnsz+BgnWg7&#10;sL1I5cXdMHOpP9P5iEP9dJ0CP/4TNv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fgRa2AAAAAUB&#10;AAAPAAAAAAAAAAEAIAAAACIAAABkcnMvZG93bnJldi54bWxQSwECFAAUAAAACACHTuJApTid4BsC&#10;AABbBAAADgAAAAAAAAABACAAAAAnAQAAZHJzL2Uyb0RvYy54bWxQSwUGAAAAAAYABgBZAQAAtAUA&#10;AAAA&#10;">
                        <v:fill on="t" focussize="0,0"/>
                        <v:stroke color="#000000" joinstyle="miter"/>
                        <v:imagedata o:title=""/>
                        <o:lock v:ext="edit" aspectratio="f"/>
                        <v:textbox inset="0mm,0mm,0mm,0mm">
                          <w:txbxContent>
                            <w:p w14:paraId="430C1832">
                              <w:pPr>
                                <w:jc w:val="center"/>
                                <w:rPr>
                                  <w:rFonts w:hint="eastAsia"/>
                                </w:rPr>
                              </w:pPr>
                              <w:r>
                                <w:rPr>
                                  <w:rFonts w:hint="eastAsia"/>
                                </w:rPr>
                                <w:t>蒸汽养护</w:t>
                              </w:r>
                            </w:p>
                          </w:txbxContent>
                        </v:textbox>
                      </v:rect>
                      <v:line id="_x0000_s1026" o:spid="_x0000_s1026" o:spt="20" style="position:absolute;left:2580640;top:2458720;height:327660;width:635;" filled="f" stroked="t" coordsize="21600,21600" o:gfxdata="UEsDBAoAAAAAAIdO4kAAAAAAAAAAAAAAAAAEAAAAZHJzL1BLAwQUAAAACACHTuJA/0hPVtcAAAAF&#10;AQAADwAAAGRycy9kb3ducmV2LnhtbE2PQUvDQBCF74L/YRnBm90klBJjJj0I9dJqaSuit212TILZ&#10;2bC7aeO/d+tFLwOP93jvm3I5mV6cyPnOMkI6S0AQ11Z33CC8HlZ3OQgfFGvVWyaEb/KwrK6vSlVo&#10;e+YdnfahEbGEfaEQ2hCGQkpft2SUn9mBOHqf1hkVonSN1E6dY7npZZYkC2lUx3GhVQM9tlR/7UeD&#10;sNus1vnbepxq9/GUvhy2m+d3nyPe3qTJA4hAU/gLwwU/okMVmY52ZO1FjxAfCb83evl8noE4Iiyy&#10;7B5kVcr/9NUPUEsDBBQAAAAIAIdO4kDd5X1ODAIAAPcDAAAOAAAAZHJzL2Uyb0RvYy54bWytU82O&#10;0zAQviPxDpbvNG122y1R0z1sWS4IKsE+wNR2Ekv+k+027UvwAkjc4MSR+74Ny2Ps2ClbWIS0B3Jw&#10;xpkv38z3eby43GtFdsIHaU1NJ6MxJcIwy6Vpa3rz4frFnJIQwXBQ1oiaHkSgl8vnzxa9q0RpO6u4&#10;8ARJTKh6V9MuRlcVRWCd0BBG1gmDycZ6DRG3vi24hx7ZtSrK8XhW9NZz5y0TIeDX1ZCkR0b/FELb&#10;NJKJlWVbLUwcWL1QEFFS6KQLdJm7bRrB4rumCSISVVNUGvOKRTDepLVYLqBqPbhOsmML8JQWHmnS&#10;IA0WfaBaQQSy9fIvKi2Zt8E2ccSsLgYh2RFUMRk/8uZ9B05kLWh1cA+mh/9Hy97u1p5IXtNyQokB&#10;jSd+9+n7j49fft5+xvXu21eCGbSpd6FC9JVZ++MuuLVPmveN1+mNasgeiabz8ewcDT5gfD6dX5RH&#10;m8U+EoaA2dmUEobZs/JiNsvJ4sTifIivhdUkBTVV0iQLoILdmxCxMkJ/QdJnZUhf05fTMnECzmOD&#10;c4ChdqgpmDb/G6yS/Foqlf4Ivt1cKU92kGYiP0kf8v4BS0VWELoBl1PDtHQC+CvDSTw4NMvgJaGp&#10;BS04JUrgnUoREkIVQaoTMnoJplX/QGN5ZbCLZPNgbIo2lh/wfLbOy7ZDN/JJZAzOQ+75OLtp4H7f&#10;Z6bTfV3e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9IT1bXAAAABQEAAA8AAAAAAAAAAQAgAAAA&#10;IgAAAGRycy9kb3ducmV2LnhtbFBLAQIUABQAAAAIAIdO4kDd5X1ODAIAAPcDAAAOAAAAAAAAAAEA&#10;IAAAACYBAABkcnMvZTJvRG9jLnhtbFBLBQYAAAAABgAGAFkBAACkBQAAAAA=&#10;">
                        <v:fill on="f" focussize="0,0"/>
                        <v:stroke color="#000000" joinstyle="round" endarrow="block"/>
                        <v:imagedata o:title=""/>
                        <o:lock v:ext="edit" aspectratio="f"/>
                      </v:line>
                      <v:rect id="_x0000_s1026" o:spid="_x0000_s1026" o:spt="1" style="position:absolute;left:342900;top:2777490;height:349250;width:841375;" fillcolor="#FFFFFF" filled="t" stroked="t" coordsize="21600,21600" o:gfxdata="UEsDBAoAAAAAAIdO4kAAAAAAAAAAAAAAAAAEAAAAZHJzL1BLAwQUAAAACACHTuJAGH4EWtgAAAAF&#10;AQAADwAAAGRycy9kb3ducmV2LnhtbE2PzU7DMBCE70i8g7VI3KjTKFQljdMDUi8gqhIq1KMbb5NA&#10;vI5iN/15+m57gctIq1nNfJPNj7YVA/a+caRgPIpAIJXONFQpWH8tnqYgfNBkdOsIFZzQwzy/v8t0&#10;atyBPnEoQiU4hHyqFdQhdKmUvqzRaj9yHRJ7O9dbHfjsK2l6feBw28o4iibS6oa4odYdvtZY/hZ7&#10;y71J97Nevi0XH6fz9+BX75vieeeUenwYRzMQAY/h7xmu+IwOOTNt3Z6MF60CHhJuyt40SWIQWwWT&#10;OH4BmWfyP31+AVBLAwQUAAAACACHTuJAMEvxNh8CAABZBAAADgAAAGRycy9lMm9Eb2MueG1srVTN&#10;jtowEL5X6jtYvpeEAGWJCHtYSlWpalfa9gGM4ySW/CePIeFpKvXWh+jjVH2NHRvYv/bAYXMIn+Px&#10;N/N9M2Z5PWhF9sKDtKai41FOiTDc1tK0Ff3+bfPuihIIzNRMWSMqehBAr1dv3yx7V4rCdlbVwhMk&#10;MVD2rqJdCK7MMuCd0AxG1gmDm431mgVc+jarPeuRXausyPP3WW997bzlAgC/ro+b9MToLyG0TSO5&#10;WFu+08KEI6sXigWUBJ10QFep2qYRPHxtGhCBqIqi0pDemATxNr6z1ZKVrWeuk/xUArukhBeaNJMG&#10;kz5QrVlgZOflP1Racm/BNmHErc6OQpIjqGKcv/DmrmNOJC1oNbgH0+H1aPmX/a0nsq5oUVBimMaO&#10;//3x68/vnwQ/oDu9gxKD7tytP60AYZQ6NF7HXxRBhopOpsUiR1sPSDWfz6eLk7liCITj/tV0PJnP&#10;KOEYMJkuilnazx55nIfwUVhNIqiox94lS9n+MwTMjaHnkJgWrJL1RiqVFr7d3ihP9gz7vElPLB6P&#10;PAtThvQVXcyKWAfD4W1waBBqhwaAaVO+ZyfgKXGenv8Rx8LWDLpjAYkhhrFSyyCicazsBKs/mJqE&#10;g0OPDd4tGovRoqZECbyKEaXIwKS6JBLVKYMiY4uOTYkoDNsBaSLc2vqA3VWfDE5MnP4z8GewPYOd&#10;87Lt0PZxkhdP48QlB0+3I47003VK/PiPsL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H4EWtgA&#10;AAAFAQAADwAAAAAAAAABACAAAAAiAAAAZHJzL2Rvd25yZXYueG1sUEsBAhQAFAAAAAgAh07iQDBL&#10;8TYfAgAAWQQAAA4AAAAAAAAAAQAgAAAAJwEAAGRycy9lMm9Eb2MueG1sUEsFBgAAAAAGAAYAWQEA&#10;ALgFAAAAAA==&#10;">
                        <v:fill on="t" focussize="0,0"/>
                        <v:stroke color="#000000" joinstyle="miter"/>
                        <v:imagedata o:title=""/>
                        <o:lock v:ext="edit" aspectratio="f"/>
                        <v:textbox inset="0mm,0mm,0mm,0mm">
                          <w:txbxContent>
                            <w:p w14:paraId="3F39D4FB">
                              <w:pPr>
                                <w:jc w:val="center"/>
                                <w:rPr>
                                  <w:rFonts w:hint="eastAsia" w:eastAsia="宋体"/>
                                  <w:lang w:eastAsia="zh-CN"/>
                                </w:rPr>
                              </w:pPr>
                              <w:r>
                                <w:rPr>
                                  <w:rFonts w:hint="eastAsia"/>
                                  <w:lang w:eastAsia="zh-CN"/>
                                </w:rPr>
                                <w:t>生物质燃料蒸汽发生器</w:t>
                              </w:r>
                            </w:p>
                          </w:txbxContent>
                        </v:textbox>
                      </v:rect>
                      <v:line id="_x0000_s1026" o:spid="_x0000_s1026" o:spt="20" style="position:absolute;left:1209040;top:2899410;height:0;width:698500;" filled="f" stroked="t" coordsize="21600,21600" o:gfxdata="UEsDBAoAAAAAAIdO4kAAAAAAAAAAAAAAAAAEAAAAZHJzL1BLAwQUAAAACACHTuJA/0hPVtcAAAAF&#10;AQAADwAAAGRycy9kb3ducmV2LnhtbE2PQUvDQBCF74L/YRnBm90klBJjJj0I9dJqaSuit212TILZ&#10;2bC7aeO/d+tFLwOP93jvm3I5mV6cyPnOMkI6S0AQ11Z33CC8HlZ3OQgfFGvVWyaEb/KwrK6vSlVo&#10;e+YdnfahEbGEfaEQ2hCGQkpft2SUn9mBOHqf1hkVonSN1E6dY7npZZYkC2lUx3GhVQM9tlR/7UeD&#10;sNus1vnbepxq9/GUvhy2m+d3nyPe3qTJA4hAU/gLwwU/okMVmY52ZO1FjxAfCb83evl8noE4Iiyy&#10;7B5kVcr/9NUPUEsDBBQAAAAIAIdO4kCdVVioCgIAAPUDAAAOAAAAZHJzL2Uyb0RvYy54bWytU82O&#10;0zAQviPxDpbvNGnZrtqo6R62LBcElYAHmNpOYsl/st2mfQleAIkbnDhy5212eQzGTtjCIqQ9kIMz&#10;znz+Zr4v49XVUStyED5Ia2o6nZSUCMMsl6at6ft3N88WlIQIhoOyRtT0JAK9Wj99supdJWa2s4oL&#10;T5DEhKp3Ne1idFVRBNYJDWFinTCYbKzXEHHr24J76JFdq2JWlpdFbz133jIRAn7dDEk6MvrHENqm&#10;kUxsLNtrYeLA6oWCiJJCJ12g69xt0wgW3zRNEJGomqLSmFcsgvEurcV6BVXrwXWSjS3AY1p4oEmD&#10;NFj0nmoDEcjey7+otGTeBtvECbO6GIRkR1DFtHzgzdsOnMha0Org7k0P/4+WvT5sPZG8prPnlBjQ&#10;+MfvPn67/fD5x/dPuN59/UIwgzb1LlSIvjZbP+6C2/qk+dh4nd6ohhxxpGblsrxAg09IulguL6aj&#10;zeIYCUPA5XIxLzHPEJBTxZnD+RBfCqtJCmqqpEkGQAWHVyFiXYT+gqTPypC+psv5bI50gNPY4BRg&#10;qB0qCqbNZ4NVkt9IpdKJ4NvdtfLkAGki8pPUIe8fsFRkA6EbcDk1zEongL8wnMSTQ6sMXhGaWtCC&#10;U6IE3qgUISFUEaQ6I6OXYFr1DzSWVwa7SCYPtqZoZ/kJ/87eedl26MY0d5oyOA2553Fy07j9vs9M&#10;59u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E9W1wAAAAUBAAAPAAAAAAAAAAEAIAAAACIA&#10;AABkcnMvZG93bnJldi54bWxQSwECFAAUAAAACACHTuJAnVVYqAoCAAD1AwAADgAAAAAAAAABACAA&#10;AAAmAQAAZHJzL2Uyb0RvYy54bWxQSwUGAAAAAAYABgBZAQAAogUAAAAA&#10;">
                        <v:fill on="f" focussize="0,0"/>
                        <v:stroke color="#000000" joinstyle="round" endarrow="block"/>
                        <v:imagedata o:title=""/>
                        <o:lock v:ext="edit" aspectratio="f"/>
                      </v:line>
                      <v:rect id="_x0000_s1026" o:spid="_x0000_s1026" o:spt="1" style="position:absolute;left:1289050;top:2696210;height:191135;width:455930;" filled="f" stroked="f" coordsize="21600,21600" o:gfxdata="UEsDBAoAAAAAAIdO4kAAAAAAAAAAAAAAAAAEAAAAZHJzL1BLAwQUAAAACACHTuJA81OFv9cAAAAF&#10;AQAADwAAAGRycy9kb3ducmV2LnhtbE2PQUvDQBCF70L/wzIFb3bTUEoSsynSKvWorVC9bbNjEtyd&#10;DdlpU/31rl70MvB4j/e+KVcXZ8UZh9B5UjCfJSCQam86ahS87B9uMhCBNRltPaGCTwywqiZXpS6M&#10;H+kZzztuRCyhUGgFLXNfSBnqFp0OM98jRe/dD05zlEMjzaDHWO6sTJNkKZ3uKC60usd1i/XH7uQU&#10;bLP+7vXRf42NvX/bHp4O+Wafs1LX03lyC4Lxwn9h+MGP6FBFpqM/kQnCKoiP8O+NXrZYpCCOCpZp&#10;moOsSvmfvvoGUEsDBBQAAAAIAIdO4kCno7lJvQEAAHIDAAAOAAAAZHJzL2Uyb0RvYy54bWytU0tu&#10;2zAQ3RfoHQjua0pKbMSC5WyMFAWKNkCaA9AUaRHgD0Pakk9ToLseoscpeo0OJTlp000W3VAzw8Gb&#10;995Qm9vBGnKSELV3DS0XBSXSCd9qd2jo45e7dzeUxMRdy413sqFnGent9u2bTR9qWfnOm1YCQRAX&#10;6z40tEsp1IxF0UnL48IH6fBSebA8YQoH1gLvEd0aVhXFivUe2gBeyBixupsu6YwIrwH0Smkhd14c&#10;rXRpQgVpeEJJsdMh0u3IVikp0melokzENBSVpvHEIRjv88m2G14fgIdOi5kCfw2FF5os1w6HPkHt&#10;eOLkCPofKKsF+OhVWghv2SRkdARVlMULbx46HuSoBa2O4cn0+P9gxafTPRDdNrS6psRxixv/9fX7&#10;zx/fCBbQnT7EGpsewj3MWcQwSx0U2PxFEWTAl1TdrIsl+npGrNV6VZWzu3JIRGDD9XK5vsJ7gQ3l&#10;uiyvlhmfPQMFiOm99JbkoKGAyxs95aePMU2tl5Y81/k7bQzWeW3cXwXEzBWWuU9sc5SG/TBL2Pv2&#10;jLLNB4dW5mdxCeAS7C/BMYA+dEinHNlmIFzFyHt+NnnXf+bj4OdfZfs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1OFv9cAAAAFAQAADwAAAAAAAAABACAAAAAiAAAAZHJzL2Rvd25yZXYueG1sUEsB&#10;AhQAFAAAAAgAh07iQKejuUm9AQAAcgMAAA4AAAAAAAAAAQAgAAAAJgEAAGRycy9lMm9Eb2MueG1s&#10;UEsFBgAAAAAGAAYAWQEAAFUFAAAAAA==&#10;">
                        <v:fill on="f" focussize="0,0"/>
                        <v:stroke on="f"/>
                        <v:imagedata o:title=""/>
                        <o:lock v:ext="edit" aspectratio="f"/>
                        <v:textbox inset="0mm,0mm,0mm,0mm">
                          <w:txbxContent>
                            <w:p w14:paraId="49CA2238">
                              <w:pPr>
                                <w:jc w:val="center"/>
                                <w:rPr>
                                  <w:rFonts w:hint="eastAsia"/>
                                </w:rPr>
                              </w:pPr>
                              <w:r>
                                <w:rPr>
                                  <w:rFonts w:hint="eastAsia"/>
                                </w:rPr>
                                <w:t>蒸汽</w:t>
                              </w:r>
                            </w:p>
                          </w:txbxContent>
                        </v:textbox>
                      </v:rect>
                      <v:rect id="_x0000_s1026" o:spid="_x0000_s1026" o:spt="1" style="position:absolute;left:1897380;top:3285490;height:191135;width:1452880;" fillcolor="#FFFFFF" filled="t" stroked="t" coordsize="21600,21600" o:gfxdata="UEsDBAoAAAAAAIdO4kAAAAAAAAAAAAAAAAAEAAAAZHJzL1BLAwQUAAAACACHTuJAGH4EWtgAAAAF&#10;AQAADwAAAGRycy9kb3ducmV2LnhtbE2PzU7DMBCE70i8g7VI3KjTKFQljdMDUi8gqhIq1KMbb5NA&#10;vI5iN/15+m57gctIq1nNfJPNj7YVA/a+caRgPIpAIJXONFQpWH8tnqYgfNBkdOsIFZzQwzy/v8t0&#10;atyBPnEoQiU4hHyqFdQhdKmUvqzRaj9yHRJ7O9dbHfjsK2l6feBw28o4iibS6oa4odYdvtZY/hZ7&#10;y71J97Nevi0XH6fz9+BX75vieeeUenwYRzMQAY/h7xmu+IwOOTNt3Z6MF60CHhJuyt40SWIQWwWT&#10;OH4BmWfyP31+AVBLAwQUAAAACACHTuJAJdeb6R4CAABbBAAADgAAAGRycy9lMm9Eb2MueG1srVTN&#10;jtMwEL4j8Q6W7zRNu4U2aroHShESgpUWHsC1ncSS/+Rxm/RpkLjxEDwO4jUYu+3+sYceNofkczL+&#10;Zr5vxlleD0aTvQygnK1pORpTIi13Qtm2pt+/bd7MKYHIrGDaWVnTgwR6vXr9atn7Sk5c57SQgSCJ&#10;har3Ne1i9FVRAO+kYTByXlr82LhgWMRlaAsRWI/sRheT8fht0bsgfHBcAuDb9fEjPTGGSwhd0ygu&#10;147vjLTxyBqkZhElQac80FWutmkkj1+bBmQkuqaoNOY7JkG8TfditWRVG5jvFD+VwC4p4Ykmw5TF&#10;pHdUaxYZ2QX1H5VRPDhwTRxxZ4qjkOwIqijHT7y57ZiXWQtaDf7OdHg5Wv5lfxOIEjWdzCixzGDH&#10;//749ef3T4Iv0J3eQ4VBt/4mnFaAMEkdmmDSE0WQASdpvng3naOvh5pOJ/PZ1eLkrhwi4SngajaZ&#10;pwCOEeWiLKc5QXHP5APEj9IZkkBNA3Yvm8r2nyFidgw9h6TE4LQSG6V1XoR2+14HsmfY6U2+Uvm4&#10;5VGYtqSv6WKW1HKG49vg2CA0Hi0A2+Z8j3bAQ+Jxvp4jToWtGXTHAjJDCmOVUVEm61jVSSY+WEHi&#10;waPLFk8XTcUYKSjREg9jQjkyMqUviUR12qLI1KRjWxKKw3ZAmgS3Thywv/qTxZlJ838G4Qy2Z7Dz&#10;QbUd2l5meWk3zlx28HQ+0lA/XOfE9/+E1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YfgRa2AAA&#10;AAUBAAAPAAAAAAAAAAEAIAAAACIAAABkcnMvZG93bnJldi54bWxQSwECFAAUAAAACACHTuJAJdeb&#10;6R4CAABbBAAADgAAAAAAAAABACAAAAAnAQAAZHJzL2Uyb0RvYy54bWxQSwUGAAAAAAYABgBZAQAA&#10;twUAAAAA&#10;">
                        <v:fill on="t" focussize="0,0"/>
                        <v:stroke color="#000000" joinstyle="miter"/>
                        <v:imagedata o:title=""/>
                        <o:lock v:ext="edit" aspectratio="f"/>
                        <v:textbox inset="0mm,0mm,0mm,0mm">
                          <w:txbxContent>
                            <w:p w14:paraId="11F7DBCC">
                              <w:pPr>
                                <w:jc w:val="center"/>
                                <w:rPr>
                                  <w:rFonts w:hint="eastAsia"/>
                                </w:rPr>
                              </w:pPr>
                              <w:r>
                                <w:rPr>
                                  <w:rFonts w:hint="eastAsia"/>
                                </w:rPr>
                                <w:t>冷却、拆模</w:t>
                              </w:r>
                            </w:p>
                          </w:txbxContent>
                        </v:textbox>
                      </v:rect>
                      <v:line id="_x0000_s1026" o:spid="_x0000_s1026" o:spt="20" style="position:absolute;left:2571750;top:2966720;height:327660;width:635;" filled="f" stroked="t" coordsize="21600,21600" o:gfxdata="UEsDBAoAAAAAAIdO4kAAAAAAAAAAAAAAAAAEAAAAZHJzL1BLAwQUAAAACACHTuJA/0hPVtcAAAAF&#10;AQAADwAAAGRycy9kb3ducmV2LnhtbE2PQUvDQBCF74L/YRnBm90klBJjJj0I9dJqaSuit212TILZ&#10;2bC7aeO/d+tFLwOP93jvm3I5mV6cyPnOMkI6S0AQ11Z33CC8HlZ3OQgfFGvVWyaEb/KwrK6vSlVo&#10;e+YdnfahEbGEfaEQ2hCGQkpft2SUn9mBOHqf1hkVonSN1E6dY7npZZYkC2lUx3GhVQM9tlR/7UeD&#10;sNus1vnbepxq9/GUvhy2m+d3nyPe3qTJA4hAU/gLwwU/okMVmY52ZO1FjxAfCb83evl8noE4Iiyy&#10;7B5kVcr/9NUPUEsDBBQAAAAIAIdO4kC/TQxmCwIAAPcDAAAOAAAAZHJzL2Uyb0RvYy54bWytU82O&#10;0zAQviPxDpbvNG1WTdmo6R62LBcElYAHmNpOYsl/st2mfQleAIkbnDhy5212eQzGTtnCIqQ9kIMz&#10;znz+Zr4v4+XVQSuyFz5Iaxo6m0wpEYZZLk3X0Pfvbp49pyREMByUNaKhRxHo1erpk+XgalHa3iou&#10;PEESE+rBNbSP0dVFEVgvNISJdcJgsrVeQ8St7wruYUB2rYpyOq2KwXruvGUiBPy6HpP0xOgfQ2jb&#10;VjKxtmynhYkjqxcKIkoKvXSBrnK3bStYfNO2QUSiGopKY16xCMbbtBarJdSdB9dLdmoBHtPCA00a&#10;pMGi91RriEB2Xv5FpSXzNtg2TpjVxSgkO4IqZtMH3rztwYmsBa0O7t708P9o2ev9xhPJG1pWlBjQ&#10;+MfvPn67/fD5x/dPuN59/UIwgzYNLtSIvjYbf9oFt/FJ86H1Or1RDTkg0XwxW8zR4CPGl1W1KE82&#10;i0MkDAHVxZwShtmLclFVOVmcWZwP8aWwmqSgoUqaZAHUsH8VIlZG6C9I+qwMGRp6OS8TJ+A8tjgH&#10;GGqHmoLp8tlgleQ3Uql0Ivhue6082UOaifwkfcj7BywVWUPoR1xOjdPSC+AvDCfx6NAsg5eEpha0&#10;4JQogXcqRUgIdQSpzsjoJZhO/QON5ZXBLpLNo7Ep2lp+xP+zc152Pboxy52mDM5D7vk0u2ngft9n&#10;pvN9Xf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hPVtcAAAAFAQAADwAAAAAAAAABACAAAAAi&#10;AAAAZHJzL2Rvd25yZXYueG1sUEsBAhQAFAAAAAgAh07iQL9NDGYLAgAA9wMAAA4AAAAAAAAAAQAg&#10;AAAAJgEAAGRycy9lMm9Eb2MueG1sUEsFBgAAAAAGAAYAWQEAAKMFAAAAAA==&#10;">
                        <v:fill on="f" focussize="0,0"/>
                        <v:stroke color="#000000" joinstyle="round" endarrow="block"/>
                        <v:imagedata o:title=""/>
                        <o:lock v:ext="edit" aspectratio="f"/>
                      </v:line>
                      <v:rect id="_x0000_s1026" o:spid="_x0000_s1026" o:spt="1" style="position:absolute;left:1888490;top:3803650;height:191135;width:1452880;" fillcolor="#FFFFFF" filled="t" stroked="t" coordsize="21600,21600" o:gfxdata="UEsDBAoAAAAAAIdO4kAAAAAAAAAAAAAAAAAEAAAAZHJzL1BLAwQUAAAACACHTuJAGH4EWtgAAAAF&#10;AQAADwAAAGRycy9kb3ducmV2LnhtbE2PzU7DMBCE70i8g7VI3KjTKFQljdMDUi8gqhIq1KMbb5NA&#10;vI5iN/15+m57gctIq1nNfJPNj7YVA/a+caRgPIpAIJXONFQpWH8tnqYgfNBkdOsIFZzQwzy/v8t0&#10;atyBPnEoQiU4hHyqFdQhdKmUvqzRaj9yHRJ7O9dbHfjsK2l6feBw28o4iibS6oa4odYdvtZY/hZ7&#10;y71J97Nevi0XH6fz9+BX75vieeeUenwYRzMQAY/h7xmu+IwOOTNt3Z6MF60CHhJuyt40SWIQWwWT&#10;OH4BmWfyP31+AVBLAwQUAAAACACHTuJA8DPcxR0CAABbBAAADgAAAGRycy9lMm9Eb2MueG1srVTL&#10;jtMwFN0j8Q+W9zRJOx3SqOksKEVICEYa+ADXdhJLfsl2m/RrkNjxEXwO4jfm2knnBYsuyCI5To7P&#10;vffc66xvBiXRkTsvjK5xMcsx4poaJnRb429fd29KjHwgmhFpNK/xiXt8s3n9at3bis9NZyTjDoGI&#10;9lVva9yFYKss87TjiviZsVzDx8Y4RQIsXZsxR3pQVzKb5/l11hvHrDOUew9vt+NHPCm6SwRN0wjK&#10;t4YeFNdhVHVckgAl+U5Yjzcp26bhNHxpGs8DkjWGSkO6QxDA+3jPNmtStY7YTtApBXJJCi9qUkRo&#10;CPogtSWBoIMTf0kpQZ3xpgkzalQ2FpIcgSqK/IU3dx2xPNUCVnv7YLr/f7L08/HWIcFqPH+LkSYK&#10;Ov7n+8/fv34geAHu9NZXQLqzt25aeYCx1KFxKj6hCDTAJJVlebUCX081XpT54no5ucuHgGgkXC3n&#10;ZQkECoxiVRSLZQyQPSpZ58MHbhSKoMYOupdMJcdPPozUMyUG9kYKthNSpoVr9++kQ0cCnd6la1J/&#10;RpMa9TVeLedLyIPA+DYwNgCVBQu8blO8Zzv8U+E8Xf8Sjoltie/GBJJCpJFKicBdQh0n7L1mKJws&#10;uKzhdOGYjOIMI8nhMEaUmIEIeQkTvJMaLIxNGtsSURj2A8hEuDfsBP2VHzXMTJz/M3BnsD+Dg3Wi&#10;7cD2IpUXd8PMpf5M5yMO9dN1Cvz4T9jc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h+BFrYAAAA&#10;BQEAAA8AAAAAAAAAAQAgAAAAIgAAAGRycy9kb3ducmV2LnhtbFBLAQIUABQAAAAIAIdO4kDwM9zF&#10;HQIAAFsEAAAOAAAAAAAAAAEAIAAAACcBAABkcnMvZTJvRG9jLnhtbFBLBQYAAAAABgAGAFkBAAC2&#10;BQAAAAA=&#10;">
                        <v:fill on="t" focussize="0,0"/>
                        <v:stroke color="#000000" joinstyle="miter"/>
                        <v:imagedata o:title=""/>
                        <o:lock v:ext="edit" aspectratio="f"/>
                        <v:textbox inset="0mm,0mm,0mm,0mm">
                          <w:txbxContent>
                            <w:p w14:paraId="3A2400A3">
                              <w:pPr>
                                <w:jc w:val="center"/>
                                <w:rPr>
                                  <w:rFonts w:hint="eastAsia"/>
                                </w:rPr>
                              </w:pPr>
                              <w:r>
                                <w:rPr>
                                  <w:rFonts w:hint="eastAsia"/>
                                </w:rPr>
                                <w:t>成品堆存、外售</w:t>
                              </w:r>
                            </w:p>
                          </w:txbxContent>
                        </v:textbox>
                      </v:rect>
                      <v:line id="_x0000_s1026" o:spid="_x0000_s1026" o:spt="20" style="position:absolute;left:2562860;top:3484880;height:327660;width:635;" filled="f" stroked="t" coordsize="21600,21600" o:gfxdata="UEsDBAoAAAAAAIdO4kAAAAAAAAAAAAAAAAAEAAAAZHJzL1BLAwQUAAAACACHTuJA/0hPVtcAAAAF&#10;AQAADwAAAGRycy9kb3ducmV2LnhtbE2PQUvDQBCF74L/YRnBm90klBJjJj0I9dJqaSuit212TILZ&#10;2bC7aeO/d+tFLwOP93jvm3I5mV6cyPnOMkI6S0AQ11Z33CC8HlZ3OQgfFGvVWyaEb/KwrK6vSlVo&#10;e+YdnfahEbGEfaEQ2hCGQkpft2SUn9mBOHqf1hkVonSN1E6dY7npZZYkC2lUx3GhVQM9tlR/7UeD&#10;sNus1vnbepxq9/GUvhy2m+d3nyPe3qTJA4hAU/gLwwU/okMVmY52ZO1FjxAfCb83evl8noE4Iiyy&#10;7B5kVcr/9NUPUEsDBBQAAAAIAIdO4kCgyy8tCAIAAPcDAAAOAAAAZHJzL2Uyb0RvYy54bWytU02O&#10;0zAU3iNxB8t7mjYzLSVqOospwwZBJeAAr7aTWPKfbLdpL8EFkNjBiiV7bsNwDJ6dMIVBSLMgC+fZ&#10;7/Pn931+Xl0dtSIH4YO0pqazyZQSYZjl0rQ1fff25smSkhDBcFDWiJqeRKBX68ePVr2rRGk7q7jw&#10;BElMqHpX0y5GVxVFYJ3QECbWCYPJxnoNEae+LbiHHtm1KsrpdFH01nPnLRMh4OpmSNKR0T+E0DaN&#10;ZGJj2V4LEwdWLxRElBQ66QJd52qbRrD4ummCiETVFJXGPOIhGO/SWKxXULUeXCfZWAI8pIR7mjRI&#10;g4feUW0gAtl7+ReVlszbYJs4YVYXg5DsCKqYTe9586YDJ7IWtDq4O9PD/6Nlrw5bTySvaYn3bkDj&#10;jd9++Pr9/acf3z7iePvlM8EM2tS7UCH62mz9OAtu65PmY+N1+qMackSi+aJcLtDgU00vLpeXy+Vo&#10;szhGwhCwuJhTwlK2fLpAINIVZxbnQ3whrCYpqKmSJlkAFRxehjhAf0HSsjKkr+mzeZk4AfuxwT7A&#10;UDvUFEyb9warJL+RSqUdwbe7a+XJAVJP5G8s4Q9YOmQDoRtwOZVgUHUC+HPDSTw5NMvgI6GpBC04&#10;JUrgm0pRRkaQ6oyMXoJp1T/Q6IAyaESyeTA2RTvLT3g/e+dl26Ebs1xpymA/ZNvG3k0N9/s8M53f&#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hPVtcAAAAFAQAADwAAAAAAAAABACAAAAAiAAAA&#10;ZHJzL2Rvd25yZXYueG1sUEsBAhQAFAAAAAgAh07iQKDLLy0IAgAA9wMAAA4AAAAAAAAAAQAgAAAA&#10;JgEAAGRycy9lMm9Eb2MueG1sUEsFBgAAAAAGAAYAWQEAAKAFAAAAAA==&#10;">
                        <v:fill on="f" focussize="0,0"/>
                        <v:stroke color="#000000" joinstyle="round" endarrow="block"/>
                        <v:imagedata o:title=""/>
                        <o:lock v:ext="edit" aspectratio="f"/>
                      </v:line>
                      <v:shape id="_x0000_s1026" o:spid="_x0000_s1026" o:spt="38" type="#_x0000_t38" style="position:absolute;left:1337310;top:392430;flip:y;height:166370;width:201930;" filled="f" stroked="t" coordsize="21600,21600" o:gfxdata="UEsDBAoAAAAAAIdO4kAAAAAAAAAAAAAAAAAEAAAAZHJzL1BLAwQUAAAACACHTuJAMp9IP9YAAAAF&#10;AQAADwAAAGRycy9kb3ducmV2LnhtbE2PMU/DMBCFdyT+g3VILIg6tarSpnE6RGLowECoBOM1viYR&#10;8Tmy3bTl12NYYDnp6T29912xvdhBTORD71jDfJaBIG6c6bnVsH97flyBCBHZ4OCYNFwpwLa8vSkw&#10;N+7MrzTVsRWphEOOGroYx1zK0HRkMczcSJy8o/MWY5K+lcbjOZXbQaosW0qLPaeFDkeqOmo+65PV&#10;wMf36sFTg7uvqqanj6lXL7ur1vd382wDItIl/oXhBz+hQ5mYDu7EJohBQ3ok/t7krRYLBeKgYanU&#10;GmRZyP/05TdQSwMEFAAAAAgAh07iQBgRln0sAgAALwQAAA4AAABkcnMvZTJvRG9jLnhtbK1TvY4T&#10;MRDukXgHyz3ZJEtyZJXNFQlHgyASP73jn10j/8l2sslL8AJIdFBdRUlzb3PHYzD2LndwCOkKXFhj&#10;z/ib+b4ZL8+PWqED90FaU+PJaIwRN9QyaZoav3t78eQZRiESw4iyhtf4xAM+Xz1+tOxcxae2tYpx&#10;jwDEhKpzNW5jdFVRBNpyTcLIOm7AKazXJMLRNwXzpAN0rYrpeDwvOuuZ85byEOB20zvxgOgfAmiF&#10;kJRvLN1rbmKP6rkiESiFVrqAV7laITiNr4UIPCJVY2Aa8w5JwN6lvVgtSdV44lpJhxLIQ0q4x0kT&#10;aSDpLdSGRIL2Xv4FpSX1NlgRR9TqoieSFQEWk/E9bd60xPHMBaQO7lb08P9g6avD1iPJajxdYGSI&#10;ho5ff/p28/3qx9Xn649fbi6/IvCATJ0LFUSvzdYPp+C2PnE+Cq+RUNK9h3nKKgAvdIRDWZ6VE5D6&#10;VONyMX1aDnrzY0QU/EB5AXeIgn8yn5dn2V/0iAnZ+RBfcKtRMmpM9/7A2doaA321vsy5yOFliFl6&#10;NtRP2IcJRkIr6OSBKDQbw0oUAHmIBusXdnqqDOpqvJhNZ1AMgaEWMExgagfCBNPkRMEqyS6kUulF&#10;8M1urTwCfBijvIYMf4SlJBsS2j6OgZWiSNVywp4bhuLJgeAGPhpOFWjOMFIc/mWycmQkUt1FRi+J&#10;adQ/ooGVMkAztapvTrJ2lp1yz/I9zFEWYpj5NKi/n/Pru3+++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n0g/1gAAAAUBAAAPAAAAAAAAAAEAIAAAACIAAABkcnMvZG93bnJldi54bWxQSwECFAAU&#10;AAAACACHTuJAGBGWfSwCAAAvBAAADgAAAAAAAAABACAAAAAlAQAAZHJzL2Uyb0RvYy54bWxQSwUG&#10;AAAAAAYABgBZAQAAwwUAAAAA&#10;" adj="10800">
                        <v:fill on="f" focussize="0,0"/>
                        <v:stroke color="#000000" joinstyle="round" dashstyle="dash" endarrow="block"/>
                        <v:imagedata o:title=""/>
                        <o:lock v:ext="edit" aspectratio="f"/>
                      </v:shape>
                      <v:shape id="_x0000_s1026" o:spid="_x0000_s1026" o:spt="38" type="#_x0000_t38" style="position:absolute;left:3463290;top:368300;flip:y;height:166370;width:201930;" filled="f" stroked="t" coordsize="21600,21600" o:gfxdata="UEsDBAoAAAAAAIdO4kAAAAAAAAAAAAAAAAAEAAAAZHJzL1BLAwQUAAAACACHTuJAMp9IP9YAAAAF&#10;AQAADwAAAGRycy9kb3ducmV2LnhtbE2PMU/DMBCFdyT+g3VILIg6tarSpnE6RGLowECoBOM1viYR&#10;8Tmy3bTl12NYYDnp6T29912xvdhBTORD71jDfJaBIG6c6bnVsH97flyBCBHZ4OCYNFwpwLa8vSkw&#10;N+7MrzTVsRWphEOOGroYx1zK0HRkMczcSJy8o/MWY5K+lcbjOZXbQaosW0qLPaeFDkeqOmo+65PV&#10;wMf36sFTg7uvqqanj6lXL7ur1vd382wDItIl/oXhBz+hQ5mYDu7EJohBQ3ok/t7krRYLBeKgYanU&#10;GmRZyP/05TdQSwMEFAAAAAgAh07iQMLRwo4qAgAALwQAAA4AAABkcnMvZTJvRG9jLnhtbK1TvY4T&#10;MRDukXgHyz3ZTULCZZXNFQlHgyASP73jn10j/8l2sslL8AJIdFBdRUlzb3PHYzD2LndwCOkKXFhj&#10;z/ib+b4ZL8+PWqED90FaU+PxqMSIG2qZNE2N3729eHKGUYjEMKKs4TU+8YDPV48fLTtX8YltrWLc&#10;IwAxoepcjdsYXVUUgbZckzCyjhtwCus1iXD0TcE86QBdq2JSlvOis545bykPAW43vRMPiP4hgFYI&#10;SfnG0r3mJvaonisSgVJopQt4lasVgtP4WojAI1I1BqYx75AE7F3ai9WSVI0nrpV0KIE8pIR7nDSR&#10;BpLeQm1IJGjv5V9QWlJvgxVxRK0ueiJZEWAxLu9p86YljmcuIHVwt6KH/wdLXx22HklW4ylIYoiG&#10;jl9/+nbz/erH1efrj19uLr8i8IBMnQsVRK/N1g+n4LY+cT4Kr5FQ0r2HecoqAC90BMin8+lkAbgn&#10;sOdn03LQmx8jouAHyouUloJ/PJ9Pn2V/0SMmZOdDfMGtRsmoMd37A2drawz01fppzkUOL0PM0rOh&#10;fsI+jDESWkEnD0ShWQkrUQDkIRqsX9jpqTKoq/FiNplBMQSGWsAwgakdCBNMkxMFqyS7kEqlF8E3&#10;u7XyCPBhjPIaMvwRlpJsSGj7OAZWiiJVywl7bhiKJweCG/hoOFWgOcNIcfiXycqRkUh1Fxm9JKZR&#10;/4gGVsoAzdSqvjnJ2ll2yj3L9zBHWYhh5tOg/n7Or+/++e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p9IP9YAAAAFAQAADwAAAAAAAAABACAAAAAiAAAAZHJzL2Rvd25yZXYueG1sUEsBAhQAFAAA&#10;AAgAh07iQMLRwo4qAgAALwQAAA4AAAAAAAAAAQAgAAAAJQEAAGRycy9lMm9Eb2MueG1sUEsFBgAA&#10;AAAGAAYAWQEAAMEFAAAAAA==&#10;" adj="10800">
                        <v:fill on="f" focussize="0,0"/>
                        <v:stroke color="#000000" joinstyle="round" dashstyle="dash" endarrow="block"/>
                        <v:imagedata o:title=""/>
                        <o:lock v:ext="edit" aspectratio="f"/>
                      </v:shape>
                      <v:shape id="_x0000_s1026" o:spid="_x0000_s1026" o:spt="38" type="#_x0000_t38" style="position:absolute;left:3392170;top:2221230;flip:y;height:166370;width:201930;" filled="f" stroked="t" coordsize="21600,21600" o:gfxdata="UEsDBAoAAAAAAIdO4kAAAAAAAAAAAAAAAAAEAAAAZHJzL1BLAwQUAAAACACHTuJAMp9IP9YAAAAF&#10;AQAADwAAAGRycy9kb3ducmV2LnhtbE2PMU/DMBCFdyT+g3VILIg6tarSpnE6RGLowECoBOM1viYR&#10;8Tmy3bTl12NYYDnp6T29912xvdhBTORD71jDfJaBIG6c6bnVsH97flyBCBHZ4OCYNFwpwLa8vSkw&#10;N+7MrzTVsRWphEOOGroYx1zK0HRkMczcSJy8o/MWY5K+lcbjOZXbQaosW0qLPaeFDkeqOmo+65PV&#10;wMf36sFTg7uvqqanj6lXL7ur1vd382wDItIl/oXhBz+hQ5mYDu7EJohBQ3ok/t7krRYLBeKgYanU&#10;GmRZyP/05TdQSwMEFAAAAAgAh07iQIe1ALQrAgAAMAQAAA4AAABkcnMvZTJvRG9jLnhtbK1Ty47T&#10;MBTdI/EPlvc0TaoWGjWdRcuwQTASj73rR2Lkl2y3aX+CH0BiBytWs2QzfzPDZ3DthBkYhDQLsoiu&#10;7eNz7zn3enV21AoduA/SmgaXkylG3FDLpGkb/O7t+ZNnGIVIDCPKGt7gEw/4bP340ap3Na9sZxXj&#10;HgGJCXXvGtzF6OqiCLTjmoSJddzAobBekwhL3xbMkx7YtSqq6XRR9NYz5y3lIcDudjjEI6N/CKEV&#10;QlK+tXSvuYkDq+eKRJAUOukCXudqheA0vhYi8IhUg0FpzH9IAvEu/Yv1itStJ66TdCyBPKSEe5o0&#10;kQaS3lJtSSRo7+VfVFpSb4MVcUKtLgYh2RFQUU7vefOmI45nLWB1cLemh/9HS18dLjySrMGzEiND&#10;NHT8+tPlzferH1efrz9+ufn2FcEJ2NS7UAN6Yy78uAruwifNR+E1Ekq69zBP2QXQhY5AOVtW5VOw&#10;+tTgqqrKajYazo8RUQCA5iXsIQqAcrGYARa4i4EyUTsf4gtuNUpBg+neHzjbWGOgsdbPcjJyeBli&#10;9p6NAgj7AGKEVtDKA1FoPoVvZB7RkOMXd7qqDOobvJxXcyiGwFQLmCYItQNngmlzomCVZOdSqXQj&#10;+Ha3UR4BP8xR/sYMf8BSki0J3YBjECUUqTtO2HPDUDw5cNzAS8OpAs0ZRorDw0xRRkYi1R0yeklM&#10;q/6BBlXKgIGpV0N3UrSz7JSblvdhkLLF49CnSf19nW/fPfT1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KfSD/WAAAABQEAAA8AAAAAAAAAAQAgAAAAIgAAAGRycy9kb3ducmV2LnhtbFBLAQIUABQA&#10;AAAIAIdO4kCHtQC0KwIAADAEAAAOAAAAAAAAAAEAIAAAACUBAABkcnMvZTJvRG9jLnhtbFBLBQYA&#10;AAAABgAGAFkBAADCBQAAAAA=&#10;" adj="10800">
                        <v:fill on="f" focussize="0,0"/>
                        <v:stroke color="#000000" joinstyle="round" dashstyle="dash" endarrow="block"/>
                        <v:imagedata o:title=""/>
                        <o:lock v:ext="edit" aspectratio="f"/>
                      </v:shape>
                      <v:rect id="_x0000_s1026" o:spid="_x0000_s1026" o:spt="1" style="position:absolute;left:1120140;top:176530;height:191135;width:883920;" filled="f" stroked="f" coordsize="21600,21600" o:gfxdata="UEsDBAoAAAAAAIdO4kAAAAAAAAAAAAAAAAAEAAAAZHJzL1BLAwQUAAAACACHTuJA81OFv9cAAAAF&#10;AQAADwAAAGRycy9kb3ducmV2LnhtbE2PQUvDQBCF70L/wzIFb3bTUEoSsynSKvWorVC9bbNjEtyd&#10;DdlpU/31rl70MvB4j/e+KVcXZ8UZh9B5UjCfJSCQam86ahS87B9uMhCBNRltPaGCTwywqiZXpS6M&#10;H+kZzztuRCyhUGgFLXNfSBnqFp0OM98jRe/dD05zlEMjzaDHWO6sTJNkKZ3uKC60usd1i/XH7uQU&#10;bLP+7vXRf42NvX/bHp4O+Wafs1LX03lyC4Lxwn9h+MGP6FBFpqM/kQnCKoiP8O+NXrZYpCCOCpZp&#10;moOsSvmfvvoGUEsDBBQAAAAIAIdO4kALeoCIugEAAHEDAAAOAAAAZHJzL2Uyb0RvYy54bWytU0tu&#10;2zAQ3RfoHQjuY1l2kzqC5WyMFAWKNkDSA9AUaRHgDzO0JZ+mQHc9RI9T9BodSnLSppsssqEeZ4g3&#10;7z1S65veWXZUgCb4mpezOWfKy9AYv6/514fbixVnmIRvhA1e1fykkN9s3r5Zd7FSi9AG2yhgROKx&#10;6mLN25RiVRQoW+UEzkJUnpo6gBOJtrAvGhAdsTtbLObzq6IL0EQIUiFSdTs2+cQILyEMWhuptkEe&#10;nPJpZAVlRSJL2JqIfDOo1VrJ9EVrVInZmpPTNKw0hPAur8VmLao9iNgaOUkQL5HwzJMTxtPQR6qt&#10;SIIdwPxH5YyEgEGnmQyuGI0MiZCLcv4sm/tWRDV4oagxPoaOr0crPx/vgJmm5ssFZ144uvHf3378&#10;+vmdUYHS6SJWdOg+3sG0Q4LZaq/B5S+ZYD29pJIcvKNcT4TfX10up3BVn5ik/mq1vF5QW+b+dVku&#10;LzN98cQTAdMHFRzLoOZAdzdEKo6fMI1Hz0fyWB9ujbVUF5X1/xSIM1eKLH0Um1Hqd/3kYBeaE7m2&#10;Hz0lmV/FGcAZ7M7gEMHsW5JTDmozEd3EoHt6Nfmq/94Pg5/+lM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1OFv9cAAAAFAQAADwAAAAAAAAABACAAAAAiAAAAZHJzL2Rvd25yZXYueG1sUEsBAhQA&#10;FAAAAAgAh07iQAt6gIi6AQAAcQMAAA4AAAAAAAAAAQAgAAAAJgEAAGRycy9lMm9Eb2MueG1sUEsF&#10;BgAAAAAGAAYAWQEAAFIFAAAAAA==&#10;">
                        <v:fill on="f" focussize="0,0"/>
                        <v:stroke on="f"/>
                        <v:imagedata o:title=""/>
                        <o:lock v:ext="edit" aspectratio="f"/>
                        <v:textbox inset="0mm,0mm,0mm,0mm">
                          <w:txbxContent>
                            <w:p w14:paraId="57A3511B">
                              <w:pPr>
                                <w:jc w:val="center"/>
                              </w:pPr>
                              <w:r>
                                <w:t>G、N、S</w:t>
                              </w:r>
                            </w:p>
                          </w:txbxContent>
                        </v:textbox>
                      </v:rect>
                      <v:rect id="_x0000_s1026" o:spid="_x0000_s1026" o:spt="1" style="position:absolute;left:3210560;top:140970;height:191135;width:883920;" filled="f" stroked="f" coordsize="21600,21600" o:gfxdata="UEsDBAoAAAAAAIdO4kAAAAAAAAAAAAAAAAAEAAAAZHJzL1BLAwQUAAAACACHTuJA81OFv9cAAAAF&#10;AQAADwAAAGRycy9kb3ducmV2LnhtbE2PQUvDQBCF70L/wzIFb3bTUEoSsynSKvWorVC9bbNjEtyd&#10;DdlpU/31rl70MvB4j/e+KVcXZ8UZh9B5UjCfJSCQam86ahS87B9uMhCBNRltPaGCTwywqiZXpS6M&#10;H+kZzztuRCyhUGgFLXNfSBnqFp0OM98jRe/dD05zlEMjzaDHWO6sTJNkKZ3uKC60usd1i/XH7uQU&#10;bLP+7vXRf42NvX/bHp4O+Wafs1LX03lyC4Lxwn9h+MGP6FBFpqM/kQnCKoiP8O+NXrZYpCCOCpZp&#10;moOsSvmfvvoGUEsDBBQAAAAIAIdO4kCoQW9hvAEAAHEDAAAOAAAAZHJzL2Uyb0RvYy54bWytU0tu&#10;2zAQ3RfoHQjua0p2k9qC5WyMFAWCNEDSA9AUaRHgD0Pakk8TILseoscpeo0OJTlp000W3VDDGerN&#10;e2/I9VVvDTlKiNq7mpazghLphG+029f028P1hyUlMXHXcOOdrOlJRnq1ef9u3YVKzn3rTSOBIIiL&#10;VRdq2qYUKsaiaKXlceaDdFhUHixPuIU9a4B3iG4NmxfFJes8NAG8kDFidjsW6YQIbwH0Smkht14c&#10;rHRpRAVpeEJJsdUh0s3AVikp0lelokzE1BSVpmHFJhjv8so2a17tgYdWi4kCfwuFV5os1w6bPkNt&#10;eeLkAPofKKsF+OhVmglv2ShkcARVlMUrb+5bHuSgBa2O4dn0+P9gxe3xDohuarpYUOK4xYn/evz+&#10;88cTwQS604VY4aH7cAfTLmKYpfYKbP6iCNLj//OyuLhEX094qz4Wq0+TubJPRGB9uVys5lgWub4q&#10;y8VFhmcvOAFi+iy9JTmoKeDsBkv58Sam8ej5SG7r/LU2BvO8Mu6vBGLmDMvUR7I5Sv2unxTsfHNC&#10;1eaLQyfzrTgHcA525+AQQO9bpFMObDMQTmLgPd2aPOo/90Pjl5e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zU4W/1wAAAAUBAAAPAAAAAAAAAAEAIAAAACIAAABkcnMvZG93bnJldi54bWxQSwEC&#10;FAAUAAAACACHTuJAqEFvYbwBAABxAwAADgAAAAAAAAABACAAAAAmAQAAZHJzL2Uyb0RvYy54bWxQ&#10;SwUGAAAAAAYABgBZAQAAVAUAAAAA&#10;">
                        <v:fill on="f" focussize="0,0"/>
                        <v:stroke on="f"/>
                        <v:imagedata o:title=""/>
                        <o:lock v:ext="edit" aspectratio="f"/>
                        <v:textbox inset="0mm,0mm,0mm,0mm">
                          <w:txbxContent>
                            <w:p w14:paraId="308B3A9F">
                              <w:pPr>
                                <w:jc w:val="center"/>
                              </w:pPr>
                              <w:r>
                                <w:t>G、N</w:t>
                              </w:r>
                            </w:p>
                          </w:txbxContent>
                        </v:textbox>
                      </v:rect>
                      <v:rect id="_x0000_s1026" o:spid="_x0000_s1026" o:spt="1" style="position:absolute;left:3399790;top:2100580;height:203200;width:694690;" filled="f" stroked="f" coordsize="21600,21600" o:gfxdata="UEsDBAoAAAAAAIdO4kAAAAAAAAAAAAAAAAAEAAAAZHJzL1BLAwQUAAAACACHTuJA81OFv9cAAAAF&#10;AQAADwAAAGRycy9kb3ducmV2LnhtbE2PQUvDQBCF70L/wzIFb3bTUEoSsynSKvWorVC9bbNjEtyd&#10;DdlpU/31rl70MvB4j/e+KVcXZ8UZh9B5UjCfJSCQam86ahS87B9uMhCBNRltPaGCTwywqiZXpS6M&#10;H+kZzztuRCyhUGgFLXNfSBnqFp0OM98jRe/dD05zlEMjzaDHWO6sTJNkKZ3uKC60usd1i/XH7uQU&#10;bLP+7vXRf42NvX/bHp4O+Wafs1LX03lyC4Lxwn9h+MGP6FBFpqM/kQnCKoiP8O+NXrZYpCCOCpZp&#10;moOsSvmfvvoGUEsDBBQAAAAIAIdO4kC0R9UivAEAAHIDAAAOAAAAZHJzL2Uyb0RvYy54bWytU0tu&#10;2zAQ3RfoHQjua8p26saC5WyMFAWKNkDSA9AUZRHgDzO0JZ+mQHc9RI9T9BodSnLSppssuqGGw9Gb&#10;996Qm5veWXbSgCb4is9nBWfaq1Abf6j4l4fbN9ecYZK+ljZ4XfGzRn6zff1q08VSL0IbbK2BEYjH&#10;sosVb1OKpRCoWu0kzkLUng6bAE4m2sJB1CA7QndWLIpiJboAdYSgNCJld+MhnxDhJYChaYzSu6CO&#10;Tvs0ooK2MpEkbE1Evh3YNo1W6XPToE7MVpyUpmGlJhTv8yq2G1keQMbWqImCfAmFZ5qcNJ6aPkLt&#10;ZJLsCOYfKGcUBAxNmqngxChkcIRUzItn3ty3MupBC1mN8dF0/H+w6tPpDpipK7684sxLRxP/9fX7&#10;zx/fGCXInS5iSUX38Q6mHVKYpfYNuPwlEayn/5fr9bs1+Xqu+GJeFG+vJ3d1n5iigtX6apXPVS4o&#10;lnQXMr54AoqA6b0OjuWg4kDDGzyVp4+YxtJLSe7rw62xlvKytP6vBGHmjMjcR7Y5Sv2+nyTsQ30m&#10;2faDJyvztbgEcAn2l+AYwRxaojMf2GYgGsXAe7o2edZ/7ofGT09l+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zU4W/1wAAAAUBAAAPAAAAAAAAAAEAIAAAACIAAABkcnMvZG93bnJldi54bWxQSwEC&#10;FAAUAAAACACHTuJAtEfVIrwBAAByAwAADgAAAAAAAAABACAAAAAmAQAAZHJzL2Uyb0RvYy54bWxQ&#10;SwUGAAAAAAYABgBZAQAAVAUAAAAA&#10;">
                        <v:fill on="f" focussize="0,0"/>
                        <v:stroke on="f"/>
                        <v:imagedata o:title=""/>
                        <o:lock v:ext="edit" aspectratio="f"/>
                        <v:textbox inset="0mm,0mm,0mm,0mm">
                          <w:txbxContent>
                            <w:p w14:paraId="51FACB45">
                              <w:pPr>
                                <w:jc w:val="center"/>
                              </w:pPr>
                              <w:r>
                                <w:t>N</w:t>
                              </w:r>
                            </w:p>
                          </w:txbxContent>
                        </v:textbox>
                      </v:rect>
                      <v:shape id="_x0000_s1026" o:spid="_x0000_s1026" o:spt="38" type="#_x0000_t38" style="position:absolute;left:3380740;top:2696210;flip:y;height:166370;width:201930;" filled="f" stroked="t" coordsize="21600,21600" o:gfxdata="UEsDBAoAAAAAAIdO4kAAAAAAAAAAAAAAAAAEAAAAZHJzL1BLAwQUAAAACACHTuJAMp9IP9YAAAAF&#10;AQAADwAAAGRycy9kb3ducmV2LnhtbE2PMU/DMBCFdyT+g3VILIg6tarSpnE6RGLowECoBOM1viYR&#10;8Tmy3bTl12NYYDnp6T29912xvdhBTORD71jDfJaBIG6c6bnVsH97flyBCBHZ4OCYNFwpwLa8vSkw&#10;N+7MrzTVsRWphEOOGroYx1zK0HRkMczcSJy8o/MWY5K+lcbjOZXbQaosW0qLPaeFDkeqOmo+65PV&#10;wMf36sFTg7uvqqanj6lXL7ur1vd382wDItIl/oXhBz+hQ5mYDu7EJohBQ3ok/t7krRYLBeKgYanU&#10;GmRZyP/05TdQSwMEFAAAAAgAh07iQKi3R0UtAgAAMAQAAA4AAABkcnMvZTJvRG9jLnhtbK1Tu44T&#10;MRTtkfgHyz2ZSUKym1EmWyQsDYJIPHrHjxkjv2Q7meQn+AEkOqioKGn2b3b5DK49wy4sQtqCKUbX&#10;vsfn+px7vbw4aoUO3AdpTY3HoxIjbqhl0jQ1fvvm8sk5RiESw4iyhtf4xAO+WD1+tOxcxSe2tYpx&#10;j4DEhKpzNW5jdFVRBNpyTcLIOm4gKazXJMLSNwXzpAN2rYpJWc6LznrmvKU8BNjd9Ek8MPqHEFoh&#10;JOUbS/eam9izeq5IBEmhlS7gVb6tEJzGV0IEHpGqMSiN+Q9FIN6lf7FakqrxxLWSDlcgD7nCPU2a&#10;SANFb6k2JBK09/IvKi2pt8GKOKJWF72Q7AioGJf3vHndEsezFrA6uFvTw/+jpS8PW48kq/F0hpEh&#10;Gjp+/fHbzferH1efrj98vvn6BUEGbOpcqAC9Nls/rILb+qT5KLxGQkn3DuYpuwC60BEop+fl2VOw&#10;+lTjyXwxn4wHw/kxIgoA0LyYQp4CYDyfT89yvugpE7XzIT7nVqMU1Jju/YGztTUGGmv9NBcjhxch&#10;Zu/ZIICw92OMhFbQygNRaFbClzQA84CG6Bd3OqoM6mq8mE3ABEpgqgVME4TagTPBNLlQsEqyS6lU&#10;OhF8s1srj4Af5ih/Q4U/YKnIhoS2xzGIEopULSfsmWEonhw4buCl4XQDzRlGisPDTFFGRiLVHTJ6&#10;SUyj/oEGVcqAzNSrvjsp2ll2yk3L+zBI2Yhh6NOk/r7Op+8e+u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p9IP9YAAAAFAQAADwAAAAAAAAABACAAAAAiAAAAZHJzL2Rvd25yZXYueG1sUEsBAhQA&#10;FAAAAAgAh07iQKi3R0UtAgAAMAQAAA4AAAAAAAAAAQAgAAAAJQEAAGRycy9lMm9Eb2MueG1sUEsF&#10;BgAAAAAGAAYAWQEAAMQFAAAAAA==&#10;" adj="10800">
                        <v:fill on="f" focussize="0,0"/>
                        <v:stroke color="#000000" joinstyle="round" dashstyle="dash" endarrow="block"/>
                        <v:imagedata o:title=""/>
                        <o:lock v:ext="edit" aspectratio="f"/>
                      </v:shape>
                      <v:rect id="_x0000_s1026" o:spid="_x0000_s1026" o:spt="1" style="position:absolute;left:3388360;top:2575560;height:190500;width:670560;" filled="f" stroked="f" coordsize="21600,21600" o:gfxdata="UEsDBAoAAAAAAIdO4kAAAAAAAAAAAAAAAAAEAAAAZHJzL1BLAwQUAAAACACHTuJA81OFv9cAAAAF&#10;AQAADwAAAGRycy9kb3ducmV2LnhtbE2PQUvDQBCF70L/wzIFb3bTUEoSsynSKvWorVC9bbNjEtyd&#10;DdlpU/31rl70MvB4j/e+KVcXZ8UZh9B5UjCfJSCQam86ahS87B9uMhCBNRltPaGCTwywqiZXpS6M&#10;H+kZzztuRCyhUGgFLXNfSBnqFp0OM98jRe/dD05zlEMjzaDHWO6sTJNkKZ3uKC60usd1i/XH7uQU&#10;bLP+7vXRf42NvX/bHp4O+Wafs1LX03lyC4Lxwn9h+MGP6FBFpqM/kQnCKoiP8O+NXrZYpCCOCpZp&#10;moOsSvmfvvoGUEsDBBQAAAAIAIdO4kD+Qrd7vAEAAHIDAAAOAAAAZHJzL2Uyb0RvYy54bWytU0tu&#10;2zAQ3RfoHQjua8o27LiC5WyMFAWKJEDaA9AUaRHgD0Pakk9TILscoscpeo0OaTlp000W3VCPw9Gb&#10;eW/I9fVgDTlKiNq7hk4nFSXSCd9qt2/ot683H1aUxMRdy413sqEnGen15v27dR9qOfOdN60EgiQu&#10;1n1oaJdSqBmLopOWx4kP0uGh8mB5wi3sWQu8R3Zr2Kyqlqz30AbwQsaI0e35kI6M8BZCr5QWcuvF&#10;wUqXzqwgDU8oKXY6RLop3SolRbpTKspETENRaSorFkG8yyvbrHm9Bx46LcYW+FtaeKXJcu2w6DPV&#10;lidODqD/obJagI9epYnwlp2FFEdQxbR65c1Dx4MsWtDqGJ5Nj/+PVtwe74HotqHzJSWOW5z4r+9P&#10;P388EgygO32INSY9hHsYdxFhljoosPmLIsiA/89Xq/kSfT01dLa4WiwQF3flkIjAhOVVlWNEYML0&#10;Y7Woyjl7IQoQ0yfpLcmgoYDDK57y45eYkApTLym5rvM32phSwri/ApiYIyz3fu42ozTshlHCzrcn&#10;lG0+O7QyX4sLgAvYXcAhgN532M40qymUOIrSzHht8qz/3Jesl6e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zU4W/1wAAAAUBAAAPAAAAAAAAAAEAIAAAACIAAABkcnMvZG93bnJldi54bWxQSwEC&#10;FAAUAAAACACHTuJA/kK3e7wBAAByAwAADgAAAAAAAAABACAAAAAmAQAAZHJzL2Uyb0RvYy54bWxQ&#10;SwUGAAAAAAYABgBZAQAAVAUAAAAA&#10;">
                        <v:fill on="f" focussize="0,0"/>
                        <v:stroke on="f"/>
                        <v:imagedata o:title=""/>
                        <o:lock v:ext="edit" aspectratio="f"/>
                        <v:textbox inset="0mm,0mm,0mm,0mm">
                          <w:txbxContent>
                            <w:p w14:paraId="41740C65">
                              <w:pPr>
                                <w:jc w:val="center"/>
                              </w:pPr>
                              <w:r>
                                <w:t>W</w:t>
                              </w:r>
                            </w:p>
                          </w:txbxContent>
                        </v:textbox>
                      </v:rect>
                      <v:rect id="_x0000_s1026" o:spid="_x0000_s1026" o:spt="1" style="position:absolute;left:577850;top:2382520;height:190500;width:741680;" filled="f" stroked="f" coordsize="21600,21600" o:gfxdata="UEsDBAoAAAAAAIdO4kAAAAAAAAAAAAAAAAAEAAAAZHJzL1BLAwQUAAAACACHTuJA81OFv9cAAAAF&#10;AQAADwAAAGRycy9kb3ducmV2LnhtbE2PQUvDQBCF70L/wzIFb3bTUEoSsynSKvWorVC9bbNjEtyd&#10;DdlpU/31rl70MvB4j/e+KVcXZ8UZh9B5UjCfJSCQam86ahS87B9uMhCBNRltPaGCTwywqiZXpS6M&#10;H+kZzztuRCyhUGgFLXNfSBnqFp0OM98jRe/dD05zlEMjzaDHWO6sTJNkKZ3uKC60usd1i/XH7uQU&#10;bLP+7vXRf42NvX/bHp4O+Wafs1LX03lyC4Lxwn9h+MGP6FBFpqM/kQnCKoiP8O+NXrZYpCCOCpZp&#10;moOsSvmfvvoGUEsDBBQAAAAIAIdO4kDjf1D+vQEAAHEDAAAOAAAAZHJzL2Uyb0RvYy54bWytU0tu&#10;2zAQ3RfoHQjua31Sx65gORsjRYGiDZDkADRFWgT4w5C25NMEyK6H6HGKXqNDWk7SdJNFN9RwZvDm&#10;vTfU6mo0mhwEBOVsS6tZSYmw3HXK7lp6f3f9YUlJiMx2TDsrWnoUgV6t379bDb4Rteud7gQQBLGh&#10;GXxL+xh9UxSB98KwMHNeWCxKB4ZFvMKu6IANiG50UZflZTE46Dw4LkLA7OZUpBMivAXQSam42Di+&#10;N8LGEyoIzSJKCr3yga4zWykFj9+lDCIS3VJUGvOJQzDeprNYr1izA+Z7xScK7C0UXmkyTFkc+gS1&#10;YZGRPah/oIzi4IKTccadKU5CsiOooipfeXPbMy+yFrQ6+CfTw/+D5d8ON0BU19KLBSWWGdz474cf&#10;v34+EkygO4MPDTbd+huYbgHDJHWUYNIXRZCxpfPFYjlHW48trS+W9byezBVjJBzri4/V5RLrHBuq&#10;T+W8zPXiGcdDiJ+FMyQFLQXcXbaUHb6GiLOx9dySxlp3rbTO+9P2rwQ2pkyRqJ/IpiiO23FSsHXd&#10;EVXrLxadTK/iHMA52J6DvQe165FOlczIkLiJTGZ6NWnVL++56/lP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1OFv9cAAAAFAQAADwAAAAAAAAABACAAAAAiAAAAZHJzL2Rvd25yZXYueG1sUEsB&#10;AhQAFAAAAAgAh07iQON/UP69AQAAcQMAAA4AAAAAAAAAAQAgAAAAJgEAAGRycy9lMm9Eb2MueG1s&#10;UEsFBgAAAAAGAAYAWQEAAFUFAAAAAA==&#10;">
                        <v:fill on="f" focussize="0,0"/>
                        <v:stroke on="f"/>
                        <v:imagedata o:title=""/>
                        <o:lock v:ext="edit" aspectratio="f"/>
                        <v:textbox inset="0mm,0mm,0mm,0mm">
                          <w:txbxContent>
                            <w:p w14:paraId="436169CD">
                              <w:pPr>
                                <w:jc w:val="center"/>
                              </w:pPr>
                              <w:r>
                                <w:t>W、S、G</w:t>
                              </w:r>
                            </w:p>
                          </w:txbxContent>
                        </v:textbox>
                      </v:rect>
                      <v:shape id="_x0000_s1026" o:spid="_x0000_s1026" o:spt="38" type="#_x0000_t38" style="position:absolute;left:3369310;top:3229610;flip:y;height:166370;width:201930;" filled="f" stroked="t" coordsize="21600,21600" o:gfxdata="UEsDBAoAAAAAAIdO4kAAAAAAAAAAAAAAAAAEAAAAZHJzL1BLAwQUAAAACACHTuJAMp9IP9YAAAAF&#10;AQAADwAAAGRycy9kb3ducmV2LnhtbE2PMU/DMBCFdyT+g3VILIg6tarSpnE6RGLowECoBOM1viYR&#10;8Tmy3bTl12NYYDnp6T29912xvdhBTORD71jDfJaBIG6c6bnVsH97flyBCBHZ4OCYNFwpwLa8vSkw&#10;N+7MrzTVsRWphEOOGroYx1zK0HRkMczcSJy8o/MWY5K+lcbjOZXbQaosW0qLPaeFDkeqOmo+65PV&#10;wMf36sFTg7uvqqanj6lXL7ur1vd382wDItIl/oXhBz+hQ5mYDu7EJohBQ3ok/t7krRYLBeKgYanU&#10;GmRZyP/05TdQSwMEFAAAAAgAh07iQF2rOlgrAgAAMAQAAA4AAABkcnMvZTJvRG9jLnhtbK1TS44T&#10;MRDdI3EHy3vSSbcSSJTOLBKGDYJIfPaOP91G/sl20skluAASO1ixmiWbuc0Mx6Ds7vkwCGkWeGGV&#10;XeVX9V6Vl2dHrdCB+yCtqfFkNMaIG2qZNE2NP7w/f/YCoxCJYURZw2t84gGfrZ4+WXZuwUvbWsW4&#10;RwBiwqJzNW5jdIuiCLTlmoSRddyAU1ivSYSjbwrmSQfoWhXleDwrOuuZ85byEOB20zvxgOgfA2iF&#10;kJRvLN1rbmKP6rkiESiFVrqAV7laITiNb4UIPCJVY2Aa8w5JwN6lvVgtyaLxxLWSDiWQx5TwgJMm&#10;0kDSW6gNiQTtvfwLSkvqbbAijqjVRU8kKwIsJuMH2rxrieOZC0gd3K3o4f/B0jeHrUeS1biCvhui&#10;oeNXXy6uf17+uvx69fnb9Y/vCDwgU+fCAqLXZuuHU3BbnzgfhddIKOk+wjxlFYAXOgJkNZtXE5D6&#10;BHZZzmdgZ8H5MSIKAcB5XoGfQsBkNqueZ3/RQyZo50N8xa1Gyagx3fsDZ2trDDTW+ionI4fXIWbt&#10;2UCAsE8TjIRW0MoDUWg6hpUyA/IQDdYNdnqqDOpqPJ+WUyiGwFQLmCYwtQNlgmlyomCVZOdSqfQi&#10;+Ga3Vh4BPsxRXkOGP8JSkg0JbR/HwOoVaDlhLw1D8eRAcQM/DacKNGcYKQ4fM1lZq0ikuouMXhLT&#10;qH9EAytlgGbqVd+dZO0sO+Wm5XsYpCzEMPRpUu+f8+u7j77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KfSD/WAAAABQEAAA8AAAAAAAAAAQAgAAAAIgAAAGRycy9kb3ducmV2LnhtbFBLAQIUABQA&#10;AAAIAIdO4kBdqzpYKwIAADAEAAAOAAAAAAAAAAEAIAAAACUBAABkcnMvZTJvRG9jLnhtbFBLBQYA&#10;AAAABgAGAFkBAADCBQAAAAA=&#10;" adj="10800">
                        <v:fill on="f" focussize="0,0"/>
                        <v:stroke color="#000000" joinstyle="round" dashstyle="dash" endarrow="block"/>
                        <v:imagedata o:title=""/>
                        <o:lock v:ext="edit" aspectratio="f"/>
                      </v:shape>
                      <v:rect id="_x0000_s1026" o:spid="_x0000_s1026" o:spt="1" style="position:absolute;left:3376930;top:3108960;height:190500;width:670560;" filled="f" stroked="f" coordsize="21600,21600" o:gfxdata="UEsDBAoAAAAAAIdO4kAAAAAAAAAAAAAAAAAEAAAAZHJzL1BLAwQUAAAACACHTuJA81OFv9cAAAAF&#10;AQAADwAAAGRycy9kb3ducmV2LnhtbE2PQUvDQBCF70L/wzIFb3bTUEoSsynSKvWorVC9bbNjEtyd&#10;DdlpU/31rl70MvB4j/e+KVcXZ8UZh9B5UjCfJSCQam86ahS87B9uMhCBNRltPaGCTwywqiZXpS6M&#10;H+kZzztuRCyhUGgFLXNfSBnqFp0OM98jRe/dD05zlEMjzaDHWO6sTJNkKZ3uKC60usd1i/XH7uQU&#10;bLP+7vXRf42NvX/bHp4O+Wafs1LX03lyC4Lxwn9h+MGP6FBFpqM/kQnCKoiP8O+NXrZYpCCOCpZp&#10;moOsSvmfvvoGUEsDBBQAAAAIAIdO4kCNmxg0vAEAAHIDAAAOAAAAZHJzL2Uyb0RvYy54bWytU0tu&#10;2zAQ3RfIHQjuY0ox4sSC5WyMFAWKNkCaA9AUaRHgD0Pakk9ToLseoscpeo0OaTlp000W3VCPw9Gb&#10;eW/I1d1oDTlIiNq7ltazihLphO+027X06cv95S0lMXHXceOdbOlRRnq3vni3GkIjr3zvTSeBIImL&#10;zRBa2qcUGsai6KXlceaDdHioPFiecAs71gEfkN0adlVVCzZ46AJ4IWPE6OZ0SCdGeAuhV0oLufFi&#10;b6VLJ1aQhieUFHsdIl2XbpWSIn1WKspETEtRaSorFkG8zStbr3izAx56LaYW+FtaeKXJcu2w6DPV&#10;hidO9qD/obJagI9epZnwlp2EFEdQRV298uax50EWLWh1DM+mx/9HKz4dHoDorqXzJSWOW5z4r6/f&#10;f/74RjCA7gwhNpj0GB5g2kWEWeqowOYviiAj/j+/WSzn6OsRcV3dLheTu3JMRGDC4qa6xhgRmFAv&#10;q+uqnLMXogAxvZfekgxaCji84ik/fIwJi2PqOSXXdf5eG1MGaNxfAUzMEZZ7P3WbURq34yRh67sj&#10;yjYfHFqZr8UZwBlsz2AfQO96bKfObhRKHEVpZro2edZ/7kvWy1N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zU4W/1wAAAAUBAAAPAAAAAAAAAAEAIAAAACIAAABkcnMvZG93bnJldi54bWxQSwEC&#10;FAAUAAAACACHTuJAjZsYNLwBAAByAwAADgAAAAAAAAABACAAAAAmAQAAZHJzL2Uyb0RvYy54bWxQ&#10;SwUGAAAAAAYABgBZAQAAVAUAAAAA&#10;">
                        <v:fill on="f" focussize="0,0"/>
                        <v:stroke on="f"/>
                        <v:imagedata o:title=""/>
                        <o:lock v:ext="edit" aspectratio="f"/>
                        <v:textbox inset="0mm,0mm,0mm,0mm">
                          <w:txbxContent>
                            <w:p w14:paraId="6563695C">
                              <w:pPr>
                                <w:jc w:val="center"/>
                                <w:rPr>
                                  <w:rFonts w:hint="eastAsia"/>
                                </w:rPr>
                              </w:pPr>
                              <w:r>
                                <w:t>S</w:t>
                              </w:r>
                            </w:p>
                          </w:txbxContent>
                        </v:textbox>
                      </v:rect>
                      <v:shape id="_x0000_s1026" o:spid="_x0000_s1026" o:spt="38" type="#_x0000_t38" style="position:absolute;left:655955;top:2602865;flip:y;height:165100;width:190500;" filled="f" stroked="t" coordsize="21600,21600" o:gfxdata="UEsDBAoAAAAAAIdO4kAAAAAAAAAAAAAAAAAEAAAAZHJzL1BLAwQUAAAACACHTuJAMp9IP9YAAAAF&#10;AQAADwAAAGRycy9kb3ducmV2LnhtbE2PMU/DMBCFdyT+g3VILIg6tarSpnE6RGLowECoBOM1viYR&#10;8Tmy3bTl12NYYDnp6T29912xvdhBTORD71jDfJaBIG6c6bnVsH97flyBCBHZ4OCYNFwpwLa8vSkw&#10;N+7MrzTVsRWphEOOGroYx1zK0HRkMczcSJy8o/MWY5K+lcbjOZXbQaosW0qLPaeFDkeqOmo+65PV&#10;wMf36sFTg7uvqqanj6lXL7ur1vd382wDItIl/oXhBz+hQ5mYDu7EJohBQ3ok/t7krRYLBeKgYanU&#10;GmRZyP/05TdQSwMEFAAAAAgAh07iQNdcf8gsAgAALwQAAA4AAABkcnMvZTJvRG9jLnhtbK1Ty47T&#10;MBTdI/EPlvc0SSHVtGo6i5Zhg2AkHnvXj8TIL9lu0/4EP4DEDlasZslm/maGz+DaCR0YhDQLsoiu&#10;7etz7zn3eHl+0ArtuQ/SmgZXkxIjbqhl0rQNfvf24skZRiESw4iyhjf4yAM+Xz1+tOzdgk9tZxXj&#10;HgGICYveNbiL0S2KItCOaxIm1nEDh8J6TSIsfVswT3pA16qYluWs6K1nzlvKQ4DdzXCIR0T/EEAr&#10;hKR8Y+lOcxMHVM8ViUApdNIFvMrdCsFpfC1E4BGpBgPTmP9QBOJt+herJVm0nrhO0rEF8pAW7nHS&#10;RBooeoLakEjQzsu/oLSk3gYr4oRaXQxEsiLAoirvafOmI45nLiB1cCfRw/+Dpa/2lx5J1uBnIIkh&#10;GiZ+8+nq9vv1j+vPNx+/3H77iuAEZOpdWED22lz6cRXcpU+cD8JrJJR078FPWQXghQ4NntX1vK4x&#10;OjZ4OiunZ7N60JsfIqJwXs3LuoSyFBKqWV1BDNDFgJiQnQ/xBbcapaDBdOf3nK2tMTBX65/mWmT/&#10;MsQsPRv7J+xDhZHQCia5JwpBjRPymA01fmGnq8qgvsHzegrNUgKmFmAmCLUDYYJpc6FglWQXUql0&#10;I/h2u1YeAT7YKH9j73+kpSIbErohj0E0KNBxwp4bhuLRgeAGHhpOHWjOMFIc3mWKsjcjkeouM3pJ&#10;TKv+kQ2slAEB06iG4aRoa9kxzyzvg4+yxKPnk1F/X+fbd+98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n0g/1gAAAAUBAAAPAAAAAAAAAAEAIAAAACIAAABkcnMvZG93bnJldi54bWxQSwECFAAU&#10;AAAACACHTuJA11x/yCwCAAAvBAAADgAAAAAAAAABACAAAAAlAQAAZHJzL2Uyb0RvYy54bWxQSwUG&#10;AAAAAAYABgBZAQAAwwUAAAAA&#10;" adj="10800">
                        <v:fill on="f" focussize="0,0"/>
                        <v:stroke color="#000000" joinstyle="round" dashstyle="dash" endarrow="block"/>
                        <v:imagedata o:title=""/>
                        <o:lock v:ext="edit" aspectratio="f"/>
                      </v:shape>
                      <v:rect id="_x0000_s1026" o:spid="_x0000_s1026" o:spt="1" style="position:absolute;left:3340735;top:1076960;height:203200;width:685800;" filled="f" stroked="f" coordsize="21600,21600" o:gfxdata="UEsDBAoAAAAAAIdO4kAAAAAAAAAAAAAAAAAEAAAAZHJzL1BLAwQUAAAACACHTuJA81OFv9cAAAAF&#10;AQAADwAAAGRycy9kb3ducmV2LnhtbE2PQUvDQBCF70L/wzIFb3bTUEoSsynSKvWorVC9bbNjEtyd&#10;DdlpU/31rl70MvB4j/e+KVcXZ8UZh9B5UjCfJSCQam86ahS87B9uMhCBNRltPaGCTwywqiZXpS6M&#10;H+kZzztuRCyhUGgFLXNfSBnqFp0OM98jRe/dD05zlEMjzaDHWO6sTJNkKZ3uKC60usd1i/XH7uQU&#10;bLP+7vXRf42NvX/bHp4O+Wafs1LX03lyC4Lxwn9h+MGP6FBFpqM/kQnCKoiP8O+NXrZYpCCOCpZp&#10;moOsSvmfvvoGUEsDBBQAAAAIAIdO4kCrPEcFvgEAAHIDAAAOAAAAZHJzL2Uyb0RvYy54bWytU0tu&#10;2zAQ3RfoHQjua8p24riC5WyMFAWKNkDaA9AUaRHgD0Pakk9ToLseoscpeo0OKTlp000W3VCPw8Gb&#10;eW9Gm9vBGnKSELV3DZ3PKkqkE77V7tDQL5/v3qwpiYm7lhvvZEPPMtLb7etXmz7UcuE7b1oJBElc&#10;rPvQ0C6lUDMWRSctjzMfpMNH5cHyhFc4sBZ4j+zWsEVVrVjvoQ3ghYwRo7vxkU6M8BJCr5QWcufF&#10;0UqXRlaQhieUFDsdIt2WbpWSIn1SKspETENRaSonFkG8zyfbbnh9AB46LaYW+EtaeKbJcu2w6CPV&#10;jidOjqD/obJagI9epZnwlo1CiiOoYl498+ah40EWLWh1DI+mx/9HKz6e7oHotqFXc0octzjxX1+/&#10;//zxjWAA3elDrDHpIdzDdIsIs9RBgc1fFEGGhi6XV9XN8pqSM25VdbN6u5rclUMiAhNW6+t1hb4L&#10;TFhUS9yFzM+eiALE9E56SzJoKODwiqf89CGmMfWSkus6f6eNwTivjfsrgJw5wnLvY7cZpWE/TBL2&#10;vj2jbPPeoZV5LS4ALmB/AccA+tBhO8WNQomjKH1Pa5Nn/ee9FH76Vb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NThb/XAAAABQEAAA8AAAAAAAAAAQAgAAAAIgAAAGRycy9kb3ducmV2LnhtbFBL&#10;AQIUABQAAAAIAIdO4kCrPEcFvgEAAHIDAAAOAAAAAAAAAAEAIAAAACYBAABkcnMvZTJvRG9jLnht&#10;bFBLBQYAAAAABgAGAFkBAABWBQAAAAA=&#10;">
                        <v:fill on="f" focussize="0,0"/>
                        <v:stroke on="f"/>
                        <v:imagedata o:title=""/>
                        <o:lock v:ext="edit" aspectratio="f"/>
                        <v:textbox inset="0mm,0mm,0mm,0mm">
                          <w:txbxContent>
                            <w:p w14:paraId="75E1712C">
                              <w:pPr>
                                <w:jc w:val="center"/>
                              </w:pPr>
                              <w:r>
                                <w:t>N</w:t>
                              </w:r>
                            </w:p>
                          </w:txbxContent>
                        </v:textbox>
                      </v:rect>
                      <v:shape id="_x0000_s1026" o:spid="_x0000_s1026" o:spt="38" type="#_x0000_t38" style="position:absolute;left:3362960;top:1179830;flip:y;height:165100;width:190500;" filled="f" stroked="t" coordsize="21600,21600" o:gfxdata="UEsDBAoAAAAAAIdO4kAAAAAAAAAAAAAAAAAEAAAAZHJzL1BLAwQUAAAACACHTuJAMp9IP9YAAAAF&#10;AQAADwAAAGRycy9kb3ducmV2LnhtbE2PMU/DMBCFdyT+g3VILIg6tarSpnE6RGLowECoBOM1viYR&#10;8Tmy3bTl12NYYDnp6T29912xvdhBTORD71jDfJaBIG6c6bnVsH97flyBCBHZ4OCYNFwpwLa8vSkw&#10;N+7MrzTVsRWphEOOGroYx1zK0HRkMczcSJy8o/MWY5K+lcbjOZXbQaosW0qLPaeFDkeqOmo+65PV&#10;wMf36sFTg7uvqqanj6lXL7ur1vd382wDItIl/oXhBz+hQ5mYDu7EJohBQ3ok/t7krRYLBeKgYanU&#10;GmRZyP/05TdQSwMEFAAAAAgAh07iQCusHp4sAgAAMAQAAA4AAABkcnMvZTJvRG9jLnhtbK1Tu44T&#10;MRTtkfgHyz2ZmYSEzSiTLRKWBsFKPHrHj4yRX7KdTPIT/AASHVRbUdLs3+zyGVx7hiwsQtqCKUbX&#10;9vG595x7vTg/aIX23AdpTYOrUYkRN9QyabYNfvf24skZRiESw4iyhjf4yAM+Xz5+tOhczce2tYpx&#10;j4DEhLpzDW5jdHVRBNpyTcLIOm7gUFivSYSl3xbMkw7YtSrGZTkrOuuZ85byEGB33R/igdE/hNAK&#10;ISlfW7rT3MSe1XNFIkgKrXQBL3O1QnAaXwsReESqwaA05j8kgXiT/sVyQeqtJ66VdCiBPKSEe5o0&#10;kQaSnqjWJBK08/IvKi2pt8GKOKJWF72Q7AioqMp73rxpieNZC1gd3Mn08P9o6av9pUeSNfjpGCND&#10;NHT85tO32+/XP64/33z8cnv1FcEJ2NS5UAN6ZS79sAru0ifNB+E1Ekq69zBP2QXQhQ4Nnkxm4/kM&#10;rD7CQfVsfjYZDOeHiCgAqnk5LeGcJsBsWkEM3EVPmaidD/EFtxqloMF05/ecrawx0FjrJzkZ2b8M&#10;MXvPBgGEfagwElpBK/dEIchxYh7QkOMXd7qqDOoaPJ+Op1AMgakWME0QagfOBLPNiYJVkl1IpdKN&#10;4LeblfII+GGO8jfU/gcsJVmT0PY4BlFCkbrlhD03DMWjA8cNvDScKtCcYaQ4PMwUZWQkUt0ho5fE&#10;bNU/0KBKGTAw9arvToo2lh1z0/I+DFK2eBj6NKm/r/Ptu4e+/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n0g/1gAAAAUBAAAPAAAAAAAAAAEAIAAAACIAAABkcnMvZG93bnJldi54bWxQSwECFAAU&#10;AAAACACHTuJAK6weniwCAAAwBAAADgAAAAAAAAABACAAAAAlAQAAZHJzL2Uyb0RvYy54bWxQSwUG&#10;AAAAAAYABgBZAQAAwwUAAAAA&#10;" adj="10800">
                        <v:fill on="f" focussize="0,0"/>
                        <v:stroke color="#000000" joinstyle="round" dashstyle="dash" endarrow="block"/>
                        <v:imagedata o:title=""/>
                        <o:lock v:ext="edit" aspectratio="f"/>
                      </v:shape>
                      <w10:wrap type="none"/>
                      <w10:anchorlock/>
                    </v:group>
                  </w:pict>
                </mc:Fallback>
              </mc:AlternateContent>
            </w:r>
          </w:p>
          <w:p w14:paraId="4E049186">
            <w:pPr>
              <w:pStyle w:val="103"/>
              <w:ind w:left="0" w:leftChars="0" w:firstLine="0" w:firstLineChars="0"/>
              <w:jc w:val="center"/>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rPr>
              <w:t>图2.5-1   工艺流程图</w:t>
            </w:r>
          </w:p>
          <w:p w14:paraId="3386101B">
            <w:pPr>
              <w:pStyle w:val="137"/>
              <w:spacing w:beforeLines="0" w:afterLines="0" w:line="360" w:lineRule="auto"/>
              <w:ind w:firstLine="0" w:firstLineChars="0"/>
              <w:rPr>
                <w:rFonts w:hint="default" w:ascii="Times New Roman" w:hAnsi="Times New Roman" w:cs="Times New Roman"/>
                <w:b/>
                <w:color w:val="auto"/>
                <w:sz w:val="24"/>
                <w:szCs w:val="24"/>
                <w:u w:val="none"/>
              </w:rPr>
            </w:pPr>
            <w:r>
              <w:rPr>
                <w:rFonts w:hint="default" w:ascii="Times New Roman" w:hAnsi="Times New Roman" w:cs="Times New Roman"/>
                <w:b/>
                <w:color w:val="auto"/>
                <w:sz w:val="24"/>
                <w:szCs w:val="24"/>
                <w:u w:val="none"/>
              </w:rPr>
              <w:t>工艺流程说明：</w:t>
            </w:r>
          </w:p>
          <w:p w14:paraId="4DB0A0A9">
            <w:pPr>
              <w:pStyle w:val="58"/>
              <w:rPr>
                <w:rFonts w:hint="default" w:ascii="Times New Roman" w:hAnsi="Times New Roman" w:cs="Times New Roman"/>
                <w:sz w:val="24"/>
                <w:szCs w:val="24"/>
                <w:u w:val="none"/>
              </w:rPr>
            </w:pPr>
            <w:r>
              <w:rPr>
                <w:rFonts w:hint="default" w:ascii="Times New Roman" w:hAnsi="Times New Roman" w:cs="Times New Roman"/>
                <w:sz w:val="24"/>
                <w:szCs w:val="24"/>
                <w:u w:val="none"/>
              </w:rPr>
              <w:t>①骨架制作：将准备好的钢筋，用钢筋调直切断机进行按规定的长度调直后根据要生产的水泥电线杆的长度进行切断。将切断后的钢筋和法兰一起绑扎、焊接后制成水泥电杆骨架。</w:t>
            </w:r>
          </w:p>
          <w:p w14:paraId="1A5CE98B">
            <w:pPr>
              <w:pStyle w:val="58"/>
              <w:rPr>
                <w:rFonts w:hint="default" w:ascii="Times New Roman" w:hAnsi="Times New Roman" w:cs="Times New Roman"/>
                <w:sz w:val="24"/>
                <w:szCs w:val="24"/>
                <w:u w:val="none"/>
              </w:rPr>
            </w:pPr>
            <w:r>
              <w:rPr>
                <w:rFonts w:hint="default" w:ascii="Times New Roman" w:hAnsi="Times New Roman" w:cs="Times New Roman"/>
                <w:sz w:val="24"/>
                <w:szCs w:val="24"/>
                <w:u w:val="none"/>
              </w:rPr>
              <w:t>②混凝土制备：将河沙、碎石和水泥加入搅拌机，搅拌制成混凝土。</w:t>
            </w:r>
          </w:p>
          <w:p w14:paraId="6AB669CE">
            <w:pPr>
              <w:pStyle w:val="58"/>
              <w:rPr>
                <w:rFonts w:hint="default" w:ascii="Times New Roman" w:hAnsi="Times New Roman" w:cs="Times New Roman"/>
                <w:sz w:val="24"/>
                <w:szCs w:val="24"/>
                <w:u w:val="none"/>
              </w:rPr>
            </w:pPr>
            <w:r>
              <w:rPr>
                <w:rFonts w:hint="default" w:ascii="Times New Roman" w:hAnsi="Times New Roman" w:cs="Times New Roman"/>
                <w:sz w:val="24"/>
                <w:szCs w:val="24"/>
                <w:u w:val="none"/>
              </w:rPr>
              <w:t>③装模、灌浆、合模：在模具上涂上脱膜剂，然后将做好的骨架放入模具，浇注满混凝土以后，盖上上面的模具，确认两侧缝隙较小或者闭合后，最后两头用嘟嘴塞上，防止混凝土外流。</w:t>
            </w:r>
          </w:p>
          <w:p w14:paraId="6E61169D">
            <w:pPr>
              <w:pStyle w:val="58"/>
              <w:rPr>
                <w:rFonts w:hint="default" w:ascii="Times New Roman" w:hAnsi="Times New Roman" w:cs="Times New Roman"/>
                <w:sz w:val="24"/>
                <w:szCs w:val="24"/>
                <w:u w:val="none"/>
              </w:rPr>
            </w:pPr>
            <w:r>
              <w:rPr>
                <w:rFonts w:hint="default" w:ascii="Times New Roman" w:hAnsi="Times New Roman" w:cs="Times New Roman"/>
                <w:sz w:val="24"/>
                <w:szCs w:val="24"/>
                <w:u w:val="none"/>
              </w:rPr>
              <w:t>④离心成型：用行车将灌浆后的水泥杆模具调至离心机上，通过离心机的高速旋转将水泥均匀的贴至模具内壁四周，最终使水泥电杆形成中空的。</w:t>
            </w:r>
          </w:p>
          <w:p w14:paraId="0CF0EAA2">
            <w:pPr>
              <w:pStyle w:val="58"/>
              <w:rPr>
                <w:rFonts w:hint="default" w:ascii="Times New Roman" w:hAnsi="Times New Roman" w:cs="Times New Roman"/>
                <w:sz w:val="24"/>
                <w:szCs w:val="24"/>
                <w:u w:val="none"/>
              </w:rPr>
            </w:pPr>
            <w:r>
              <w:rPr>
                <w:rFonts w:hint="default" w:ascii="Times New Roman" w:hAnsi="Times New Roman" w:cs="Times New Roman"/>
                <w:sz w:val="24"/>
                <w:szCs w:val="24"/>
                <w:u w:val="none"/>
              </w:rPr>
              <w:t>⑤蒸汽养护：然后将蒸汽送至模具，用高温蒸汽蒸水泥电杆一段时间，加速水泥的固化。经过高温蒸之后，水泥电杆基本凝固达到95%，基本成定型。</w:t>
            </w:r>
          </w:p>
          <w:p w14:paraId="40D6FD49">
            <w:pPr>
              <w:pStyle w:val="58"/>
              <w:rPr>
                <w:rFonts w:hint="default" w:ascii="Times New Roman" w:hAnsi="Times New Roman" w:cs="Times New Roman"/>
                <w:sz w:val="24"/>
                <w:szCs w:val="24"/>
              </w:rPr>
            </w:pPr>
            <w:r>
              <w:rPr>
                <w:rFonts w:hint="default" w:ascii="Times New Roman" w:hAnsi="Times New Roman" w:cs="Times New Roman"/>
                <w:sz w:val="24"/>
                <w:szCs w:val="24"/>
                <w:u w:val="none"/>
              </w:rPr>
              <w:t>⑥冷却、拆模、成品堆存：蒸汽养护后水泥电杆在常温下自然冷却后，再进行拆模，并通过行车转移至成品区暂存，最终作为产品外售。</w:t>
            </w:r>
          </w:p>
        </w:tc>
      </w:tr>
      <w:tr w14:paraId="6EB89C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8" w:hRule="atLeast"/>
          <w:jc w:val="center"/>
        </w:trPr>
        <w:tc>
          <w:tcPr>
            <w:tcW w:w="433" w:type="pct"/>
            <w:vAlign w:val="center"/>
          </w:tcPr>
          <w:p w14:paraId="6A2FB4E2">
            <w:pPr>
              <w:pStyle w:val="35"/>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bCs/>
                <w:kern w:val="2"/>
                <w:sz w:val="21"/>
                <w:szCs w:val="21"/>
              </w:rPr>
              <w:t>与项目有关的原有环境污染问题</w:t>
            </w:r>
          </w:p>
        </w:tc>
        <w:tc>
          <w:tcPr>
            <w:tcW w:w="4566" w:type="pct"/>
            <w:vAlign w:val="top"/>
          </w:tcPr>
          <w:p w14:paraId="633488E9">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sz w:val="24"/>
                <w:szCs w:val="24"/>
                <w:lang w:eastAsia="zh-CN"/>
              </w:rPr>
            </w:pPr>
            <w:r>
              <w:rPr>
                <w:rFonts w:hint="default" w:ascii="Times New Roman" w:hAnsi="Times New Roman" w:eastAsia="宋体" w:cs="Times New Roman"/>
                <w:sz w:val="24"/>
                <w:szCs w:val="24"/>
                <w:lang w:eastAsia="zh-CN"/>
              </w:rPr>
              <w:t>新田县新电东晖混凝土制品有限责任公司成立</w:t>
            </w:r>
            <w:r>
              <w:rPr>
                <w:rFonts w:hint="default" w:ascii="Times New Roman" w:hAnsi="Times New Roman" w:eastAsia="宋体" w:cs="Times New Roman"/>
                <w:sz w:val="24"/>
                <w:szCs w:val="24"/>
              </w:rPr>
              <w:t>于</w:t>
            </w:r>
            <w:r>
              <w:rPr>
                <w:rFonts w:hint="default" w:ascii="Times New Roman" w:hAnsi="Times New Roman" w:eastAsia="宋体" w:cs="Times New Roman"/>
                <w:color w:val="000000"/>
                <w:sz w:val="24"/>
                <w:szCs w:val="24"/>
                <w:lang w:val="en-US" w:eastAsia="zh-CN"/>
              </w:rPr>
              <w:t>2014</w:t>
            </w:r>
            <w:r>
              <w:rPr>
                <w:rFonts w:hint="default" w:ascii="Times New Roman" w:hAnsi="Times New Roman" w:eastAsia="宋体" w:cs="Times New Roman"/>
                <w:color w:val="000000"/>
                <w:sz w:val="24"/>
                <w:szCs w:val="24"/>
              </w:rPr>
              <w:t>年</w:t>
            </w:r>
            <w:r>
              <w:rPr>
                <w:rFonts w:hint="default" w:ascii="Times New Roman" w:hAnsi="Times New Roman" w:eastAsia="宋体" w:cs="Times New Roman"/>
                <w:sz w:val="24"/>
                <w:szCs w:val="24"/>
              </w:rPr>
              <w:t>，租赁</w:t>
            </w:r>
            <w:r>
              <w:rPr>
                <w:rFonts w:hint="default" w:ascii="Times New Roman" w:hAnsi="Times New Roman" w:eastAsia="宋体" w:cs="Times New Roman"/>
                <w:sz w:val="24"/>
                <w:szCs w:val="24"/>
                <w:lang w:eastAsia="zh-CN"/>
              </w:rPr>
              <w:t>新田县中山街道云梯岭村场地</w:t>
            </w:r>
            <w:r>
              <w:rPr>
                <w:rFonts w:hint="default" w:ascii="Times New Roman" w:hAnsi="Times New Roman" w:eastAsia="宋体" w:cs="Times New Roman"/>
                <w:sz w:val="24"/>
                <w:szCs w:val="24"/>
              </w:rPr>
              <w:t>生产水泥电杆，本次环评</w:t>
            </w:r>
            <w:r>
              <w:rPr>
                <w:rFonts w:hint="default" w:ascii="Times New Roman" w:hAnsi="Times New Roman" w:eastAsia="宋体" w:cs="Times New Roman"/>
                <w:bCs/>
                <w:sz w:val="24"/>
                <w:szCs w:val="24"/>
                <w:lang w:val="zh-CN"/>
              </w:rPr>
              <w:t>属于</w:t>
            </w:r>
            <w:r>
              <w:rPr>
                <w:rFonts w:hint="default" w:ascii="Times New Roman" w:hAnsi="Times New Roman" w:eastAsia="宋体" w:cs="Times New Roman"/>
                <w:bCs/>
                <w:sz w:val="24"/>
                <w:szCs w:val="24"/>
                <w:lang w:val="en-US" w:eastAsia="zh-CN"/>
              </w:rPr>
              <w:t>扩建</w:t>
            </w:r>
            <w:r>
              <w:rPr>
                <w:rFonts w:hint="default" w:ascii="Times New Roman" w:hAnsi="Times New Roman" w:eastAsia="宋体" w:cs="Times New Roman"/>
                <w:bCs/>
                <w:sz w:val="24"/>
                <w:szCs w:val="24"/>
                <w:lang w:val="zh-CN"/>
              </w:rPr>
              <w:t>项目。项目运行至今，与周边居民无环境污染纠纷及投诉。</w:t>
            </w:r>
            <w:r>
              <w:rPr>
                <w:rFonts w:hint="default" w:ascii="Times New Roman" w:hAnsi="Times New Roman" w:eastAsia="宋体" w:cs="Times New Roman"/>
                <w:sz w:val="24"/>
                <w:szCs w:val="24"/>
                <w:lang w:eastAsia="zh-CN"/>
              </w:rPr>
              <w:t>建设单位于</w:t>
            </w:r>
            <w:r>
              <w:rPr>
                <w:rFonts w:hint="default" w:ascii="Times New Roman" w:hAnsi="Times New Roman" w:eastAsia="宋体" w:cs="Times New Roman"/>
                <w:sz w:val="24"/>
                <w:szCs w:val="24"/>
                <w:lang w:val="en-US" w:eastAsia="zh-CN"/>
              </w:rPr>
              <w:t>2014年12月办理了《年产1万根水泥电杆生产线建设项目环境影响登记表》</w:t>
            </w:r>
            <w:r>
              <w:rPr>
                <w:rFonts w:hint="default" w:ascii="Times New Roman" w:hAnsi="Times New Roman" w:eastAsia="宋体" w:cs="Times New Roman"/>
                <w:sz w:val="24"/>
                <w:szCs w:val="24"/>
              </w:rPr>
              <w:t>。与本项目有关的原有污染情况及环境影响即现有生产情况</w:t>
            </w:r>
            <w:r>
              <w:rPr>
                <w:rFonts w:hint="default" w:ascii="Times New Roman" w:hAnsi="Times New Roman" w:eastAsia="宋体" w:cs="Times New Roman"/>
                <w:sz w:val="24"/>
                <w:szCs w:val="24"/>
                <w:lang w:eastAsia="zh-CN"/>
              </w:rPr>
              <w:t>。</w:t>
            </w:r>
          </w:p>
          <w:p w14:paraId="47A380B6">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lang w:eastAsia="zh-CN"/>
              </w:rPr>
              <w:t>由于项目</w:t>
            </w:r>
            <w:r>
              <w:rPr>
                <w:rFonts w:hint="default" w:ascii="Times New Roman" w:hAnsi="Times New Roman" w:eastAsia="宋体" w:cs="Times New Roman"/>
                <w:sz w:val="24"/>
                <w:szCs w:val="24"/>
                <w:u w:val="single"/>
              </w:rPr>
              <w:t>原</w:t>
            </w:r>
            <w:r>
              <w:rPr>
                <w:rFonts w:hint="eastAsia" w:ascii="Times New Roman" w:hAnsi="Times New Roman" w:cs="Times New Roman"/>
                <w:sz w:val="24"/>
                <w:szCs w:val="24"/>
                <w:u w:val="single"/>
                <w:lang w:eastAsia="zh-CN"/>
              </w:rPr>
              <w:t>办理环评登记表手续，未核算污染物排放情况，未开展相应监测</w:t>
            </w:r>
            <w:r>
              <w:rPr>
                <w:rFonts w:hint="default" w:ascii="Times New Roman" w:hAnsi="Times New Roman" w:eastAsia="宋体" w:cs="Times New Roman"/>
                <w:sz w:val="24"/>
                <w:szCs w:val="24"/>
                <w:u w:val="single"/>
              </w:rPr>
              <w:t>，因此</w:t>
            </w:r>
            <w:r>
              <w:rPr>
                <w:rFonts w:hint="eastAsia" w:ascii="Times New Roman" w:hAnsi="Times New Roman" w:cs="Times New Roman"/>
                <w:sz w:val="24"/>
                <w:szCs w:val="24"/>
                <w:u w:val="single"/>
                <w:lang w:eastAsia="zh-CN"/>
              </w:rPr>
              <w:t>按照现有工艺</w:t>
            </w:r>
            <w:r>
              <w:rPr>
                <w:rFonts w:hint="default" w:ascii="Times New Roman" w:hAnsi="Times New Roman" w:eastAsia="宋体" w:cs="Times New Roman"/>
                <w:sz w:val="24"/>
                <w:szCs w:val="24"/>
                <w:u w:val="single"/>
                <w:lang w:eastAsia="zh-CN"/>
              </w:rPr>
              <w:t>及现有原辅料使用量重新核算其产排量</w:t>
            </w:r>
            <w:r>
              <w:rPr>
                <w:rFonts w:hint="default" w:ascii="Times New Roman" w:hAnsi="Times New Roman" w:eastAsia="宋体" w:cs="Times New Roman"/>
                <w:sz w:val="24"/>
                <w:szCs w:val="24"/>
                <w:u w:val="single"/>
              </w:rPr>
              <w:t>。</w:t>
            </w:r>
          </w:p>
          <w:p w14:paraId="6A6B35A7">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1、废气</w:t>
            </w:r>
          </w:p>
          <w:p w14:paraId="159CEE4C">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u w:val="single"/>
                <w:lang w:eastAsia="zh-CN"/>
              </w:rPr>
            </w:pPr>
            <w:r>
              <w:rPr>
                <w:rFonts w:hint="default" w:ascii="Times New Roman" w:hAnsi="Times New Roman" w:eastAsia="宋体" w:cs="Times New Roman"/>
                <w:sz w:val="24"/>
                <w:szCs w:val="24"/>
                <w:u w:val="single"/>
                <w:lang w:eastAsia="zh-CN"/>
              </w:rPr>
              <w:t>本项目现有工程废气主要为生物质燃料蒸汽发生器燃烧过程产生的废气、工艺粉尘及堆场扬尘。</w:t>
            </w:r>
          </w:p>
          <w:p w14:paraId="1F8B6D3C">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sz w:val="24"/>
                <w:szCs w:val="24"/>
                <w:u w:val="single"/>
                <w:lang w:eastAsia="zh-CN"/>
              </w:rPr>
            </w:pPr>
            <w:r>
              <w:rPr>
                <w:rFonts w:hint="eastAsia" w:ascii="Times New Roman" w:hAnsi="Times New Roman" w:cs="Times New Roman"/>
                <w:sz w:val="24"/>
                <w:szCs w:val="24"/>
                <w:u w:val="single"/>
                <w:lang w:eastAsia="zh-CN"/>
              </w:rPr>
              <w:t>（</w:t>
            </w:r>
            <w:r>
              <w:rPr>
                <w:rFonts w:hint="eastAsia" w:ascii="Times New Roman" w:hAnsi="Times New Roman" w:cs="Times New Roman"/>
                <w:sz w:val="24"/>
                <w:szCs w:val="24"/>
                <w:u w:val="single"/>
                <w:lang w:val="en-US" w:eastAsia="zh-CN"/>
              </w:rPr>
              <w:t>1</w:t>
            </w:r>
            <w:r>
              <w:rPr>
                <w:rFonts w:hint="eastAsia" w:ascii="Times New Roman" w:hAnsi="Times New Roman" w:cs="Times New Roman"/>
                <w:sz w:val="24"/>
                <w:szCs w:val="24"/>
                <w:u w:val="single"/>
                <w:lang w:eastAsia="zh-CN"/>
              </w:rPr>
              <w:t>）</w:t>
            </w:r>
            <w:r>
              <w:rPr>
                <w:rFonts w:hint="eastAsia" w:ascii="Times New Roman" w:hAnsi="Times New Roman" w:eastAsia="宋体" w:cs="Times New Roman"/>
                <w:sz w:val="24"/>
                <w:szCs w:val="24"/>
                <w:u w:val="single"/>
                <w:lang w:eastAsia="zh-CN"/>
              </w:rPr>
              <w:t>成型生物质燃烧废气</w:t>
            </w:r>
          </w:p>
          <w:p w14:paraId="70661E23">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color w:val="auto"/>
                <w:sz w:val="24"/>
                <w:u w:val="single"/>
              </w:rPr>
            </w:pPr>
            <w:r>
              <w:rPr>
                <w:rFonts w:hint="default" w:ascii="Times New Roman" w:hAnsi="Times New Roman" w:eastAsia="宋体" w:cs="Times New Roman"/>
                <w:kern w:val="0"/>
                <w:sz w:val="24"/>
                <w:szCs w:val="24"/>
                <w:u w:val="single"/>
                <w:lang w:val="en-US" w:eastAsia="zh-CN"/>
              </w:rPr>
              <w:t>当气温低于20℃时需要使用蒸汽发生器蒸汽对电杆进行养护</w:t>
            </w:r>
            <w:r>
              <w:rPr>
                <w:rFonts w:hint="default" w:ascii="Times New Roman" w:hAnsi="Times New Roman" w:eastAsia="宋体" w:cs="Times New Roman"/>
                <w:kern w:val="0"/>
                <w:sz w:val="24"/>
                <w:szCs w:val="24"/>
                <w:u w:val="single"/>
              </w:rPr>
              <w:t>，使产品达到应有的强度</w:t>
            </w:r>
            <w:r>
              <w:rPr>
                <w:rFonts w:hint="eastAsia" w:ascii="Times New Roman" w:hAnsi="Times New Roman" w:eastAsia="宋体" w:cs="Times New Roman"/>
                <w:kern w:val="0"/>
                <w:sz w:val="24"/>
                <w:szCs w:val="24"/>
                <w:u w:val="single"/>
                <w:lang w:eastAsia="zh-CN"/>
              </w:rPr>
              <w:t>，因此</w:t>
            </w:r>
            <w:r>
              <w:rPr>
                <w:rFonts w:hint="default" w:ascii="Times New Roman" w:hAnsi="Times New Roman" w:eastAsia="宋体" w:cs="Times New Roman"/>
                <w:kern w:val="0"/>
                <w:sz w:val="24"/>
                <w:szCs w:val="24"/>
                <w:u w:val="single"/>
              </w:rPr>
              <w:t>项目使用1台</w:t>
            </w:r>
            <w:r>
              <w:rPr>
                <w:rFonts w:hint="default" w:ascii="Times New Roman" w:hAnsi="Times New Roman" w:eastAsia="宋体" w:cs="Times New Roman"/>
                <w:kern w:val="0"/>
                <w:sz w:val="24"/>
                <w:szCs w:val="24"/>
                <w:u w:val="single"/>
                <w:lang w:eastAsia="zh-CN"/>
              </w:rPr>
              <w:t>生物质燃料蒸汽发生器</w:t>
            </w:r>
            <w:r>
              <w:rPr>
                <w:rFonts w:hint="default" w:ascii="Times New Roman" w:hAnsi="Times New Roman" w:eastAsia="宋体" w:cs="Times New Roman"/>
                <w:kern w:val="0"/>
                <w:sz w:val="24"/>
                <w:szCs w:val="24"/>
                <w:u w:val="single"/>
              </w:rPr>
              <w:t>提供蒸汽，每天运行</w:t>
            </w:r>
            <w:r>
              <w:rPr>
                <w:rFonts w:hint="eastAsia" w:ascii="Times New Roman" w:hAnsi="Times New Roman" w:cs="Times New Roman"/>
                <w:kern w:val="0"/>
                <w:sz w:val="24"/>
                <w:szCs w:val="24"/>
                <w:u w:val="single"/>
                <w:lang w:val="en-US" w:eastAsia="zh-CN"/>
              </w:rPr>
              <w:t>2</w:t>
            </w:r>
            <w:r>
              <w:rPr>
                <w:rFonts w:hint="default" w:ascii="Times New Roman" w:hAnsi="Times New Roman" w:eastAsia="宋体" w:cs="Times New Roman"/>
                <w:kern w:val="0"/>
                <w:sz w:val="24"/>
                <w:szCs w:val="24"/>
                <w:u w:val="single"/>
              </w:rPr>
              <w:t>h</w:t>
            </w:r>
            <w:r>
              <w:rPr>
                <w:rFonts w:hint="eastAsia" w:ascii="Times New Roman" w:hAnsi="Times New Roman" w:cs="Times New Roman"/>
                <w:kern w:val="0"/>
                <w:sz w:val="24"/>
                <w:szCs w:val="24"/>
                <w:u w:val="single"/>
                <w:lang w:eastAsia="zh-CN"/>
              </w:rPr>
              <w:t>，年运行</w:t>
            </w:r>
            <w:r>
              <w:rPr>
                <w:rFonts w:hint="eastAsia" w:ascii="Times New Roman" w:hAnsi="Times New Roman" w:cs="Times New Roman"/>
                <w:kern w:val="0"/>
                <w:sz w:val="24"/>
                <w:szCs w:val="24"/>
                <w:u w:val="single"/>
                <w:lang w:val="en-US" w:eastAsia="zh-CN"/>
              </w:rPr>
              <w:t>100天</w:t>
            </w:r>
            <w:r>
              <w:rPr>
                <w:rFonts w:ascii="Times New Roman" w:hAnsi="Times New Roman"/>
                <w:color w:val="auto"/>
                <w:sz w:val="24"/>
                <w:u w:val="single"/>
              </w:rPr>
              <w:t>，采用成型生物质作为燃料，成型生物质年消耗量约为</w:t>
            </w:r>
            <w:r>
              <w:rPr>
                <w:rFonts w:hint="eastAsia" w:ascii="Times New Roman" w:hAnsi="Times New Roman"/>
                <w:color w:val="auto"/>
                <w:sz w:val="24"/>
                <w:u w:val="single"/>
                <w:lang w:val="en-US" w:eastAsia="zh-CN"/>
              </w:rPr>
              <w:t>47.25</w:t>
            </w:r>
            <w:r>
              <w:rPr>
                <w:rFonts w:ascii="Times New Roman" w:hAnsi="Times New Roman"/>
                <w:color w:val="auto"/>
                <w:sz w:val="24"/>
                <w:u w:val="single"/>
              </w:rPr>
              <w:t>t/a，废气中主要污染物为SO</w:t>
            </w:r>
            <w:r>
              <w:rPr>
                <w:rFonts w:ascii="Times New Roman" w:hAnsi="Times New Roman"/>
                <w:color w:val="auto"/>
                <w:sz w:val="24"/>
                <w:u w:val="single"/>
                <w:vertAlign w:val="subscript"/>
              </w:rPr>
              <w:t>2</w:t>
            </w:r>
            <w:r>
              <w:rPr>
                <w:rFonts w:ascii="Times New Roman" w:hAnsi="Times New Roman"/>
                <w:color w:val="auto"/>
                <w:sz w:val="24"/>
                <w:u w:val="single"/>
              </w:rPr>
              <w:t>、NOx、和烟尘。</w:t>
            </w:r>
            <w:r>
              <w:rPr>
                <w:rFonts w:hint="eastAsia" w:ascii="Times New Roman" w:hAnsi="Times New Roman"/>
                <w:color w:val="auto"/>
                <w:sz w:val="24"/>
                <w:u w:val="single"/>
                <w:lang w:val="en-US" w:eastAsia="zh-CN"/>
              </w:rPr>
              <w:t>参考生态环境部2021年6月发布的《排放源统计调查产排污核算方法和系数手册》中“4430 工业锅炉（热力生产和供应行业）产污系数表-生物质工业锅炉”及《排污许可证申请与核发技术规范 锅炉》（HJ953-2018）表F.4燃生物质工业锅炉的废气产排污系数表，燃成型生物质燃料（非散烧）的排污系数取值为SO</w:t>
            </w:r>
            <w:r>
              <w:rPr>
                <w:rFonts w:hint="eastAsia" w:ascii="Times New Roman" w:hAnsi="Times New Roman"/>
                <w:color w:val="auto"/>
                <w:sz w:val="24"/>
                <w:u w:val="single"/>
                <w:vertAlign w:val="subscript"/>
                <w:lang w:val="en-US" w:eastAsia="zh-CN"/>
              </w:rPr>
              <w:t>2</w:t>
            </w:r>
            <w:r>
              <w:rPr>
                <w:rFonts w:hint="eastAsia" w:ascii="Times New Roman" w:hAnsi="Times New Roman"/>
                <w:color w:val="auto"/>
                <w:sz w:val="24"/>
                <w:u w:val="single"/>
                <w:lang w:val="en-US" w:eastAsia="zh-CN"/>
              </w:rPr>
              <w:t>：0.17kg/t、NOx：1.02kg/t、颗粒物：0.5kg/t。</w:t>
            </w:r>
            <w:r>
              <w:rPr>
                <w:rFonts w:ascii="Times New Roman" w:hAnsi="Times New Roman"/>
                <w:color w:val="auto"/>
                <w:sz w:val="24"/>
                <w:u w:val="single"/>
              </w:rPr>
              <w:t>计算得出本项目生物质蒸汽</w:t>
            </w:r>
            <w:r>
              <w:rPr>
                <w:rFonts w:hint="eastAsia" w:ascii="Times New Roman" w:hAnsi="Times New Roman"/>
                <w:color w:val="auto"/>
                <w:sz w:val="24"/>
                <w:u w:val="single"/>
                <w:lang w:eastAsia="zh-CN"/>
              </w:rPr>
              <w:t>发生器</w:t>
            </w:r>
            <w:r>
              <w:rPr>
                <w:rFonts w:ascii="Times New Roman" w:hAnsi="Times New Roman"/>
                <w:color w:val="auto"/>
                <w:sz w:val="24"/>
                <w:u w:val="single"/>
              </w:rPr>
              <w:t>燃料废气各污染物产</w:t>
            </w:r>
            <w:r>
              <w:rPr>
                <w:rFonts w:hint="eastAsia" w:ascii="Times New Roman" w:hAnsi="Times New Roman"/>
                <w:color w:val="auto"/>
                <w:sz w:val="24"/>
                <w:u w:val="single"/>
                <w:lang w:eastAsia="zh-CN"/>
              </w:rPr>
              <w:t>排</w:t>
            </w:r>
            <w:r>
              <w:rPr>
                <w:rFonts w:ascii="Times New Roman" w:hAnsi="Times New Roman"/>
                <w:color w:val="auto"/>
                <w:sz w:val="24"/>
                <w:u w:val="single"/>
              </w:rPr>
              <w:t>情况见表</w:t>
            </w:r>
            <w:r>
              <w:rPr>
                <w:rFonts w:hint="eastAsia" w:ascii="Times New Roman" w:hAnsi="Times New Roman"/>
                <w:color w:val="auto"/>
                <w:sz w:val="24"/>
                <w:u w:val="single"/>
                <w:lang w:val="en-US" w:eastAsia="zh-CN"/>
              </w:rPr>
              <w:t>4-1</w:t>
            </w:r>
            <w:r>
              <w:rPr>
                <w:rFonts w:ascii="Times New Roman" w:hAnsi="Times New Roman"/>
                <w:color w:val="auto"/>
                <w:sz w:val="24"/>
                <w:u w:val="single"/>
              </w:rPr>
              <w:t>。</w:t>
            </w:r>
          </w:p>
          <w:p w14:paraId="6F4A07F9">
            <w:pPr>
              <w:pStyle w:val="169"/>
              <w:spacing w:line="360" w:lineRule="auto"/>
              <w:ind w:firstLine="0" w:firstLineChars="0"/>
              <w:jc w:val="center"/>
              <w:rPr>
                <w:rFonts w:ascii="Times New Roman" w:hAnsi="Times New Roman"/>
                <w:b/>
                <w:bCs/>
                <w:color w:val="auto"/>
                <w:u w:val="single"/>
              </w:rPr>
            </w:pPr>
            <w:r>
              <w:rPr>
                <w:rFonts w:ascii="Times New Roman" w:hAnsi="Times New Roman"/>
                <w:b/>
                <w:bCs/>
                <w:color w:val="auto"/>
                <w:u w:val="single"/>
              </w:rPr>
              <w:t>表</w:t>
            </w:r>
            <w:r>
              <w:rPr>
                <w:rFonts w:hint="eastAsia" w:ascii="Times New Roman" w:hAnsi="Times New Roman"/>
                <w:b/>
                <w:bCs/>
                <w:color w:val="auto"/>
                <w:u w:val="single"/>
                <w:lang w:val="en-US" w:eastAsia="zh-CN"/>
              </w:rPr>
              <w:t>4-1</w:t>
            </w:r>
            <w:r>
              <w:rPr>
                <w:rFonts w:ascii="Times New Roman" w:hAnsi="Times New Roman"/>
                <w:b/>
                <w:bCs/>
                <w:color w:val="auto"/>
                <w:u w:val="single"/>
              </w:rPr>
              <w:t xml:space="preserve">  生物质燃料</w:t>
            </w:r>
            <w:r>
              <w:rPr>
                <w:rFonts w:hint="eastAsia" w:ascii="Times New Roman" w:hAnsi="Times New Roman"/>
                <w:b/>
                <w:bCs/>
                <w:color w:val="auto"/>
                <w:u w:val="single"/>
                <w:lang w:eastAsia="zh-CN"/>
              </w:rPr>
              <w:t>蒸汽发生器燃烧</w:t>
            </w:r>
            <w:r>
              <w:rPr>
                <w:rFonts w:ascii="Times New Roman" w:hAnsi="Times New Roman"/>
                <w:b/>
                <w:bCs/>
                <w:color w:val="auto"/>
                <w:u w:val="single"/>
              </w:rPr>
              <w:t>废气产生一览表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2"/>
              <w:gridCol w:w="1708"/>
              <w:gridCol w:w="1317"/>
              <w:gridCol w:w="988"/>
              <w:gridCol w:w="1479"/>
              <w:gridCol w:w="1055"/>
              <w:gridCol w:w="1267"/>
            </w:tblGrid>
            <w:tr w14:paraId="33FC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9" w:type="dxa"/>
                  <w:vMerge w:val="restart"/>
                  <w:noWrap w:val="0"/>
                  <w:vAlign w:val="center"/>
                </w:tcPr>
                <w:p w14:paraId="194105B1">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燃料用量（t/a）</w:t>
                  </w:r>
                </w:p>
              </w:tc>
              <w:tc>
                <w:tcPr>
                  <w:tcW w:w="7709" w:type="dxa"/>
                  <w:gridSpan w:val="6"/>
                  <w:noWrap w:val="0"/>
                  <w:vAlign w:val="center"/>
                </w:tcPr>
                <w:p w14:paraId="11C7D04D">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污染物产生情况</w:t>
                  </w:r>
                </w:p>
              </w:tc>
            </w:tr>
            <w:tr w14:paraId="632F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9" w:type="dxa"/>
                  <w:vMerge w:val="continue"/>
                  <w:noWrap w:val="0"/>
                  <w:vAlign w:val="center"/>
                </w:tcPr>
                <w:p w14:paraId="6B878CB7">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single"/>
                    </w:rPr>
                  </w:pPr>
                </w:p>
              </w:tc>
              <w:tc>
                <w:tcPr>
                  <w:tcW w:w="1685" w:type="dxa"/>
                  <w:noWrap w:val="0"/>
                  <w:vAlign w:val="center"/>
                </w:tcPr>
                <w:p w14:paraId="24CE63E8">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废气产生系数（Nm</w:t>
                  </w:r>
                  <w:r>
                    <w:rPr>
                      <w:rFonts w:hint="default" w:ascii="Times New Roman" w:hAnsi="Times New Roman" w:cs="Times New Roman"/>
                      <w:b/>
                      <w:bCs/>
                      <w:color w:val="auto"/>
                      <w:sz w:val="21"/>
                      <w:szCs w:val="21"/>
                      <w:u w:val="single"/>
                      <w:vertAlign w:val="superscript"/>
                    </w:rPr>
                    <w:t>3</w:t>
                  </w:r>
                  <w:r>
                    <w:rPr>
                      <w:rFonts w:hint="default" w:ascii="Times New Roman" w:hAnsi="Times New Roman" w:cs="Times New Roman"/>
                      <w:b/>
                      <w:bCs/>
                      <w:color w:val="auto"/>
                      <w:sz w:val="21"/>
                      <w:szCs w:val="21"/>
                      <w:u w:val="single"/>
                    </w:rPr>
                    <w:t>/t-燃料）</w:t>
                  </w:r>
                </w:p>
              </w:tc>
              <w:tc>
                <w:tcPr>
                  <w:tcW w:w="1299" w:type="dxa"/>
                  <w:noWrap w:val="0"/>
                  <w:vAlign w:val="center"/>
                </w:tcPr>
                <w:p w14:paraId="513D423D">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废气产生量(Nm</w:t>
                  </w:r>
                  <w:r>
                    <w:rPr>
                      <w:rFonts w:hint="default" w:ascii="Times New Roman" w:hAnsi="Times New Roman" w:cs="Times New Roman"/>
                      <w:b/>
                      <w:bCs/>
                      <w:color w:val="auto"/>
                      <w:sz w:val="21"/>
                      <w:szCs w:val="21"/>
                      <w:u w:val="single"/>
                      <w:vertAlign w:val="superscript"/>
                    </w:rPr>
                    <w:t>3</w:t>
                  </w:r>
                  <w:r>
                    <w:rPr>
                      <w:rFonts w:hint="default" w:ascii="Times New Roman" w:hAnsi="Times New Roman" w:cs="Times New Roman"/>
                      <w:b/>
                      <w:bCs/>
                      <w:color w:val="auto"/>
                      <w:sz w:val="21"/>
                      <w:szCs w:val="21"/>
                      <w:u w:val="single"/>
                    </w:rPr>
                    <w:t>/a）</w:t>
                  </w:r>
                </w:p>
              </w:tc>
              <w:tc>
                <w:tcPr>
                  <w:tcW w:w="975" w:type="dxa"/>
                  <w:noWrap w:val="0"/>
                  <w:vAlign w:val="center"/>
                </w:tcPr>
                <w:p w14:paraId="248031C1">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主要污染因子</w:t>
                  </w:r>
                </w:p>
              </w:tc>
              <w:tc>
                <w:tcPr>
                  <w:tcW w:w="1459" w:type="dxa"/>
                  <w:noWrap w:val="0"/>
                  <w:vAlign w:val="center"/>
                </w:tcPr>
                <w:p w14:paraId="46D48AB5">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产污系数(kg/t-燃料）</w:t>
                  </w:r>
                </w:p>
              </w:tc>
              <w:tc>
                <w:tcPr>
                  <w:tcW w:w="1041" w:type="dxa"/>
                  <w:noWrap w:val="0"/>
                  <w:vAlign w:val="center"/>
                </w:tcPr>
                <w:p w14:paraId="16131FE2">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产生量（kg/a）</w:t>
                  </w:r>
                </w:p>
              </w:tc>
              <w:tc>
                <w:tcPr>
                  <w:tcW w:w="1250" w:type="dxa"/>
                  <w:noWrap w:val="0"/>
                  <w:vAlign w:val="center"/>
                </w:tcPr>
                <w:p w14:paraId="6F5A6192">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产生浓度（mg/m</w:t>
                  </w:r>
                  <w:r>
                    <w:rPr>
                      <w:rFonts w:hint="default" w:ascii="Times New Roman" w:hAnsi="Times New Roman" w:cs="Times New Roman"/>
                      <w:b/>
                      <w:bCs/>
                      <w:color w:val="auto"/>
                      <w:sz w:val="21"/>
                      <w:szCs w:val="21"/>
                      <w:u w:val="single"/>
                      <w:vertAlign w:val="superscript"/>
                    </w:rPr>
                    <w:t>3</w:t>
                  </w:r>
                  <w:r>
                    <w:rPr>
                      <w:rFonts w:hint="default" w:ascii="Times New Roman" w:hAnsi="Times New Roman" w:cs="Times New Roman"/>
                      <w:b/>
                      <w:bCs/>
                      <w:color w:val="auto"/>
                      <w:sz w:val="21"/>
                      <w:szCs w:val="21"/>
                      <w:u w:val="single"/>
                    </w:rPr>
                    <w:t>）</w:t>
                  </w:r>
                </w:p>
              </w:tc>
            </w:tr>
            <w:tr w14:paraId="5318E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9" w:type="dxa"/>
                  <w:vMerge w:val="restart"/>
                  <w:noWrap w:val="0"/>
                  <w:vAlign w:val="center"/>
                </w:tcPr>
                <w:p w14:paraId="6BF48B0C">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47.25</w:t>
                  </w:r>
                </w:p>
              </w:tc>
              <w:tc>
                <w:tcPr>
                  <w:tcW w:w="1685" w:type="dxa"/>
                  <w:vMerge w:val="restart"/>
                  <w:noWrap w:val="0"/>
                  <w:vAlign w:val="center"/>
                </w:tcPr>
                <w:p w14:paraId="371795D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6240.28</w:t>
                  </w:r>
                </w:p>
              </w:tc>
              <w:tc>
                <w:tcPr>
                  <w:tcW w:w="1299" w:type="dxa"/>
                  <w:vMerge w:val="restart"/>
                  <w:noWrap w:val="0"/>
                  <w:vAlign w:val="center"/>
                </w:tcPr>
                <w:p w14:paraId="75555E0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170047.63</w:t>
                  </w:r>
                </w:p>
              </w:tc>
              <w:tc>
                <w:tcPr>
                  <w:tcW w:w="975" w:type="dxa"/>
                  <w:noWrap w:val="0"/>
                  <w:vAlign w:val="center"/>
                </w:tcPr>
                <w:p w14:paraId="5D2D8BB0">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SO</w:t>
                  </w:r>
                  <w:r>
                    <w:rPr>
                      <w:rFonts w:hint="default" w:ascii="Times New Roman" w:hAnsi="Times New Roman" w:cs="Times New Roman"/>
                      <w:color w:val="auto"/>
                      <w:sz w:val="21"/>
                      <w:szCs w:val="21"/>
                      <w:u w:val="single"/>
                      <w:vertAlign w:val="subscript"/>
                    </w:rPr>
                    <w:t>2</w:t>
                  </w:r>
                </w:p>
              </w:tc>
              <w:tc>
                <w:tcPr>
                  <w:tcW w:w="1459" w:type="dxa"/>
                  <w:noWrap w:val="0"/>
                  <w:vAlign w:val="center"/>
                </w:tcPr>
                <w:p w14:paraId="37E13127">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0.17</w:t>
                  </w:r>
                </w:p>
              </w:tc>
              <w:tc>
                <w:tcPr>
                  <w:tcW w:w="1041" w:type="dxa"/>
                  <w:noWrap w:val="0"/>
                  <w:vAlign w:val="center"/>
                </w:tcPr>
                <w:p w14:paraId="2E1725B2">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8.034</w:t>
                  </w:r>
                </w:p>
              </w:tc>
              <w:tc>
                <w:tcPr>
                  <w:tcW w:w="1250" w:type="dxa"/>
                  <w:noWrap w:val="0"/>
                  <w:vAlign w:val="center"/>
                </w:tcPr>
                <w:p w14:paraId="7F4000E7">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eastAsia" w:ascii="Times New Roman" w:hAnsi="Times New Roman" w:cs="Times New Roman"/>
                      <w:color w:val="auto"/>
                      <w:sz w:val="21"/>
                      <w:szCs w:val="21"/>
                      <w:u w:val="single"/>
                      <w:lang w:val="en-US" w:eastAsia="zh-CN"/>
                    </w:rPr>
                    <w:t>22.3167</w:t>
                  </w:r>
                </w:p>
              </w:tc>
            </w:tr>
            <w:tr w14:paraId="314C4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9" w:type="dxa"/>
                  <w:vMerge w:val="continue"/>
                  <w:noWrap w:val="0"/>
                  <w:vAlign w:val="center"/>
                </w:tcPr>
                <w:p w14:paraId="127BE762">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p>
              </w:tc>
              <w:tc>
                <w:tcPr>
                  <w:tcW w:w="1685" w:type="dxa"/>
                  <w:vMerge w:val="continue"/>
                  <w:noWrap w:val="0"/>
                  <w:vAlign w:val="center"/>
                </w:tcPr>
                <w:p w14:paraId="0E7A1B9B">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p>
              </w:tc>
              <w:tc>
                <w:tcPr>
                  <w:tcW w:w="1299" w:type="dxa"/>
                  <w:vMerge w:val="continue"/>
                  <w:noWrap w:val="0"/>
                  <w:vAlign w:val="center"/>
                </w:tcPr>
                <w:p w14:paraId="68E92E0B">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p>
              </w:tc>
              <w:tc>
                <w:tcPr>
                  <w:tcW w:w="975" w:type="dxa"/>
                  <w:noWrap w:val="0"/>
                  <w:vAlign w:val="center"/>
                </w:tcPr>
                <w:p w14:paraId="488F9358">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NO</w:t>
                  </w:r>
                  <w:r>
                    <w:rPr>
                      <w:rFonts w:hint="default" w:ascii="Times New Roman" w:hAnsi="Times New Roman" w:cs="Times New Roman"/>
                      <w:color w:val="auto"/>
                      <w:sz w:val="21"/>
                      <w:szCs w:val="21"/>
                      <w:u w:val="single"/>
                      <w:vertAlign w:val="subscript"/>
                    </w:rPr>
                    <w:t>X</w:t>
                  </w:r>
                </w:p>
              </w:tc>
              <w:tc>
                <w:tcPr>
                  <w:tcW w:w="1459" w:type="dxa"/>
                  <w:noWrap w:val="0"/>
                  <w:vAlign w:val="center"/>
                </w:tcPr>
                <w:p w14:paraId="76A282F0">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1.02</w:t>
                  </w:r>
                </w:p>
              </w:tc>
              <w:tc>
                <w:tcPr>
                  <w:tcW w:w="1041" w:type="dxa"/>
                  <w:noWrap w:val="0"/>
                  <w:vAlign w:val="center"/>
                </w:tcPr>
                <w:p w14:paraId="52EF4528">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48.195</w:t>
                  </w:r>
                </w:p>
              </w:tc>
              <w:tc>
                <w:tcPr>
                  <w:tcW w:w="1250" w:type="dxa"/>
                  <w:noWrap w:val="0"/>
                  <w:vAlign w:val="center"/>
                </w:tcPr>
                <w:p w14:paraId="2543DBA0">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eastAsia" w:ascii="Times New Roman" w:hAnsi="Times New Roman" w:cs="Times New Roman"/>
                      <w:color w:val="auto"/>
                      <w:sz w:val="21"/>
                      <w:szCs w:val="21"/>
                      <w:u w:val="single"/>
                      <w:lang w:val="en-US" w:eastAsia="zh-CN"/>
                    </w:rPr>
                    <w:t>133.875</w:t>
                  </w:r>
                </w:p>
              </w:tc>
            </w:tr>
            <w:tr w14:paraId="55DD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9" w:type="dxa"/>
                  <w:vMerge w:val="continue"/>
                  <w:noWrap w:val="0"/>
                  <w:vAlign w:val="center"/>
                </w:tcPr>
                <w:p w14:paraId="3C7024B1">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p>
              </w:tc>
              <w:tc>
                <w:tcPr>
                  <w:tcW w:w="1685" w:type="dxa"/>
                  <w:vMerge w:val="continue"/>
                  <w:noWrap w:val="0"/>
                  <w:vAlign w:val="center"/>
                </w:tcPr>
                <w:p w14:paraId="6A40BD21">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p>
              </w:tc>
              <w:tc>
                <w:tcPr>
                  <w:tcW w:w="1299" w:type="dxa"/>
                  <w:vMerge w:val="continue"/>
                  <w:noWrap w:val="0"/>
                  <w:vAlign w:val="center"/>
                </w:tcPr>
                <w:p w14:paraId="74AF2ADC">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p>
              </w:tc>
              <w:tc>
                <w:tcPr>
                  <w:tcW w:w="975" w:type="dxa"/>
                  <w:noWrap w:val="0"/>
                  <w:vAlign w:val="center"/>
                </w:tcPr>
                <w:p w14:paraId="08377425">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烟尘</w:t>
                  </w:r>
                </w:p>
              </w:tc>
              <w:tc>
                <w:tcPr>
                  <w:tcW w:w="1459" w:type="dxa"/>
                  <w:noWrap w:val="0"/>
                  <w:vAlign w:val="center"/>
                </w:tcPr>
                <w:p w14:paraId="1DF6C6FE">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0.5</w:t>
                  </w:r>
                </w:p>
              </w:tc>
              <w:tc>
                <w:tcPr>
                  <w:tcW w:w="1041" w:type="dxa"/>
                  <w:noWrap w:val="0"/>
                  <w:vAlign w:val="center"/>
                </w:tcPr>
                <w:p w14:paraId="7192327B">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23.625</w:t>
                  </w:r>
                </w:p>
              </w:tc>
              <w:tc>
                <w:tcPr>
                  <w:tcW w:w="1250" w:type="dxa"/>
                  <w:noWrap w:val="0"/>
                  <w:vAlign w:val="center"/>
                </w:tcPr>
                <w:p w14:paraId="77BABA7A">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eastAsia" w:ascii="Times New Roman" w:hAnsi="Times New Roman" w:cs="Times New Roman"/>
                      <w:color w:val="auto"/>
                      <w:sz w:val="21"/>
                      <w:szCs w:val="21"/>
                      <w:u w:val="single"/>
                      <w:lang w:val="en-US" w:eastAsia="zh-CN"/>
                    </w:rPr>
                    <w:t>65.625</w:t>
                  </w:r>
                </w:p>
              </w:tc>
            </w:tr>
            <w:tr w14:paraId="5379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8" w:type="dxa"/>
                  <w:gridSpan w:val="7"/>
                  <w:noWrap w:val="0"/>
                  <w:vAlign w:val="center"/>
                </w:tcPr>
                <w:p w14:paraId="0E534D7F">
                  <w:pPr>
                    <w:pStyle w:val="169"/>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*注：成型生物质的含硫量以0.02%计，即S=0.02</w:t>
                  </w:r>
                </w:p>
              </w:tc>
            </w:tr>
          </w:tbl>
          <w:p w14:paraId="5555EAFE">
            <w:pPr>
              <w:spacing w:line="360" w:lineRule="auto"/>
              <w:ind w:firstLine="480" w:firstLineChars="200"/>
              <w:rPr>
                <w:rFonts w:hint="eastAsia" w:eastAsia="宋体"/>
                <w:sz w:val="24"/>
                <w:u w:val="single"/>
                <w:lang w:eastAsia="zh-CN"/>
              </w:rPr>
            </w:pPr>
            <w:r>
              <w:rPr>
                <w:rFonts w:hint="eastAsia"/>
                <w:sz w:val="24"/>
                <w:u w:val="single"/>
                <w:lang w:eastAsia="zh-CN"/>
              </w:rPr>
              <w:t>参照</w:t>
            </w:r>
            <w:r>
              <w:rPr>
                <w:rFonts w:hint="eastAsia"/>
                <w:sz w:val="24"/>
                <w:u w:val="single"/>
                <w:lang w:val="en-US" w:eastAsia="zh-CN"/>
              </w:rPr>
              <w:t>《排放源统计调查产排污核算方法和系数手册》中</w:t>
            </w:r>
            <w:r>
              <w:rPr>
                <w:rFonts w:hint="eastAsia"/>
                <w:sz w:val="24"/>
                <w:u w:val="single"/>
              </w:rPr>
              <w:t>“</w:t>
            </w:r>
            <w:r>
              <w:rPr>
                <w:sz w:val="24"/>
                <w:u w:val="single"/>
              </w:rPr>
              <w:t xml:space="preserve">4430 </w:t>
            </w:r>
            <w:r>
              <w:rPr>
                <w:rFonts w:hint="eastAsia"/>
                <w:sz w:val="24"/>
                <w:u w:val="single"/>
              </w:rPr>
              <w:t>工业锅炉（热力生产和供应行业）产污系数表</w:t>
            </w:r>
            <w:r>
              <w:rPr>
                <w:sz w:val="24"/>
                <w:u w:val="single"/>
              </w:rPr>
              <w:t>-</w:t>
            </w:r>
            <w:r>
              <w:rPr>
                <w:rFonts w:hint="eastAsia"/>
                <w:sz w:val="24"/>
                <w:u w:val="single"/>
              </w:rPr>
              <w:t>生物质工业锅炉</w:t>
            </w:r>
            <w:r>
              <w:rPr>
                <w:sz w:val="24"/>
                <w:u w:val="single"/>
              </w:rPr>
              <w:t>，采用</w:t>
            </w:r>
            <w:r>
              <w:rPr>
                <w:rFonts w:hint="eastAsia"/>
                <w:sz w:val="24"/>
                <w:u w:val="single"/>
                <w:lang w:eastAsia="zh-CN"/>
              </w:rPr>
              <w:t>布袋</w:t>
            </w:r>
            <w:r>
              <w:rPr>
                <w:rFonts w:hint="eastAsia"/>
                <w:sz w:val="24"/>
                <w:u w:val="single"/>
              </w:rPr>
              <w:t>除尘</w:t>
            </w:r>
            <w:r>
              <w:rPr>
                <w:sz w:val="24"/>
                <w:u w:val="single"/>
              </w:rPr>
              <w:t>，</w:t>
            </w:r>
            <w:r>
              <w:rPr>
                <w:rFonts w:hint="eastAsia"/>
                <w:sz w:val="24"/>
                <w:u w:val="single"/>
              </w:rPr>
              <w:t>颗粒物</w:t>
            </w:r>
            <w:r>
              <w:rPr>
                <w:sz w:val="24"/>
                <w:u w:val="single"/>
              </w:rPr>
              <w:t>的处理效</w:t>
            </w:r>
            <w:r>
              <w:rPr>
                <w:rFonts w:hint="default" w:ascii="Times New Roman" w:hAnsi="Times New Roman" w:cs="Times New Roman"/>
                <w:sz w:val="24"/>
                <w:u w:val="single"/>
              </w:rPr>
              <w:t>率为</w:t>
            </w:r>
            <w:r>
              <w:rPr>
                <w:rFonts w:hint="default" w:ascii="Times New Roman" w:hAnsi="Times New Roman" w:cs="Times New Roman"/>
                <w:sz w:val="24"/>
                <w:u w:val="single"/>
                <w:lang w:val="en-US" w:eastAsia="zh-CN"/>
              </w:rPr>
              <w:t>99.7</w:t>
            </w:r>
            <w:r>
              <w:rPr>
                <w:rFonts w:hint="default" w:ascii="Times New Roman" w:hAnsi="Times New Roman" w:cs="Times New Roman"/>
                <w:sz w:val="24"/>
                <w:u w:val="single"/>
              </w:rPr>
              <w:t>%</w:t>
            </w:r>
            <w:r>
              <w:rPr>
                <w:rFonts w:hint="eastAsia" w:ascii="Times New Roman" w:hAnsi="Times New Roman" w:cs="Times New Roman"/>
                <w:sz w:val="24"/>
                <w:u w:val="single"/>
                <w:lang w:eastAsia="zh-CN"/>
              </w:rPr>
              <w:t>，风机设计最小风量为</w:t>
            </w:r>
            <w:r>
              <w:rPr>
                <w:rFonts w:hint="eastAsia" w:ascii="Times New Roman" w:hAnsi="Times New Roman" w:cs="Times New Roman"/>
                <w:sz w:val="24"/>
                <w:u w:val="single"/>
                <w:lang w:val="en-US" w:eastAsia="zh-CN"/>
              </w:rPr>
              <w:t>50</w:t>
            </w:r>
            <w:r>
              <w:rPr>
                <w:rFonts w:hint="eastAsia" w:ascii="Times New Roman" w:hAnsi="Times New Roman" w:cs="Times New Roman"/>
                <w:b w:val="0"/>
                <w:bCs w:val="0"/>
                <w:sz w:val="24"/>
                <w:szCs w:val="24"/>
                <w:u w:val="single"/>
                <w:lang w:val="en-US" w:eastAsia="zh-CN"/>
              </w:rPr>
              <w:t>0</w:t>
            </w:r>
            <w:r>
              <w:rPr>
                <w:rFonts w:hint="default" w:ascii="Times New Roman" w:hAnsi="Times New Roman" w:cs="Times New Roman"/>
                <w:b w:val="0"/>
                <w:bCs w:val="0"/>
                <w:sz w:val="24"/>
                <w:szCs w:val="24"/>
                <w:u w:val="single"/>
              </w:rPr>
              <w:t>m</w:t>
            </w:r>
            <w:r>
              <w:rPr>
                <w:rFonts w:hint="default" w:ascii="Times New Roman" w:hAnsi="Times New Roman" w:cs="Times New Roman"/>
                <w:b w:val="0"/>
                <w:bCs w:val="0"/>
                <w:sz w:val="24"/>
                <w:szCs w:val="24"/>
                <w:u w:val="single"/>
                <w:vertAlign w:val="superscript"/>
              </w:rPr>
              <w:t>3</w:t>
            </w:r>
            <w:r>
              <w:rPr>
                <w:rFonts w:hint="default" w:ascii="Times New Roman" w:hAnsi="Times New Roman" w:cs="Times New Roman"/>
                <w:b w:val="0"/>
                <w:bCs w:val="0"/>
                <w:sz w:val="24"/>
                <w:szCs w:val="24"/>
                <w:u w:val="single"/>
              </w:rPr>
              <w:t>/</w:t>
            </w:r>
            <w:r>
              <w:rPr>
                <w:rFonts w:hint="eastAsia" w:ascii="Times New Roman" w:hAnsi="Times New Roman" w:cs="Times New Roman"/>
                <w:b w:val="0"/>
                <w:bCs w:val="0"/>
                <w:sz w:val="24"/>
                <w:szCs w:val="24"/>
                <w:u w:val="single"/>
                <w:lang w:val="en-US" w:eastAsia="zh-CN"/>
              </w:rPr>
              <w:t>h</w:t>
            </w:r>
            <w:r>
              <w:rPr>
                <w:rFonts w:hint="default" w:ascii="Times New Roman" w:hAnsi="Times New Roman" w:cs="Times New Roman"/>
                <w:sz w:val="24"/>
                <w:u w:val="single"/>
              </w:rPr>
              <w:t>。则本</w:t>
            </w:r>
            <w:r>
              <w:rPr>
                <w:sz w:val="24"/>
                <w:u w:val="single"/>
              </w:rPr>
              <w:t>项目</w:t>
            </w:r>
            <w:r>
              <w:rPr>
                <w:rFonts w:hint="eastAsia"/>
                <w:sz w:val="24"/>
                <w:u w:val="single"/>
                <w:lang w:eastAsia="zh-CN"/>
              </w:rPr>
              <w:t>燃烧</w:t>
            </w:r>
            <w:r>
              <w:rPr>
                <w:sz w:val="24"/>
                <w:u w:val="single"/>
              </w:rPr>
              <w:t>废气产生及排放情况详见下表</w:t>
            </w:r>
            <w:r>
              <w:rPr>
                <w:rFonts w:hint="eastAsia"/>
                <w:sz w:val="24"/>
                <w:u w:val="single"/>
                <w:lang w:eastAsia="zh-CN"/>
              </w:rPr>
              <w:t>。</w:t>
            </w:r>
          </w:p>
          <w:p w14:paraId="3166B0A4">
            <w:pPr>
              <w:pStyle w:val="169"/>
              <w:spacing w:line="360" w:lineRule="auto"/>
              <w:ind w:firstLine="0" w:firstLineChars="0"/>
              <w:jc w:val="center"/>
              <w:rPr>
                <w:rFonts w:hint="eastAsia" w:ascii="Times New Roman" w:hAnsi="Times New Roman" w:eastAsia="宋体" w:cs="Times New Roman"/>
                <w:b/>
                <w:bCs/>
                <w:color w:val="auto"/>
                <w:u w:val="single"/>
              </w:rPr>
            </w:pPr>
            <w:r>
              <w:rPr>
                <w:rFonts w:hint="eastAsia" w:ascii="Times New Roman" w:hAnsi="Times New Roman" w:eastAsia="宋体" w:cs="Times New Roman"/>
                <w:b/>
                <w:bCs/>
                <w:color w:val="auto"/>
                <w:u w:val="single"/>
              </w:rPr>
              <w:t>表4-2 本项目有组织废气产生及排放情况一览表</w:t>
            </w:r>
          </w:p>
          <w:tbl>
            <w:tblPr>
              <w:tblStyle w:val="3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8"/>
              <w:gridCol w:w="949"/>
              <w:gridCol w:w="761"/>
              <w:gridCol w:w="1037"/>
              <w:gridCol w:w="1037"/>
              <w:gridCol w:w="873"/>
              <w:gridCol w:w="1409"/>
              <w:gridCol w:w="1414"/>
              <w:gridCol w:w="688"/>
            </w:tblGrid>
            <w:tr w14:paraId="16BFA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383" w:type="pct"/>
                  <w:vMerge w:val="restart"/>
                  <w:noWrap w:val="0"/>
                  <w:tcMar>
                    <w:left w:w="28" w:type="dxa"/>
                    <w:right w:w="28" w:type="dxa"/>
                  </w:tcMar>
                  <w:vAlign w:val="center"/>
                </w:tcPr>
                <w:p w14:paraId="54B9A8E7">
                  <w:pPr>
                    <w:pStyle w:val="33"/>
                    <w:keepNext w:val="0"/>
                    <w:keepLines w:val="0"/>
                    <w:pageBreakBefore w:val="0"/>
                    <w:numPr>
                      <w:ilvl w:val="0"/>
                      <w:numId w:val="0"/>
                    </w:numPr>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污染源</w:t>
                  </w:r>
                </w:p>
              </w:tc>
              <w:tc>
                <w:tcPr>
                  <w:tcW w:w="536" w:type="pct"/>
                  <w:vMerge w:val="restart"/>
                  <w:noWrap w:val="0"/>
                  <w:tcMar>
                    <w:left w:w="28" w:type="dxa"/>
                    <w:right w:w="28" w:type="dxa"/>
                  </w:tcMar>
                  <w:vAlign w:val="center"/>
                </w:tcPr>
                <w:p w14:paraId="48489071">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排气筒废气量</w:t>
                  </w:r>
                </w:p>
                <w:p w14:paraId="710AC854">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m</w:t>
                  </w:r>
                  <w:r>
                    <w:rPr>
                      <w:rFonts w:hint="default" w:ascii="Times New Roman" w:hAnsi="Times New Roman" w:cs="Times New Roman"/>
                      <w:b/>
                      <w:bCs/>
                      <w:sz w:val="21"/>
                      <w:szCs w:val="21"/>
                      <w:u w:val="single"/>
                      <w:vertAlign w:val="superscript"/>
                    </w:rPr>
                    <w:t>3</w:t>
                  </w:r>
                  <w:r>
                    <w:rPr>
                      <w:rFonts w:hint="default" w:ascii="Times New Roman" w:hAnsi="Times New Roman" w:cs="Times New Roman"/>
                      <w:b/>
                      <w:bCs/>
                      <w:sz w:val="21"/>
                      <w:szCs w:val="21"/>
                      <w:u w:val="single"/>
                    </w:rPr>
                    <w:t>/a</w:t>
                  </w:r>
                </w:p>
              </w:tc>
              <w:tc>
                <w:tcPr>
                  <w:tcW w:w="430" w:type="pct"/>
                  <w:vMerge w:val="restart"/>
                  <w:noWrap w:val="0"/>
                  <w:tcMar>
                    <w:left w:w="28" w:type="dxa"/>
                    <w:right w:w="28" w:type="dxa"/>
                  </w:tcMar>
                  <w:vAlign w:val="center"/>
                </w:tcPr>
                <w:p w14:paraId="22151917">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污染</w:t>
                  </w:r>
                </w:p>
                <w:p w14:paraId="329022E2">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物名称</w:t>
                  </w:r>
                </w:p>
              </w:tc>
              <w:tc>
                <w:tcPr>
                  <w:tcW w:w="1172" w:type="pct"/>
                  <w:gridSpan w:val="2"/>
                  <w:noWrap w:val="0"/>
                  <w:tcMar>
                    <w:left w:w="28" w:type="dxa"/>
                    <w:right w:w="28" w:type="dxa"/>
                  </w:tcMar>
                  <w:vAlign w:val="center"/>
                </w:tcPr>
                <w:p w14:paraId="469F5C27">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产生状况</w:t>
                  </w:r>
                </w:p>
              </w:tc>
              <w:tc>
                <w:tcPr>
                  <w:tcW w:w="493" w:type="pct"/>
                  <w:vMerge w:val="restart"/>
                  <w:noWrap w:val="0"/>
                  <w:tcMar>
                    <w:left w:w="28" w:type="dxa"/>
                    <w:right w:w="28" w:type="dxa"/>
                  </w:tcMar>
                  <w:vAlign w:val="center"/>
                </w:tcPr>
                <w:p w14:paraId="15255E0A">
                  <w:pPr>
                    <w:pStyle w:val="33"/>
                    <w:keepNext w:val="0"/>
                    <w:keepLines w:val="0"/>
                    <w:pageBreakBefore w:val="0"/>
                    <w:numPr>
                      <w:ilvl w:val="0"/>
                      <w:numId w:val="0"/>
                    </w:numPr>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治理措施处理效率</w:t>
                  </w:r>
                </w:p>
              </w:tc>
              <w:tc>
                <w:tcPr>
                  <w:tcW w:w="1595" w:type="pct"/>
                  <w:gridSpan w:val="2"/>
                  <w:noWrap w:val="0"/>
                  <w:tcMar>
                    <w:left w:w="28" w:type="dxa"/>
                    <w:right w:w="28" w:type="dxa"/>
                  </w:tcMar>
                  <w:vAlign w:val="center"/>
                </w:tcPr>
                <w:p w14:paraId="1F430BB2">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排放状况</w:t>
                  </w:r>
                </w:p>
              </w:tc>
              <w:tc>
                <w:tcPr>
                  <w:tcW w:w="388" w:type="pct"/>
                  <w:vMerge w:val="restart"/>
                  <w:noWrap w:val="0"/>
                  <w:tcMar>
                    <w:left w:w="28" w:type="dxa"/>
                    <w:right w:w="28" w:type="dxa"/>
                  </w:tcMar>
                  <w:vAlign w:val="center"/>
                </w:tcPr>
                <w:p w14:paraId="0009119E">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排放</w:t>
                  </w:r>
                </w:p>
                <w:p w14:paraId="10315040">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b/>
                      <w:bCs/>
                      <w:sz w:val="21"/>
                      <w:szCs w:val="21"/>
                      <w:u w:val="single"/>
                    </w:rPr>
                    <w:t>方式</w:t>
                  </w:r>
                </w:p>
              </w:tc>
            </w:tr>
            <w:tr w14:paraId="46EA20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383" w:type="pct"/>
                  <w:vMerge w:val="continue"/>
                  <w:noWrap w:val="0"/>
                  <w:tcMar>
                    <w:left w:w="28" w:type="dxa"/>
                    <w:right w:w="28" w:type="dxa"/>
                  </w:tcMar>
                  <w:vAlign w:val="center"/>
                </w:tcPr>
                <w:p w14:paraId="1490263D">
                  <w:pPr>
                    <w:pStyle w:val="33"/>
                    <w:keepNext w:val="0"/>
                    <w:keepLines w:val="0"/>
                    <w:pageBreakBefore w:val="0"/>
                    <w:numPr>
                      <w:ilvl w:val="0"/>
                      <w:numId w:val="6"/>
                    </w:numPr>
                    <w:kinsoku/>
                    <w:wordWrap/>
                    <w:overflowPunct/>
                    <w:topLinePunct w:val="0"/>
                    <w:autoSpaceDE/>
                    <w:autoSpaceDN/>
                    <w:bidi w:val="0"/>
                    <w:adjustRightInd/>
                    <w:snapToGrid/>
                    <w:spacing w:before="0" w:after="0" w:line="240" w:lineRule="auto"/>
                    <w:ind w:left="0" w:firstLine="0"/>
                    <w:jc w:val="center"/>
                    <w:textAlignment w:val="auto"/>
                    <w:rPr>
                      <w:rFonts w:hint="default" w:ascii="Times New Roman" w:hAnsi="Times New Roman" w:cs="Times New Roman"/>
                      <w:b/>
                      <w:bCs/>
                      <w:sz w:val="21"/>
                      <w:szCs w:val="21"/>
                      <w:u w:val="single"/>
                    </w:rPr>
                  </w:pPr>
                </w:p>
              </w:tc>
              <w:tc>
                <w:tcPr>
                  <w:tcW w:w="536" w:type="pct"/>
                  <w:vMerge w:val="continue"/>
                  <w:noWrap w:val="0"/>
                  <w:tcMar>
                    <w:left w:w="28" w:type="dxa"/>
                    <w:right w:w="28" w:type="dxa"/>
                  </w:tcMar>
                  <w:vAlign w:val="center"/>
                </w:tcPr>
                <w:p w14:paraId="7B92A82A">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p>
              </w:tc>
              <w:tc>
                <w:tcPr>
                  <w:tcW w:w="430" w:type="pct"/>
                  <w:vMerge w:val="continue"/>
                  <w:noWrap w:val="0"/>
                  <w:tcMar>
                    <w:left w:w="28" w:type="dxa"/>
                    <w:right w:w="28" w:type="dxa"/>
                  </w:tcMar>
                  <w:vAlign w:val="center"/>
                </w:tcPr>
                <w:p w14:paraId="24BCB731">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p>
              </w:tc>
              <w:tc>
                <w:tcPr>
                  <w:tcW w:w="586" w:type="pct"/>
                  <w:noWrap w:val="0"/>
                  <w:tcMar>
                    <w:left w:w="28" w:type="dxa"/>
                    <w:right w:w="28" w:type="dxa"/>
                  </w:tcMar>
                  <w:vAlign w:val="center"/>
                </w:tcPr>
                <w:p w14:paraId="61303606">
                  <w:pPr>
                    <w:pStyle w:val="33"/>
                    <w:keepNext w:val="0"/>
                    <w:keepLines w:val="0"/>
                    <w:pageBreakBefore w:val="0"/>
                    <w:numPr>
                      <w:ilvl w:val="0"/>
                      <w:numId w:val="0"/>
                    </w:numPr>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浓度</w:t>
                  </w:r>
                </w:p>
                <w:p w14:paraId="2843CDC6">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mg/m</w:t>
                  </w:r>
                  <w:r>
                    <w:rPr>
                      <w:rFonts w:hint="default" w:ascii="Times New Roman" w:hAnsi="Times New Roman" w:cs="Times New Roman"/>
                      <w:b/>
                      <w:bCs/>
                      <w:sz w:val="21"/>
                      <w:szCs w:val="21"/>
                      <w:u w:val="single"/>
                      <w:vertAlign w:val="superscript"/>
                    </w:rPr>
                    <w:t>3</w:t>
                  </w:r>
                </w:p>
              </w:tc>
              <w:tc>
                <w:tcPr>
                  <w:tcW w:w="586" w:type="pct"/>
                  <w:noWrap w:val="0"/>
                  <w:tcMar>
                    <w:left w:w="28" w:type="dxa"/>
                    <w:right w:w="28" w:type="dxa"/>
                  </w:tcMar>
                  <w:vAlign w:val="center"/>
                </w:tcPr>
                <w:p w14:paraId="5D1B2A07">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年产生量</w:t>
                  </w:r>
                  <w:r>
                    <w:rPr>
                      <w:rFonts w:hint="eastAsia" w:ascii="Times New Roman" w:hAnsi="Times New Roman" w:cs="Times New Roman"/>
                      <w:b/>
                      <w:bCs/>
                      <w:sz w:val="21"/>
                      <w:szCs w:val="21"/>
                      <w:u w:val="single"/>
                      <w:lang w:val="en-US" w:eastAsia="zh-CN"/>
                    </w:rPr>
                    <w:t>kg</w:t>
                  </w:r>
                  <w:r>
                    <w:rPr>
                      <w:rFonts w:hint="default" w:ascii="Times New Roman" w:hAnsi="Times New Roman" w:cs="Times New Roman"/>
                      <w:b/>
                      <w:bCs/>
                      <w:sz w:val="21"/>
                      <w:szCs w:val="21"/>
                      <w:u w:val="single"/>
                    </w:rPr>
                    <w:t>/a</w:t>
                  </w:r>
                </w:p>
              </w:tc>
              <w:tc>
                <w:tcPr>
                  <w:tcW w:w="493" w:type="pct"/>
                  <w:vMerge w:val="continue"/>
                  <w:noWrap w:val="0"/>
                  <w:tcMar>
                    <w:left w:w="28" w:type="dxa"/>
                    <w:right w:w="28" w:type="dxa"/>
                  </w:tcMar>
                  <w:vAlign w:val="center"/>
                </w:tcPr>
                <w:p w14:paraId="5E65E948">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p>
              </w:tc>
              <w:tc>
                <w:tcPr>
                  <w:tcW w:w="796" w:type="pct"/>
                  <w:noWrap w:val="0"/>
                  <w:tcMar>
                    <w:left w:w="28" w:type="dxa"/>
                    <w:right w:w="28" w:type="dxa"/>
                  </w:tcMar>
                  <w:vAlign w:val="center"/>
                </w:tcPr>
                <w:p w14:paraId="3D349ECC">
                  <w:pPr>
                    <w:pStyle w:val="33"/>
                    <w:keepNext w:val="0"/>
                    <w:keepLines w:val="0"/>
                    <w:pageBreakBefore w:val="0"/>
                    <w:numPr>
                      <w:ilvl w:val="0"/>
                      <w:numId w:val="0"/>
                    </w:numPr>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浓度</w:t>
                  </w:r>
                </w:p>
                <w:p w14:paraId="235774A5">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mg/m</w:t>
                  </w:r>
                  <w:r>
                    <w:rPr>
                      <w:rFonts w:hint="default" w:ascii="Times New Roman" w:hAnsi="Times New Roman" w:cs="Times New Roman"/>
                      <w:b/>
                      <w:bCs/>
                      <w:sz w:val="21"/>
                      <w:szCs w:val="21"/>
                      <w:u w:val="single"/>
                      <w:vertAlign w:val="superscript"/>
                    </w:rPr>
                    <w:t>3</w:t>
                  </w:r>
                </w:p>
              </w:tc>
              <w:tc>
                <w:tcPr>
                  <w:tcW w:w="799" w:type="pct"/>
                  <w:noWrap w:val="0"/>
                  <w:tcMar>
                    <w:left w:w="28" w:type="dxa"/>
                    <w:right w:w="28" w:type="dxa"/>
                  </w:tcMar>
                  <w:vAlign w:val="center"/>
                </w:tcPr>
                <w:p w14:paraId="5E9C0372">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年排放量</w:t>
                  </w:r>
                  <w:r>
                    <w:rPr>
                      <w:rFonts w:hint="eastAsia" w:ascii="Times New Roman" w:hAnsi="Times New Roman" w:cs="Times New Roman"/>
                      <w:b/>
                      <w:bCs/>
                      <w:sz w:val="21"/>
                      <w:szCs w:val="21"/>
                      <w:u w:val="single"/>
                      <w:lang w:val="en-US" w:eastAsia="zh-CN"/>
                    </w:rPr>
                    <w:t>kg</w:t>
                  </w:r>
                  <w:r>
                    <w:rPr>
                      <w:rFonts w:hint="default" w:ascii="Times New Roman" w:hAnsi="Times New Roman" w:cs="Times New Roman"/>
                      <w:b/>
                      <w:bCs/>
                      <w:sz w:val="21"/>
                      <w:szCs w:val="21"/>
                      <w:u w:val="single"/>
                    </w:rPr>
                    <w:t>/a</w:t>
                  </w:r>
                </w:p>
              </w:tc>
              <w:tc>
                <w:tcPr>
                  <w:tcW w:w="388" w:type="pct"/>
                  <w:vMerge w:val="continue"/>
                  <w:noWrap w:val="0"/>
                  <w:tcMar>
                    <w:left w:w="28" w:type="dxa"/>
                    <w:right w:w="28" w:type="dxa"/>
                  </w:tcMar>
                  <w:vAlign w:val="center"/>
                </w:tcPr>
                <w:p w14:paraId="6AAF1CBB">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u w:val="single"/>
                    </w:rPr>
                  </w:pPr>
                </w:p>
              </w:tc>
            </w:tr>
            <w:tr w14:paraId="63E297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383" w:type="pct"/>
                  <w:vMerge w:val="restart"/>
                  <w:noWrap w:val="0"/>
                  <w:tcMar>
                    <w:left w:w="28" w:type="dxa"/>
                    <w:right w:w="28" w:type="dxa"/>
                  </w:tcMar>
                  <w:vAlign w:val="center"/>
                </w:tcPr>
                <w:p w14:paraId="1F0CDD10">
                  <w:pPr>
                    <w:pStyle w:val="170"/>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textAlignment w:val="auto"/>
                    <w:rPr>
                      <w:rFonts w:hint="default" w:ascii="Times New Roman" w:hAnsi="Times New Roman" w:eastAsia="宋体" w:cs="Times New Roman"/>
                      <w:kern w:val="2"/>
                      <w:sz w:val="21"/>
                      <w:szCs w:val="21"/>
                      <w:u w:val="single"/>
                    </w:rPr>
                  </w:pPr>
                  <w:r>
                    <w:rPr>
                      <w:rFonts w:hint="eastAsia" w:ascii="Times New Roman" w:hAnsi="Times New Roman" w:eastAsia="宋体" w:cs="Times New Roman"/>
                      <w:kern w:val="2"/>
                      <w:sz w:val="21"/>
                      <w:szCs w:val="21"/>
                      <w:u w:val="single"/>
                      <w:lang w:eastAsia="zh-CN"/>
                    </w:rPr>
                    <w:t>燃烧</w:t>
                  </w:r>
                  <w:r>
                    <w:rPr>
                      <w:rFonts w:hint="default" w:ascii="Times New Roman" w:hAnsi="Times New Roman" w:eastAsia="宋体" w:cs="Times New Roman"/>
                      <w:kern w:val="2"/>
                      <w:sz w:val="21"/>
                      <w:szCs w:val="21"/>
                      <w:u w:val="single"/>
                    </w:rPr>
                    <w:t>废气</w:t>
                  </w:r>
                </w:p>
              </w:tc>
              <w:tc>
                <w:tcPr>
                  <w:tcW w:w="536" w:type="pct"/>
                  <w:vMerge w:val="restart"/>
                  <w:noWrap w:val="0"/>
                  <w:tcMar>
                    <w:left w:w="28" w:type="dxa"/>
                    <w:right w:w="28" w:type="dxa"/>
                  </w:tcMar>
                  <w:vAlign w:val="center"/>
                </w:tcPr>
                <w:p w14:paraId="6E77597D">
                  <w:pPr>
                    <w:pStyle w:val="170"/>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textAlignment w:val="auto"/>
                    <w:rPr>
                      <w:rFonts w:hint="default" w:ascii="Times New Roman" w:hAnsi="Times New Roman" w:eastAsia="宋体" w:cs="Times New Roman"/>
                      <w:kern w:val="2"/>
                      <w:sz w:val="21"/>
                      <w:szCs w:val="21"/>
                      <w:u w:val="single"/>
                    </w:rPr>
                  </w:pPr>
                  <w:r>
                    <w:rPr>
                      <w:rFonts w:hint="default" w:ascii="Times New Roman" w:hAnsi="Times New Roman" w:eastAsia="宋体" w:cs="Times New Roman"/>
                      <w:kern w:val="2"/>
                      <w:sz w:val="21"/>
                      <w:szCs w:val="21"/>
                      <w:u w:val="single"/>
                      <w:lang w:val="en-US" w:eastAsia="zh-CN"/>
                    </w:rPr>
                    <w:t>170047.63</w:t>
                  </w:r>
                </w:p>
              </w:tc>
              <w:tc>
                <w:tcPr>
                  <w:tcW w:w="430" w:type="pct"/>
                  <w:noWrap w:val="0"/>
                  <w:tcMar>
                    <w:left w:w="28" w:type="dxa"/>
                    <w:right w:w="28" w:type="dxa"/>
                  </w:tcMar>
                  <w:vAlign w:val="center"/>
                </w:tcPr>
                <w:p w14:paraId="69F1899E">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二氧化硫</w:t>
                  </w:r>
                </w:p>
              </w:tc>
              <w:tc>
                <w:tcPr>
                  <w:tcW w:w="586" w:type="pct"/>
                  <w:noWrap w:val="0"/>
                  <w:tcMar>
                    <w:left w:w="28" w:type="dxa"/>
                    <w:right w:w="28" w:type="dxa"/>
                  </w:tcMar>
                  <w:vAlign w:val="center"/>
                </w:tcPr>
                <w:p w14:paraId="1645A320">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u w:val="single"/>
                    </w:rPr>
                  </w:pPr>
                  <w:r>
                    <w:rPr>
                      <w:rFonts w:hint="eastAsia" w:ascii="Times New Roman" w:hAnsi="Times New Roman" w:cs="Times New Roman"/>
                      <w:color w:val="auto"/>
                      <w:sz w:val="21"/>
                      <w:szCs w:val="21"/>
                      <w:u w:val="single"/>
                      <w:lang w:val="en-US" w:eastAsia="zh-CN"/>
                    </w:rPr>
                    <w:t>22.3167</w:t>
                  </w:r>
                </w:p>
              </w:tc>
              <w:tc>
                <w:tcPr>
                  <w:tcW w:w="586" w:type="pct"/>
                  <w:noWrap w:val="0"/>
                  <w:tcMar>
                    <w:left w:w="28" w:type="dxa"/>
                    <w:right w:w="28" w:type="dxa"/>
                  </w:tcMar>
                  <w:vAlign w:val="center"/>
                </w:tcPr>
                <w:p w14:paraId="3552370E">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u w:val="single"/>
                      <w:lang w:val="en-US" w:eastAsia="zh-CN"/>
                    </w:rPr>
                  </w:pPr>
                  <w:r>
                    <w:rPr>
                      <w:rFonts w:hint="eastAsia" w:ascii="Times New Roman" w:hAnsi="Times New Roman" w:cs="Times New Roman"/>
                      <w:color w:val="auto"/>
                      <w:sz w:val="21"/>
                      <w:szCs w:val="21"/>
                      <w:u w:val="single"/>
                      <w:lang w:val="en-US" w:eastAsia="zh-CN"/>
                    </w:rPr>
                    <w:t>8.034</w:t>
                  </w:r>
                </w:p>
              </w:tc>
              <w:tc>
                <w:tcPr>
                  <w:tcW w:w="493" w:type="pct"/>
                  <w:noWrap w:val="0"/>
                  <w:tcMar>
                    <w:left w:w="28" w:type="dxa"/>
                    <w:right w:w="28" w:type="dxa"/>
                  </w:tcMar>
                  <w:vAlign w:val="center"/>
                </w:tcPr>
                <w:p w14:paraId="57451F4E">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0</w:t>
                  </w:r>
                </w:p>
              </w:tc>
              <w:tc>
                <w:tcPr>
                  <w:tcW w:w="1409" w:type="dxa"/>
                  <w:noWrap w:val="0"/>
                  <w:tcMar>
                    <w:left w:w="28" w:type="dxa"/>
                    <w:right w:w="28" w:type="dxa"/>
                  </w:tcMar>
                  <w:vAlign w:val="center"/>
                </w:tcPr>
                <w:p w14:paraId="7EF6C72B">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u w:val="single"/>
                    </w:rPr>
                  </w:pPr>
                  <w:r>
                    <w:rPr>
                      <w:rFonts w:hint="eastAsia" w:ascii="Times New Roman" w:hAnsi="Times New Roman" w:cs="Times New Roman"/>
                      <w:color w:val="auto"/>
                      <w:sz w:val="21"/>
                      <w:szCs w:val="21"/>
                      <w:u w:val="single"/>
                      <w:lang w:val="en-US" w:eastAsia="zh-CN"/>
                    </w:rPr>
                    <w:t>22.3167</w:t>
                  </w:r>
                </w:p>
              </w:tc>
              <w:tc>
                <w:tcPr>
                  <w:tcW w:w="1414" w:type="dxa"/>
                  <w:noWrap w:val="0"/>
                  <w:tcMar>
                    <w:left w:w="28" w:type="dxa"/>
                    <w:right w:w="28" w:type="dxa"/>
                  </w:tcMar>
                  <w:vAlign w:val="center"/>
                </w:tcPr>
                <w:p w14:paraId="02EE1F71">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single"/>
                    </w:rPr>
                  </w:pPr>
                  <w:r>
                    <w:rPr>
                      <w:rFonts w:hint="eastAsia" w:ascii="Times New Roman" w:hAnsi="Times New Roman" w:cs="Times New Roman"/>
                      <w:color w:val="auto"/>
                      <w:sz w:val="21"/>
                      <w:szCs w:val="21"/>
                      <w:u w:val="single"/>
                      <w:lang w:val="en-US" w:eastAsia="zh-CN"/>
                    </w:rPr>
                    <w:t>8.034</w:t>
                  </w:r>
                </w:p>
              </w:tc>
              <w:tc>
                <w:tcPr>
                  <w:tcW w:w="388" w:type="pct"/>
                  <w:vMerge w:val="restart"/>
                  <w:noWrap w:val="0"/>
                  <w:tcMar>
                    <w:left w:w="28" w:type="dxa"/>
                    <w:right w:w="28" w:type="dxa"/>
                  </w:tcMar>
                  <w:vAlign w:val="center"/>
                </w:tcPr>
                <w:p w14:paraId="3D27C7DA">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u w:val="single"/>
                    </w:rPr>
                  </w:pPr>
                  <w:r>
                    <w:rPr>
                      <w:rFonts w:hint="eastAsia" w:ascii="Times New Roman" w:hAnsi="Times New Roman" w:cs="Times New Roman"/>
                      <w:sz w:val="21"/>
                      <w:szCs w:val="21"/>
                      <w:u w:val="single"/>
                      <w:lang w:val="en-US" w:eastAsia="zh-CN"/>
                    </w:rPr>
                    <w:t>15</w:t>
                  </w:r>
                  <w:r>
                    <w:rPr>
                      <w:rFonts w:hint="default" w:ascii="Times New Roman" w:hAnsi="Times New Roman" w:cs="Times New Roman"/>
                      <w:sz w:val="21"/>
                      <w:szCs w:val="21"/>
                      <w:u w:val="single"/>
                    </w:rPr>
                    <w:t>m高排气筒</w:t>
                  </w:r>
                </w:p>
                <w:p w14:paraId="15674339">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DA001</w:t>
                  </w:r>
                </w:p>
              </w:tc>
            </w:tr>
            <w:tr w14:paraId="3E6890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383" w:type="pct"/>
                  <w:vMerge w:val="continue"/>
                  <w:noWrap w:val="0"/>
                  <w:tcMar>
                    <w:left w:w="28" w:type="dxa"/>
                    <w:right w:w="28" w:type="dxa"/>
                  </w:tcMar>
                  <w:vAlign w:val="center"/>
                </w:tcPr>
                <w:p w14:paraId="5B6D60AA">
                  <w:pPr>
                    <w:pStyle w:val="170"/>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textAlignment w:val="auto"/>
                    <w:rPr>
                      <w:rFonts w:hint="default" w:ascii="Times New Roman" w:hAnsi="Times New Roman" w:eastAsia="宋体" w:cs="Times New Roman"/>
                      <w:kern w:val="2"/>
                      <w:sz w:val="21"/>
                      <w:szCs w:val="21"/>
                      <w:u w:val="single"/>
                    </w:rPr>
                  </w:pPr>
                </w:p>
              </w:tc>
              <w:tc>
                <w:tcPr>
                  <w:tcW w:w="536" w:type="pct"/>
                  <w:vMerge w:val="continue"/>
                  <w:noWrap w:val="0"/>
                  <w:tcMar>
                    <w:left w:w="28" w:type="dxa"/>
                    <w:right w:w="28" w:type="dxa"/>
                  </w:tcMar>
                  <w:vAlign w:val="center"/>
                </w:tcPr>
                <w:p w14:paraId="235CA823">
                  <w:pPr>
                    <w:pStyle w:val="170"/>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textAlignment w:val="auto"/>
                    <w:rPr>
                      <w:rFonts w:hint="default" w:ascii="Times New Roman" w:hAnsi="Times New Roman" w:eastAsia="宋体" w:cs="Times New Roman"/>
                      <w:kern w:val="2"/>
                      <w:sz w:val="21"/>
                      <w:szCs w:val="21"/>
                      <w:u w:val="single"/>
                    </w:rPr>
                  </w:pPr>
                </w:p>
              </w:tc>
              <w:tc>
                <w:tcPr>
                  <w:tcW w:w="430" w:type="pct"/>
                  <w:noWrap w:val="0"/>
                  <w:tcMar>
                    <w:left w:w="28" w:type="dxa"/>
                    <w:right w:w="28" w:type="dxa"/>
                  </w:tcMar>
                  <w:vAlign w:val="center"/>
                </w:tcPr>
                <w:p w14:paraId="3DC1AAB3">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氮氧化物</w:t>
                  </w:r>
                </w:p>
              </w:tc>
              <w:tc>
                <w:tcPr>
                  <w:tcW w:w="586" w:type="pct"/>
                  <w:noWrap w:val="0"/>
                  <w:tcMar>
                    <w:left w:w="28" w:type="dxa"/>
                    <w:right w:w="28" w:type="dxa"/>
                  </w:tcMar>
                  <w:vAlign w:val="center"/>
                </w:tcPr>
                <w:p w14:paraId="16DBE5E6">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u w:val="single"/>
                    </w:rPr>
                  </w:pPr>
                  <w:r>
                    <w:rPr>
                      <w:rFonts w:hint="eastAsia" w:ascii="Times New Roman" w:hAnsi="Times New Roman" w:cs="Times New Roman"/>
                      <w:color w:val="auto"/>
                      <w:sz w:val="21"/>
                      <w:szCs w:val="21"/>
                      <w:u w:val="single"/>
                      <w:lang w:val="en-US" w:eastAsia="zh-CN"/>
                    </w:rPr>
                    <w:t>133.875</w:t>
                  </w:r>
                </w:p>
              </w:tc>
              <w:tc>
                <w:tcPr>
                  <w:tcW w:w="586" w:type="pct"/>
                  <w:noWrap w:val="0"/>
                  <w:tcMar>
                    <w:left w:w="28" w:type="dxa"/>
                    <w:right w:w="28" w:type="dxa"/>
                  </w:tcMar>
                  <w:vAlign w:val="center"/>
                </w:tcPr>
                <w:p w14:paraId="0DBDD41F">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u w:val="single"/>
                      <w:lang w:val="en-US" w:eastAsia="zh-CN"/>
                    </w:rPr>
                  </w:pPr>
                  <w:r>
                    <w:rPr>
                      <w:rFonts w:hint="eastAsia" w:ascii="Times New Roman" w:hAnsi="Times New Roman" w:cs="Times New Roman"/>
                      <w:color w:val="auto"/>
                      <w:sz w:val="21"/>
                      <w:szCs w:val="21"/>
                      <w:u w:val="single"/>
                      <w:lang w:val="en-US" w:eastAsia="zh-CN"/>
                    </w:rPr>
                    <w:t>48.195</w:t>
                  </w:r>
                </w:p>
              </w:tc>
              <w:tc>
                <w:tcPr>
                  <w:tcW w:w="493" w:type="pct"/>
                  <w:noWrap w:val="0"/>
                  <w:tcMar>
                    <w:left w:w="28" w:type="dxa"/>
                    <w:right w:w="28" w:type="dxa"/>
                  </w:tcMar>
                  <w:vAlign w:val="center"/>
                </w:tcPr>
                <w:p w14:paraId="073AD35D">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0</w:t>
                  </w:r>
                </w:p>
              </w:tc>
              <w:tc>
                <w:tcPr>
                  <w:tcW w:w="1409" w:type="dxa"/>
                  <w:noWrap w:val="0"/>
                  <w:tcMar>
                    <w:left w:w="28" w:type="dxa"/>
                    <w:right w:w="28" w:type="dxa"/>
                  </w:tcMar>
                  <w:vAlign w:val="center"/>
                </w:tcPr>
                <w:p w14:paraId="1E165FE1">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u w:val="single"/>
                    </w:rPr>
                  </w:pPr>
                  <w:r>
                    <w:rPr>
                      <w:rFonts w:hint="eastAsia" w:ascii="Times New Roman" w:hAnsi="Times New Roman" w:cs="Times New Roman"/>
                      <w:color w:val="auto"/>
                      <w:sz w:val="21"/>
                      <w:szCs w:val="21"/>
                      <w:u w:val="single"/>
                      <w:lang w:val="en-US" w:eastAsia="zh-CN"/>
                    </w:rPr>
                    <w:t>133.875</w:t>
                  </w:r>
                </w:p>
              </w:tc>
              <w:tc>
                <w:tcPr>
                  <w:tcW w:w="1414" w:type="dxa"/>
                  <w:noWrap w:val="0"/>
                  <w:tcMar>
                    <w:left w:w="28" w:type="dxa"/>
                    <w:right w:w="28" w:type="dxa"/>
                  </w:tcMar>
                  <w:vAlign w:val="center"/>
                </w:tcPr>
                <w:p w14:paraId="4E368802">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single"/>
                    </w:rPr>
                  </w:pPr>
                  <w:r>
                    <w:rPr>
                      <w:rFonts w:hint="eastAsia" w:ascii="Times New Roman" w:hAnsi="Times New Roman" w:cs="Times New Roman"/>
                      <w:color w:val="auto"/>
                      <w:sz w:val="21"/>
                      <w:szCs w:val="21"/>
                      <w:u w:val="single"/>
                      <w:lang w:val="en-US" w:eastAsia="zh-CN"/>
                    </w:rPr>
                    <w:t>48.195</w:t>
                  </w:r>
                </w:p>
              </w:tc>
              <w:tc>
                <w:tcPr>
                  <w:tcW w:w="388" w:type="pct"/>
                  <w:vMerge w:val="continue"/>
                  <w:noWrap w:val="0"/>
                  <w:tcMar>
                    <w:left w:w="28" w:type="dxa"/>
                    <w:right w:w="28" w:type="dxa"/>
                  </w:tcMar>
                  <w:vAlign w:val="center"/>
                </w:tcPr>
                <w:p w14:paraId="774D83C3">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u w:val="single"/>
                    </w:rPr>
                  </w:pPr>
                </w:p>
              </w:tc>
            </w:tr>
            <w:tr w14:paraId="3400C6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383" w:type="pct"/>
                  <w:vMerge w:val="continue"/>
                  <w:noWrap w:val="0"/>
                  <w:tcMar>
                    <w:left w:w="28" w:type="dxa"/>
                    <w:right w:w="28" w:type="dxa"/>
                  </w:tcMar>
                  <w:vAlign w:val="center"/>
                </w:tcPr>
                <w:p w14:paraId="3C71F7C6">
                  <w:pPr>
                    <w:pStyle w:val="170"/>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textAlignment w:val="auto"/>
                    <w:rPr>
                      <w:rFonts w:hint="default" w:ascii="Times New Roman" w:hAnsi="Times New Roman" w:eastAsia="宋体" w:cs="Times New Roman"/>
                      <w:kern w:val="2"/>
                      <w:sz w:val="21"/>
                      <w:szCs w:val="21"/>
                      <w:u w:val="single"/>
                    </w:rPr>
                  </w:pPr>
                </w:p>
              </w:tc>
              <w:tc>
                <w:tcPr>
                  <w:tcW w:w="536" w:type="pct"/>
                  <w:vMerge w:val="continue"/>
                  <w:noWrap w:val="0"/>
                  <w:tcMar>
                    <w:left w:w="28" w:type="dxa"/>
                    <w:right w:w="28" w:type="dxa"/>
                  </w:tcMar>
                  <w:vAlign w:val="center"/>
                </w:tcPr>
                <w:p w14:paraId="17F5C1E7">
                  <w:pPr>
                    <w:pStyle w:val="170"/>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textAlignment w:val="auto"/>
                    <w:rPr>
                      <w:rFonts w:hint="default" w:ascii="Times New Roman" w:hAnsi="Times New Roman" w:eastAsia="宋体" w:cs="Times New Roman"/>
                      <w:kern w:val="2"/>
                      <w:sz w:val="21"/>
                      <w:szCs w:val="21"/>
                      <w:u w:val="single"/>
                    </w:rPr>
                  </w:pPr>
                </w:p>
              </w:tc>
              <w:tc>
                <w:tcPr>
                  <w:tcW w:w="430" w:type="pct"/>
                  <w:noWrap w:val="0"/>
                  <w:tcMar>
                    <w:left w:w="28" w:type="dxa"/>
                    <w:right w:w="28" w:type="dxa"/>
                  </w:tcMar>
                  <w:vAlign w:val="center"/>
                </w:tcPr>
                <w:p w14:paraId="39475269">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颗粒物</w:t>
                  </w:r>
                </w:p>
              </w:tc>
              <w:tc>
                <w:tcPr>
                  <w:tcW w:w="586" w:type="pct"/>
                  <w:noWrap w:val="0"/>
                  <w:tcMar>
                    <w:left w:w="28" w:type="dxa"/>
                    <w:right w:w="28" w:type="dxa"/>
                  </w:tcMar>
                  <w:vAlign w:val="center"/>
                </w:tcPr>
                <w:p w14:paraId="51BA070B">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u w:val="single"/>
                    </w:rPr>
                  </w:pPr>
                  <w:r>
                    <w:rPr>
                      <w:rFonts w:hint="eastAsia" w:ascii="Times New Roman" w:hAnsi="Times New Roman" w:cs="Times New Roman"/>
                      <w:color w:val="auto"/>
                      <w:sz w:val="21"/>
                      <w:szCs w:val="21"/>
                      <w:u w:val="single"/>
                      <w:lang w:val="en-US" w:eastAsia="zh-CN"/>
                    </w:rPr>
                    <w:t>65.625</w:t>
                  </w:r>
                </w:p>
              </w:tc>
              <w:tc>
                <w:tcPr>
                  <w:tcW w:w="586" w:type="pct"/>
                  <w:noWrap w:val="0"/>
                  <w:tcMar>
                    <w:left w:w="28" w:type="dxa"/>
                    <w:right w:w="28" w:type="dxa"/>
                  </w:tcMar>
                  <w:vAlign w:val="center"/>
                </w:tcPr>
                <w:p w14:paraId="0DF2E56B">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u w:val="single"/>
                      <w:lang w:val="en-US" w:eastAsia="zh-CN"/>
                    </w:rPr>
                  </w:pPr>
                  <w:r>
                    <w:rPr>
                      <w:rFonts w:hint="eastAsia" w:ascii="Times New Roman" w:hAnsi="Times New Roman" w:cs="Times New Roman"/>
                      <w:color w:val="auto"/>
                      <w:sz w:val="21"/>
                      <w:szCs w:val="21"/>
                      <w:u w:val="single"/>
                      <w:lang w:val="en-US" w:eastAsia="zh-CN"/>
                    </w:rPr>
                    <w:t>23.625</w:t>
                  </w:r>
                </w:p>
              </w:tc>
              <w:tc>
                <w:tcPr>
                  <w:tcW w:w="493" w:type="pct"/>
                  <w:noWrap w:val="0"/>
                  <w:tcMar>
                    <w:left w:w="28" w:type="dxa"/>
                    <w:right w:w="28" w:type="dxa"/>
                  </w:tcMar>
                  <w:vAlign w:val="center"/>
                </w:tcPr>
                <w:p w14:paraId="233B20EE">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color w:val="000000"/>
                      <w:sz w:val="21"/>
                      <w:szCs w:val="21"/>
                      <w:u w:val="single"/>
                    </w:rPr>
                  </w:pPr>
                  <w:r>
                    <w:rPr>
                      <w:rFonts w:hint="eastAsia" w:ascii="Times New Roman" w:hAnsi="Times New Roman" w:cs="Times New Roman"/>
                      <w:color w:val="000000"/>
                      <w:sz w:val="21"/>
                      <w:szCs w:val="21"/>
                      <w:u w:val="single"/>
                      <w:lang w:val="en-US" w:eastAsia="zh-CN"/>
                    </w:rPr>
                    <w:t>99.7</w:t>
                  </w:r>
                  <w:r>
                    <w:rPr>
                      <w:rFonts w:hint="default" w:ascii="Times New Roman" w:hAnsi="Times New Roman" w:cs="Times New Roman"/>
                      <w:color w:val="000000"/>
                      <w:sz w:val="21"/>
                      <w:szCs w:val="21"/>
                      <w:u w:val="single"/>
                    </w:rPr>
                    <w:t>%</w:t>
                  </w:r>
                </w:p>
              </w:tc>
              <w:tc>
                <w:tcPr>
                  <w:tcW w:w="1409" w:type="dxa"/>
                  <w:noWrap w:val="0"/>
                  <w:tcMar>
                    <w:left w:w="28" w:type="dxa"/>
                    <w:right w:w="28" w:type="dxa"/>
                  </w:tcMar>
                  <w:vAlign w:val="center"/>
                </w:tcPr>
                <w:p w14:paraId="5C887252">
                  <w:pPr>
                    <w:keepNext w:val="0"/>
                    <w:keepLines w:val="0"/>
                    <w:widowControl/>
                    <w:suppressLineNumbers w:val="0"/>
                    <w:jc w:val="center"/>
                    <w:textAlignment w:val="center"/>
                    <w:rPr>
                      <w:rFonts w:hint="default" w:ascii="Times New Roman" w:hAnsi="Times New Roman" w:cs="Times New Roman"/>
                      <w:color w:val="000000"/>
                      <w:sz w:val="21"/>
                      <w:szCs w:val="21"/>
                      <w:u w:val="single"/>
                      <w:lang w:val="en-US"/>
                    </w:rPr>
                  </w:pPr>
                  <w:r>
                    <w:rPr>
                      <w:rFonts w:hint="default" w:ascii="Times New Roman" w:hAnsi="Times New Roman" w:eastAsia="宋体" w:cs="Times New Roman"/>
                      <w:i w:val="0"/>
                      <w:iCs w:val="0"/>
                      <w:color w:val="000000"/>
                      <w:kern w:val="0"/>
                      <w:sz w:val="21"/>
                      <w:szCs w:val="21"/>
                      <w:u w:val="single"/>
                      <w:lang w:val="en-US" w:eastAsia="zh-CN" w:bidi="ar"/>
                    </w:rPr>
                    <w:t>0.196</w:t>
                  </w:r>
                  <w:r>
                    <w:rPr>
                      <w:rFonts w:hint="eastAsia" w:ascii="Times New Roman" w:hAnsi="Times New Roman" w:cs="Times New Roman"/>
                      <w:i w:val="0"/>
                      <w:iCs w:val="0"/>
                      <w:color w:val="000000"/>
                      <w:kern w:val="0"/>
                      <w:sz w:val="21"/>
                      <w:szCs w:val="21"/>
                      <w:u w:val="single"/>
                      <w:lang w:val="en-US" w:eastAsia="zh-CN" w:bidi="ar"/>
                    </w:rPr>
                    <w:t>9</w:t>
                  </w:r>
                </w:p>
              </w:tc>
              <w:tc>
                <w:tcPr>
                  <w:tcW w:w="1414" w:type="dxa"/>
                  <w:noWrap w:val="0"/>
                  <w:tcMar>
                    <w:left w:w="28" w:type="dxa"/>
                    <w:right w:w="28" w:type="dxa"/>
                  </w:tcMar>
                  <w:vAlign w:val="center"/>
                </w:tcPr>
                <w:p w14:paraId="105C2CA4">
                  <w:pPr>
                    <w:keepNext w:val="0"/>
                    <w:keepLines w:val="0"/>
                    <w:widowControl/>
                    <w:suppressLineNumbers w:val="0"/>
                    <w:jc w:val="center"/>
                    <w:textAlignment w:val="center"/>
                    <w:rPr>
                      <w:rFonts w:hint="default" w:ascii="Times New Roman" w:hAnsi="Times New Roman" w:cs="Times New Roman"/>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0.070</w:t>
                  </w:r>
                  <w:r>
                    <w:rPr>
                      <w:rFonts w:hint="eastAsia" w:ascii="Times New Roman" w:hAnsi="Times New Roman" w:cs="Times New Roman"/>
                      <w:i w:val="0"/>
                      <w:iCs w:val="0"/>
                      <w:color w:val="000000"/>
                      <w:kern w:val="0"/>
                      <w:sz w:val="21"/>
                      <w:szCs w:val="21"/>
                      <w:u w:val="single"/>
                      <w:lang w:val="en-US" w:eastAsia="zh-CN" w:bidi="ar"/>
                    </w:rPr>
                    <w:t>9</w:t>
                  </w:r>
                </w:p>
              </w:tc>
              <w:tc>
                <w:tcPr>
                  <w:tcW w:w="388" w:type="pct"/>
                  <w:vMerge w:val="continue"/>
                  <w:noWrap w:val="0"/>
                  <w:tcMar>
                    <w:left w:w="28" w:type="dxa"/>
                    <w:right w:w="28" w:type="dxa"/>
                  </w:tcMar>
                  <w:vAlign w:val="center"/>
                </w:tcPr>
                <w:p w14:paraId="594FB9B9">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u w:val="single"/>
                    </w:rPr>
                  </w:pPr>
                </w:p>
              </w:tc>
            </w:tr>
          </w:tbl>
          <w:p w14:paraId="02A453CA">
            <w:pPr>
              <w:spacing w:line="360" w:lineRule="auto"/>
              <w:ind w:firstLine="480" w:firstLineChars="200"/>
              <w:rPr>
                <w:rFonts w:hint="default" w:ascii="Times New Roman" w:hAnsi="Times New Roman" w:eastAsia="宋体" w:cs="Times New Roman"/>
                <w:sz w:val="24"/>
                <w:szCs w:val="24"/>
                <w:u w:val="single"/>
                <w:lang w:val="en-US" w:eastAsia="zh-CN"/>
              </w:rPr>
            </w:pPr>
            <w:r>
              <w:rPr>
                <w:rFonts w:hint="eastAsia" w:ascii="Times New Roman" w:hAnsi="Times New Roman" w:cs="Times New Roman"/>
                <w:sz w:val="24"/>
                <w:szCs w:val="24"/>
                <w:u w:val="single"/>
                <w:lang w:val="en-US" w:eastAsia="zh-CN"/>
              </w:rPr>
              <w:t>（2）</w:t>
            </w:r>
            <w:r>
              <w:rPr>
                <w:rFonts w:hint="default" w:ascii="Times New Roman" w:hAnsi="Times New Roman" w:cs="Times New Roman"/>
                <w:sz w:val="24"/>
                <w:szCs w:val="24"/>
                <w:u w:val="single"/>
              </w:rPr>
              <w:t>石子、沙子堆放区</w:t>
            </w:r>
            <w:r>
              <w:rPr>
                <w:rFonts w:hint="default" w:ascii="Times New Roman" w:hAnsi="Times New Roman" w:cs="Times New Roman"/>
                <w:sz w:val="24"/>
                <w:szCs w:val="24"/>
                <w:u w:val="single"/>
                <w:lang w:val="en-US" w:eastAsia="zh-CN"/>
              </w:rPr>
              <w:t>堆场扬尘</w:t>
            </w:r>
          </w:p>
          <w:p w14:paraId="2D21C9A0">
            <w:pPr>
              <w:spacing w:line="360" w:lineRule="auto"/>
              <w:ind w:firstLine="480" w:firstLineChars="200"/>
              <w:jc w:val="both"/>
              <w:rPr>
                <w:rFonts w:hint="default" w:ascii="Times New Roman" w:hAnsi="Times New Roman" w:cs="Times New Roman"/>
                <w:sz w:val="24"/>
                <w:szCs w:val="24"/>
                <w:u w:val="single"/>
              </w:rPr>
            </w:pPr>
            <w:r>
              <w:rPr>
                <w:rFonts w:hint="default" w:ascii="Times New Roman" w:hAnsi="Times New Roman" w:cs="Times New Roman"/>
                <w:sz w:val="24"/>
                <w:szCs w:val="24"/>
                <w:u w:val="single"/>
              </w:rPr>
              <w:t>项目堆场扬尘参考西安冶金建筑学院的干堆扬尘计算公式（Q=4.23</w:t>
            </w:r>
            <w:r>
              <w:rPr>
                <w:rFonts w:hint="default" w:ascii="Times New Roman" w:hAnsi="Times New Roman" w:cs="Times New Roman"/>
                <w:sz w:val="24"/>
                <w:szCs w:val="24"/>
                <w:u w:val="single"/>
                <w:lang w:val="en-US" w:eastAsia="zh-CN"/>
              </w:rPr>
              <w:t>×</w:t>
            </w:r>
            <w:r>
              <w:rPr>
                <w:rFonts w:hint="default" w:ascii="Times New Roman" w:hAnsi="Times New Roman" w:cs="Times New Roman"/>
                <w:sz w:val="24"/>
                <w:szCs w:val="24"/>
                <w:u w:val="single"/>
              </w:rPr>
              <w:t>10</w:t>
            </w:r>
            <w:r>
              <w:rPr>
                <w:rFonts w:hint="default" w:ascii="Times New Roman" w:hAnsi="Times New Roman" w:cs="Times New Roman"/>
                <w:sz w:val="24"/>
                <w:szCs w:val="24"/>
                <w:u w:val="single"/>
                <w:vertAlign w:val="superscript"/>
              </w:rPr>
              <w:t>-4</w:t>
            </w:r>
            <w:r>
              <w:rPr>
                <w:rFonts w:hint="default" w:ascii="Times New Roman" w:hAnsi="Times New Roman" w:cs="Times New Roman"/>
                <w:sz w:val="24"/>
                <w:szCs w:val="24"/>
                <w:u w:val="single"/>
                <w:lang w:val="en-US" w:eastAsia="zh-CN"/>
              </w:rPr>
              <w:t>×</w:t>
            </w:r>
            <w:r>
              <w:rPr>
                <w:rFonts w:hint="default" w:ascii="Times New Roman" w:hAnsi="Times New Roman" w:cs="Times New Roman"/>
                <w:sz w:val="24"/>
                <w:szCs w:val="24"/>
                <w:u w:val="single"/>
              </w:rPr>
              <w:t>V</w:t>
            </w:r>
            <w:r>
              <w:rPr>
                <w:rFonts w:hint="default" w:ascii="Times New Roman" w:hAnsi="Times New Roman" w:cs="Times New Roman"/>
                <w:sz w:val="24"/>
                <w:szCs w:val="24"/>
                <w:u w:val="single"/>
                <w:lang w:val="en-US" w:eastAsia="zh-CN"/>
              </w:rPr>
              <w:t>×</w:t>
            </w:r>
            <w:r>
              <w:rPr>
                <w:rFonts w:hint="default" w:ascii="Times New Roman" w:hAnsi="Times New Roman" w:cs="Times New Roman"/>
                <w:sz w:val="24"/>
                <w:szCs w:val="24"/>
                <w:u w:val="single"/>
              </w:rPr>
              <w:t>4.9</w:t>
            </w:r>
            <w:r>
              <w:rPr>
                <w:rFonts w:hint="default" w:ascii="Times New Roman" w:hAnsi="Times New Roman" w:cs="Times New Roman"/>
                <w:sz w:val="24"/>
                <w:szCs w:val="24"/>
                <w:u w:val="single"/>
                <w:lang w:val="en-US" w:eastAsia="zh-CN"/>
              </w:rPr>
              <w:t>×</w:t>
            </w:r>
            <w:r>
              <w:rPr>
                <w:rFonts w:hint="default" w:ascii="Times New Roman" w:hAnsi="Times New Roman" w:cs="Times New Roman"/>
                <w:sz w:val="24"/>
                <w:szCs w:val="24"/>
                <w:u w:val="single"/>
              </w:rPr>
              <w:t>S）计算，其中Q表示粉尘产生量（单位kg/d），S表示面积（单位m</w:t>
            </w:r>
            <w:r>
              <w:rPr>
                <w:rFonts w:hint="default" w:ascii="Times New Roman" w:hAnsi="Times New Roman" w:cs="Times New Roman"/>
                <w:sz w:val="24"/>
                <w:szCs w:val="24"/>
                <w:u w:val="single"/>
                <w:vertAlign w:val="superscript"/>
              </w:rPr>
              <w:t>2</w:t>
            </w:r>
            <w:r>
              <w:rPr>
                <w:rFonts w:hint="default" w:ascii="Times New Roman" w:hAnsi="Times New Roman" w:cs="Times New Roman"/>
                <w:sz w:val="24"/>
                <w:szCs w:val="24"/>
                <w:u w:val="single"/>
              </w:rPr>
              <w:t>），V表示风速，V均取当地年平均风速V=</w:t>
            </w:r>
            <w:r>
              <w:rPr>
                <w:rFonts w:hint="default" w:ascii="Times New Roman" w:hAnsi="Times New Roman" w:cs="Times New Roman"/>
                <w:sz w:val="24"/>
                <w:szCs w:val="24"/>
                <w:u w:val="single"/>
                <w:lang w:val="en-US" w:eastAsia="zh-CN"/>
              </w:rPr>
              <w:t>2.47</w:t>
            </w:r>
            <w:r>
              <w:rPr>
                <w:rFonts w:hint="default" w:ascii="Times New Roman" w:hAnsi="Times New Roman" w:cs="Times New Roman"/>
                <w:sz w:val="24"/>
                <w:szCs w:val="24"/>
                <w:u w:val="single"/>
              </w:rPr>
              <w:t>m/s，石子、沙子堆放区的面积</w:t>
            </w:r>
            <w:r>
              <w:rPr>
                <w:rFonts w:hint="default" w:ascii="Times New Roman" w:hAnsi="Times New Roman" w:cs="Times New Roman"/>
                <w:sz w:val="24"/>
                <w:szCs w:val="24"/>
                <w:u w:val="single"/>
                <w:lang w:val="en-US" w:eastAsia="zh-CN"/>
              </w:rPr>
              <w:t>约</w:t>
            </w:r>
            <w:r>
              <w:rPr>
                <w:rFonts w:hint="default" w:ascii="Times New Roman" w:hAnsi="Times New Roman" w:cs="Times New Roman"/>
                <w:sz w:val="24"/>
                <w:szCs w:val="24"/>
                <w:u w:val="single"/>
              </w:rPr>
              <w:t>为</w:t>
            </w:r>
            <w:r>
              <w:rPr>
                <w:rFonts w:hint="eastAsia" w:ascii="Times New Roman" w:hAnsi="Times New Roman" w:cs="Times New Roman"/>
                <w:sz w:val="24"/>
                <w:szCs w:val="24"/>
                <w:u w:val="single"/>
                <w:lang w:val="en-US" w:eastAsia="zh-CN"/>
              </w:rPr>
              <w:t>50</w:t>
            </w:r>
            <w:r>
              <w:rPr>
                <w:rFonts w:hint="default" w:ascii="Times New Roman" w:hAnsi="Times New Roman" w:cs="Times New Roman"/>
                <w:sz w:val="24"/>
                <w:szCs w:val="24"/>
                <w:u w:val="single"/>
                <w:lang w:val="en-US" w:eastAsia="zh-CN"/>
              </w:rPr>
              <w:t>0</w:t>
            </w:r>
            <w:r>
              <w:rPr>
                <w:rFonts w:hint="default" w:ascii="Times New Roman" w:hAnsi="Times New Roman" w:cs="Times New Roman"/>
                <w:sz w:val="24"/>
                <w:szCs w:val="24"/>
                <w:u w:val="single"/>
              </w:rPr>
              <w:t>m</w:t>
            </w:r>
            <w:r>
              <w:rPr>
                <w:rFonts w:hint="default" w:ascii="Times New Roman" w:hAnsi="Times New Roman" w:cs="Times New Roman"/>
                <w:sz w:val="24"/>
                <w:szCs w:val="24"/>
                <w:u w:val="single"/>
                <w:vertAlign w:val="superscript"/>
              </w:rPr>
              <w:t>2</w:t>
            </w:r>
            <w:r>
              <w:rPr>
                <w:rFonts w:hint="default" w:ascii="Times New Roman" w:hAnsi="Times New Roman" w:cs="Times New Roman"/>
                <w:sz w:val="24"/>
                <w:szCs w:val="24"/>
                <w:u w:val="single"/>
              </w:rPr>
              <w:t>，则石子、沙子堆放区产尘量</w:t>
            </w:r>
            <w:r>
              <w:rPr>
                <w:rFonts w:hint="eastAsia" w:ascii="Times New Roman" w:hAnsi="Times New Roman" w:cs="Times New Roman"/>
                <w:sz w:val="24"/>
                <w:szCs w:val="24"/>
                <w:u w:val="single"/>
                <w:lang w:val="en-US" w:eastAsia="zh-CN"/>
              </w:rPr>
              <w:t>2.56</w:t>
            </w:r>
            <w:r>
              <w:rPr>
                <w:rFonts w:hint="default" w:ascii="Times New Roman" w:hAnsi="Times New Roman" w:cs="Times New Roman"/>
                <w:sz w:val="24"/>
                <w:szCs w:val="24"/>
                <w:u w:val="single"/>
              </w:rPr>
              <w:t>kg/d，即</w:t>
            </w:r>
            <w:r>
              <w:rPr>
                <w:rFonts w:hint="default" w:ascii="Times New Roman" w:hAnsi="Times New Roman" w:cs="Times New Roman"/>
                <w:sz w:val="24"/>
                <w:szCs w:val="24"/>
                <w:u w:val="single"/>
                <w:lang w:val="en-US" w:eastAsia="zh-CN"/>
              </w:rPr>
              <w:t>0.</w:t>
            </w:r>
            <w:r>
              <w:rPr>
                <w:rFonts w:hint="eastAsia" w:ascii="Times New Roman" w:hAnsi="Times New Roman" w:cs="Times New Roman"/>
                <w:sz w:val="24"/>
                <w:szCs w:val="24"/>
                <w:u w:val="single"/>
                <w:lang w:val="en-US" w:eastAsia="zh-CN"/>
              </w:rPr>
              <w:t>768</w:t>
            </w:r>
            <w:r>
              <w:rPr>
                <w:rFonts w:hint="default" w:ascii="Times New Roman" w:hAnsi="Times New Roman" w:cs="Times New Roman"/>
                <w:sz w:val="24"/>
                <w:szCs w:val="24"/>
                <w:u w:val="single"/>
              </w:rPr>
              <w:t>t/a。综合考虑原料堆的表面积、含水量、粒度情况等因素，石子、沙子堆放区设置</w:t>
            </w:r>
            <w:r>
              <w:rPr>
                <w:rFonts w:hint="default" w:ascii="Times New Roman" w:hAnsi="Times New Roman" w:cs="Times New Roman"/>
                <w:sz w:val="24"/>
                <w:szCs w:val="24"/>
                <w:u w:val="single"/>
                <w:lang w:val="en-US" w:eastAsia="zh-CN"/>
              </w:rPr>
              <w:t>三面围挡和顶棚</w:t>
            </w:r>
            <w:r>
              <w:rPr>
                <w:rFonts w:hint="default" w:ascii="Times New Roman" w:hAnsi="Times New Roman" w:cs="Times New Roman"/>
                <w:sz w:val="24"/>
                <w:szCs w:val="24"/>
                <w:u w:val="single"/>
              </w:rPr>
              <w:t>，同时在卸料、装料过程中洒水以减少粉尘。根据《固体物料堆存颗粒物产排污核算系数手册》</w:t>
            </w:r>
            <w:r>
              <w:rPr>
                <w:rFonts w:hint="default" w:ascii="Times New Roman" w:hAnsi="Times New Roman" w:cs="Times New Roman"/>
                <w:sz w:val="24"/>
                <w:szCs w:val="24"/>
                <w:u w:val="single"/>
                <w:lang w:eastAsia="zh-CN"/>
              </w:rPr>
              <w:t>，</w:t>
            </w:r>
            <w:r>
              <w:rPr>
                <w:rFonts w:hint="default" w:ascii="Times New Roman" w:hAnsi="Times New Roman" w:cs="Times New Roman"/>
                <w:sz w:val="24"/>
                <w:szCs w:val="24"/>
                <w:u w:val="single"/>
              </w:rPr>
              <w:t>通过采取</w:t>
            </w:r>
            <w:r>
              <w:rPr>
                <w:rFonts w:hint="default" w:ascii="Times New Roman" w:hAnsi="Times New Roman" w:cs="Times New Roman"/>
                <w:sz w:val="24"/>
                <w:szCs w:val="24"/>
                <w:u w:val="single"/>
                <w:lang w:val="en-US" w:eastAsia="zh-CN"/>
              </w:rPr>
              <w:t>洒水、设围挡控制措施</w:t>
            </w:r>
            <w:r>
              <w:rPr>
                <w:rFonts w:hint="default" w:ascii="Times New Roman" w:hAnsi="Times New Roman" w:cs="Times New Roman"/>
                <w:sz w:val="24"/>
                <w:szCs w:val="24"/>
                <w:u w:val="single"/>
              </w:rPr>
              <w:t>，抑尘率可达</w:t>
            </w:r>
            <w:r>
              <w:rPr>
                <w:rFonts w:hint="default" w:ascii="Times New Roman" w:hAnsi="Times New Roman" w:cs="Times New Roman"/>
                <w:sz w:val="24"/>
                <w:szCs w:val="24"/>
                <w:u w:val="single"/>
                <w:lang w:val="en-US" w:eastAsia="zh-CN"/>
              </w:rPr>
              <w:t>89.6</w:t>
            </w:r>
            <w:r>
              <w:rPr>
                <w:rFonts w:hint="default" w:ascii="Times New Roman" w:hAnsi="Times New Roman" w:cs="Times New Roman"/>
                <w:sz w:val="24"/>
                <w:szCs w:val="24"/>
                <w:u w:val="single"/>
              </w:rPr>
              <w:t>%，则石子、沙子堆放区</w:t>
            </w:r>
            <w:r>
              <w:rPr>
                <w:rFonts w:hint="default" w:ascii="Times New Roman" w:hAnsi="Times New Roman" w:cs="Times New Roman"/>
                <w:sz w:val="24"/>
                <w:szCs w:val="24"/>
                <w:u w:val="single"/>
                <w:lang w:val="en-US" w:eastAsia="zh-CN"/>
              </w:rPr>
              <w:t>堆场扬尘</w:t>
            </w:r>
            <w:r>
              <w:rPr>
                <w:rFonts w:hint="default" w:ascii="Times New Roman" w:hAnsi="Times New Roman" w:cs="Times New Roman"/>
                <w:sz w:val="24"/>
                <w:szCs w:val="24"/>
                <w:u w:val="single"/>
              </w:rPr>
              <w:t>无组织排放量为</w:t>
            </w:r>
            <w:r>
              <w:rPr>
                <w:rFonts w:hint="default" w:ascii="Times New Roman" w:hAnsi="Times New Roman" w:cs="Times New Roman"/>
                <w:sz w:val="24"/>
                <w:szCs w:val="24"/>
                <w:u w:val="single"/>
                <w:lang w:val="en-US" w:eastAsia="zh-CN"/>
              </w:rPr>
              <w:t>0.</w:t>
            </w:r>
            <w:r>
              <w:rPr>
                <w:rFonts w:hint="eastAsia" w:ascii="Times New Roman" w:hAnsi="Times New Roman" w:cs="Times New Roman"/>
                <w:sz w:val="24"/>
                <w:szCs w:val="24"/>
                <w:u w:val="single"/>
                <w:lang w:val="en-US" w:eastAsia="zh-CN"/>
              </w:rPr>
              <w:t>799</w:t>
            </w:r>
            <w:r>
              <w:rPr>
                <w:rFonts w:hint="default" w:ascii="Times New Roman" w:hAnsi="Times New Roman" w:cs="Times New Roman"/>
                <w:sz w:val="24"/>
                <w:szCs w:val="24"/>
                <w:u w:val="single"/>
              </w:rPr>
              <w:t>t/a。</w:t>
            </w:r>
          </w:p>
          <w:p w14:paraId="00481263">
            <w:pPr>
              <w:spacing w:line="360" w:lineRule="auto"/>
              <w:ind w:firstLine="480" w:firstLineChars="200"/>
              <w:rPr>
                <w:rFonts w:hint="default" w:ascii="Times New Roman" w:hAnsi="Times New Roman" w:cs="Times New Roman"/>
                <w:sz w:val="24"/>
                <w:szCs w:val="24"/>
                <w:u w:val="single"/>
              </w:rPr>
            </w:pPr>
            <w:r>
              <w:rPr>
                <w:rFonts w:hint="eastAsia" w:ascii="Times New Roman" w:hAnsi="Times New Roman" w:cs="Times New Roman"/>
                <w:sz w:val="24"/>
                <w:szCs w:val="24"/>
                <w:u w:val="single"/>
                <w:lang w:val="en-US" w:eastAsia="zh-CN"/>
              </w:rPr>
              <w:t>（3）</w:t>
            </w:r>
            <w:r>
              <w:rPr>
                <w:rFonts w:hint="default" w:ascii="Times New Roman" w:hAnsi="Times New Roman" w:cs="Times New Roman"/>
                <w:sz w:val="24"/>
                <w:szCs w:val="24"/>
                <w:u w:val="single"/>
              </w:rPr>
              <w:t>汽车运输扬尘</w:t>
            </w:r>
          </w:p>
          <w:p w14:paraId="23E22283">
            <w:pPr>
              <w:spacing w:line="360" w:lineRule="auto"/>
              <w:ind w:firstLine="480" w:firstLineChars="200"/>
              <w:rPr>
                <w:rFonts w:hint="default" w:ascii="Times New Roman" w:hAnsi="Times New Roman" w:cs="Times New Roman"/>
                <w:sz w:val="24"/>
                <w:szCs w:val="24"/>
                <w:u w:val="single"/>
              </w:rPr>
            </w:pPr>
            <w:r>
              <w:rPr>
                <w:rFonts w:hint="default" w:ascii="Times New Roman" w:hAnsi="Times New Roman" w:cs="Times New Roman"/>
                <w:sz w:val="24"/>
                <w:szCs w:val="24"/>
                <w:u w:val="single"/>
              </w:rPr>
              <w:t>根据本项目的实际情况，汽车运输过程中所产生的扬尘极少，本环评要求对厂区内地面进行定时洒水降尘，以减少道路扬尘量。</w:t>
            </w:r>
          </w:p>
          <w:p w14:paraId="53FCF3ED">
            <w:pPr>
              <w:spacing w:line="360" w:lineRule="auto"/>
              <w:ind w:firstLine="480" w:firstLineChars="200"/>
              <w:rPr>
                <w:rFonts w:hint="default" w:ascii="Times New Roman" w:hAnsi="Times New Roman" w:cs="Times New Roman"/>
                <w:sz w:val="24"/>
                <w:szCs w:val="24"/>
                <w:u w:val="single"/>
              </w:rPr>
            </w:pPr>
            <w:r>
              <w:rPr>
                <w:rFonts w:hint="eastAsia" w:ascii="Times New Roman" w:hAnsi="Times New Roman" w:cs="Times New Roman"/>
                <w:sz w:val="24"/>
                <w:szCs w:val="24"/>
                <w:u w:val="single"/>
                <w:lang w:val="en-US" w:eastAsia="zh-CN"/>
              </w:rPr>
              <w:t>（4）</w:t>
            </w:r>
            <w:r>
              <w:rPr>
                <w:rFonts w:hint="default" w:ascii="Times New Roman" w:hAnsi="Times New Roman" w:cs="Times New Roman"/>
                <w:sz w:val="24"/>
                <w:szCs w:val="24"/>
                <w:u w:val="single"/>
              </w:rPr>
              <w:t>筒仓粉尘</w:t>
            </w:r>
          </w:p>
          <w:p w14:paraId="2E53DE2E">
            <w:pPr>
              <w:spacing w:line="360" w:lineRule="auto"/>
              <w:ind w:firstLine="480" w:firstLineChars="200"/>
              <w:rPr>
                <w:rFonts w:hint="default" w:ascii="Times New Roman" w:hAnsi="Times New Roman" w:cs="Times New Roman"/>
                <w:sz w:val="24"/>
                <w:szCs w:val="24"/>
                <w:u w:val="single"/>
              </w:rPr>
            </w:pPr>
            <w:r>
              <w:rPr>
                <w:rFonts w:hint="default" w:ascii="Times New Roman" w:hAnsi="Times New Roman" w:cs="Times New Roman"/>
                <w:sz w:val="24"/>
                <w:szCs w:val="24"/>
                <w:u w:val="single"/>
              </w:rPr>
              <w:t>本项目生产用粉状原料主要为</w:t>
            </w:r>
            <w:r>
              <w:rPr>
                <w:rFonts w:hint="eastAsia" w:ascii="Times New Roman" w:hAnsi="Times New Roman" w:cs="Times New Roman"/>
                <w:sz w:val="24"/>
                <w:szCs w:val="24"/>
                <w:u w:val="single"/>
                <w:lang w:eastAsia="zh-CN"/>
              </w:rPr>
              <w:t>砂石</w:t>
            </w:r>
            <w:r>
              <w:rPr>
                <w:rFonts w:hint="default" w:ascii="Times New Roman" w:hAnsi="Times New Roman" w:cs="Times New Roman"/>
                <w:sz w:val="24"/>
                <w:szCs w:val="24"/>
                <w:u w:val="single"/>
              </w:rPr>
              <w:t>，由散装罐车自带的气动系统将粉料吹入原料筒仓内部，每次进料时储料罐顶呼吸孔有粉尘产生，筒仓仓顶呼吸孔自带滤芯收尘设施（收尘效率达9</w:t>
            </w:r>
            <w:r>
              <w:rPr>
                <w:rFonts w:hint="default" w:ascii="Times New Roman" w:hAnsi="Times New Roman" w:cs="Times New Roman"/>
                <w:sz w:val="24"/>
                <w:szCs w:val="24"/>
                <w:u w:val="single"/>
                <w:lang w:val="en-US" w:eastAsia="zh-CN"/>
              </w:rPr>
              <w:t>5</w:t>
            </w:r>
            <w:r>
              <w:rPr>
                <w:rFonts w:hint="default" w:ascii="Times New Roman" w:hAnsi="Times New Roman" w:cs="Times New Roman"/>
                <w:sz w:val="24"/>
                <w:szCs w:val="24"/>
                <w:u w:val="single"/>
              </w:rPr>
              <w:t>%）</w:t>
            </w:r>
            <w:r>
              <w:rPr>
                <w:rFonts w:hint="default" w:ascii="Times New Roman" w:hAnsi="Times New Roman" w:cs="Times New Roman"/>
                <w:sz w:val="24"/>
                <w:szCs w:val="24"/>
                <w:u w:val="single"/>
                <w:lang w:eastAsia="zh-CN"/>
              </w:rPr>
              <w:t>，</w:t>
            </w:r>
            <w:r>
              <w:rPr>
                <w:rFonts w:hint="default" w:ascii="Times New Roman" w:hAnsi="Times New Roman" w:cs="Times New Roman"/>
                <w:sz w:val="24"/>
                <w:szCs w:val="24"/>
                <w:u w:val="single"/>
              </w:rPr>
              <w:t>收集的粉尘回用于生产，经过处理后的粉尘废气由筒仓顶呼吸口无组织排放。参考《排放源统计调查产排污核算方法和系数手册》（生态环境部办公厅2021年6月11日印发）3021 水泥制品制造（含 3022 砼结构构件、3029 其他水泥类似制品制造）行业系数表中产排污系数，物料输送储存颗粒物产污系数为0.19kg/t-产品，自带滤芯收尘设施效率可达到9</w:t>
            </w:r>
            <w:r>
              <w:rPr>
                <w:rFonts w:hint="default" w:ascii="Times New Roman" w:hAnsi="Times New Roman" w:cs="Times New Roman"/>
                <w:sz w:val="24"/>
                <w:szCs w:val="24"/>
                <w:u w:val="single"/>
                <w:lang w:val="en-US" w:eastAsia="zh-CN"/>
              </w:rPr>
              <w:t>5</w:t>
            </w:r>
            <w:r>
              <w:rPr>
                <w:rFonts w:hint="default" w:ascii="Times New Roman" w:hAnsi="Times New Roman" w:cs="Times New Roman"/>
                <w:sz w:val="24"/>
                <w:szCs w:val="24"/>
                <w:u w:val="single"/>
              </w:rPr>
              <w:t>%，本项目</w:t>
            </w:r>
            <w:r>
              <w:rPr>
                <w:rFonts w:hint="eastAsia" w:ascii="Times New Roman" w:hAnsi="Times New Roman" w:cs="Times New Roman"/>
                <w:sz w:val="24"/>
                <w:szCs w:val="24"/>
                <w:u w:val="single"/>
                <w:lang w:eastAsia="zh-CN"/>
              </w:rPr>
              <w:t>扩建前</w:t>
            </w:r>
            <w:r>
              <w:rPr>
                <w:rFonts w:hint="default" w:ascii="Times New Roman" w:hAnsi="Times New Roman" w:cs="Times New Roman"/>
                <w:sz w:val="24"/>
                <w:szCs w:val="24"/>
                <w:u w:val="single"/>
                <w:lang w:eastAsia="zh-CN"/>
              </w:rPr>
              <w:t>生产水泥</w:t>
            </w:r>
            <w:r>
              <w:rPr>
                <w:rFonts w:hint="default" w:ascii="Times New Roman" w:hAnsi="Times New Roman" w:cs="Times New Roman"/>
                <w:sz w:val="24"/>
                <w:szCs w:val="24"/>
                <w:u w:val="single"/>
              </w:rPr>
              <w:t>约为</w:t>
            </w:r>
            <w:r>
              <w:rPr>
                <w:rFonts w:hint="eastAsia" w:ascii="Times New Roman" w:hAnsi="Times New Roman" w:cs="Times New Roman"/>
                <w:sz w:val="24"/>
                <w:szCs w:val="24"/>
                <w:u w:val="single"/>
                <w:lang w:val="en-US" w:eastAsia="zh-CN"/>
              </w:rPr>
              <w:t>4080</w:t>
            </w:r>
            <w:r>
              <w:rPr>
                <w:rFonts w:hint="default" w:ascii="Times New Roman" w:hAnsi="Times New Roman" w:cs="Times New Roman"/>
                <w:sz w:val="24"/>
                <w:szCs w:val="24"/>
                <w:u w:val="single"/>
              </w:rPr>
              <w:t>吨，则筒仓粉尘</w:t>
            </w:r>
            <w:r>
              <w:rPr>
                <w:rFonts w:hint="default" w:ascii="Times New Roman" w:hAnsi="Times New Roman" w:cs="Times New Roman"/>
                <w:sz w:val="24"/>
                <w:szCs w:val="24"/>
                <w:u w:val="single"/>
                <w:lang w:eastAsia="zh-CN"/>
              </w:rPr>
              <w:t>排放</w:t>
            </w:r>
            <w:r>
              <w:rPr>
                <w:rFonts w:hint="default" w:ascii="Times New Roman" w:hAnsi="Times New Roman" w:cs="Times New Roman"/>
                <w:sz w:val="24"/>
                <w:szCs w:val="24"/>
                <w:u w:val="single"/>
              </w:rPr>
              <w:t>量为</w:t>
            </w:r>
            <w:r>
              <w:rPr>
                <w:rFonts w:hint="eastAsia" w:ascii="Times New Roman" w:hAnsi="Times New Roman" w:cs="Times New Roman"/>
                <w:sz w:val="24"/>
                <w:szCs w:val="24"/>
                <w:u w:val="single"/>
                <w:lang w:val="en-US" w:eastAsia="zh-CN"/>
              </w:rPr>
              <w:t>0.039</w:t>
            </w:r>
            <w:r>
              <w:rPr>
                <w:rFonts w:hint="default" w:ascii="Times New Roman" w:hAnsi="Times New Roman" w:cs="Times New Roman"/>
                <w:sz w:val="24"/>
                <w:szCs w:val="24"/>
                <w:u w:val="single"/>
              </w:rPr>
              <w:t>t/a。</w:t>
            </w:r>
          </w:p>
          <w:p w14:paraId="0825207C">
            <w:pPr>
              <w:spacing w:line="360" w:lineRule="auto"/>
              <w:ind w:firstLine="480" w:firstLineChars="200"/>
              <w:rPr>
                <w:rFonts w:hint="default" w:ascii="Times New Roman" w:hAnsi="Times New Roman" w:cs="Times New Roman"/>
                <w:sz w:val="24"/>
                <w:szCs w:val="24"/>
                <w:u w:val="single"/>
              </w:rPr>
            </w:pPr>
            <w:r>
              <w:rPr>
                <w:rFonts w:hint="eastAsia" w:ascii="Times New Roman" w:hAnsi="Times New Roman" w:cs="Times New Roman"/>
                <w:sz w:val="24"/>
                <w:szCs w:val="24"/>
                <w:u w:val="single"/>
                <w:lang w:eastAsia="zh-CN"/>
              </w:rPr>
              <w:t>（</w:t>
            </w:r>
            <w:r>
              <w:rPr>
                <w:rFonts w:hint="eastAsia" w:ascii="Times New Roman" w:hAnsi="Times New Roman" w:cs="Times New Roman"/>
                <w:sz w:val="24"/>
                <w:szCs w:val="24"/>
                <w:u w:val="single"/>
                <w:lang w:val="en-US" w:eastAsia="zh-CN"/>
              </w:rPr>
              <w:t>5</w:t>
            </w:r>
            <w:r>
              <w:rPr>
                <w:rFonts w:hint="eastAsia" w:ascii="Times New Roman" w:hAnsi="Times New Roman" w:cs="Times New Roman"/>
                <w:sz w:val="24"/>
                <w:szCs w:val="24"/>
                <w:u w:val="single"/>
                <w:lang w:eastAsia="zh-CN"/>
              </w:rPr>
              <w:t>）</w:t>
            </w:r>
            <w:r>
              <w:rPr>
                <w:rFonts w:hint="default" w:ascii="Times New Roman" w:hAnsi="Times New Roman" w:cs="Times New Roman"/>
                <w:sz w:val="24"/>
                <w:szCs w:val="24"/>
                <w:u w:val="single"/>
              </w:rPr>
              <w:t>搅拌粉尘</w:t>
            </w:r>
          </w:p>
          <w:p w14:paraId="4A4527BF">
            <w:pPr>
              <w:spacing w:line="360" w:lineRule="auto"/>
              <w:ind w:firstLine="480" w:firstLineChars="200"/>
              <w:rPr>
                <w:rFonts w:hint="default" w:ascii="Times New Roman" w:hAnsi="Times New Roman" w:cs="Times New Roman"/>
                <w:sz w:val="24"/>
                <w:szCs w:val="24"/>
                <w:u w:val="single"/>
              </w:rPr>
            </w:pPr>
            <w:r>
              <w:rPr>
                <w:rFonts w:hint="default" w:ascii="Times New Roman" w:hAnsi="Times New Roman" w:cs="Times New Roman"/>
                <w:sz w:val="24"/>
                <w:szCs w:val="24"/>
                <w:u w:val="single"/>
              </w:rPr>
              <w:t>粉料经计量后下料运至搅拌机内，物料在下料及搅拌过程中均会产生粉尘，通过搅拌机设备自带的布袋除尘器收集</w:t>
            </w:r>
            <w:r>
              <w:rPr>
                <w:rFonts w:hint="default" w:ascii="Times New Roman" w:hAnsi="Times New Roman" w:cs="Times New Roman"/>
                <w:sz w:val="24"/>
                <w:szCs w:val="24"/>
                <w:u w:val="single"/>
                <w:lang w:eastAsia="zh-CN"/>
              </w:rPr>
              <w:t>后回用生产</w:t>
            </w:r>
            <w:r>
              <w:rPr>
                <w:rFonts w:hint="default" w:ascii="Times New Roman" w:hAnsi="Times New Roman" w:cs="Times New Roman"/>
                <w:sz w:val="24"/>
                <w:szCs w:val="24"/>
                <w:u w:val="single"/>
              </w:rPr>
              <w:t>，</w:t>
            </w:r>
            <w:r>
              <w:rPr>
                <w:rFonts w:hint="default" w:ascii="Times New Roman" w:hAnsi="Times New Roman" w:cs="Times New Roman"/>
                <w:sz w:val="24"/>
                <w:szCs w:val="24"/>
                <w:u w:val="single"/>
                <w:lang w:eastAsia="zh-CN"/>
              </w:rPr>
              <w:t>未收集粉尘以无组织形式排放。</w:t>
            </w:r>
            <w:r>
              <w:rPr>
                <w:rFonts w:hint="default" w:ascii="Times New Roman" w:hAnsi="Times New Roman" w:cs="Times New Roman"/>
                <w:sz w:val="24"/>
                <w:szCs w:val="24"/>
                <w:u w:val="single"/>
              </w:rPr>
              <w:t>《排放源统计调查产排污核算方法和系数手册》（生态环境部办公厅2021年6月11日印发）3021 水泥制品制造（含 3022 砼结构构件、3029 其他水泥类似制品制造）行业系数表中产排污系数，物料混合搅拌颗粒物产污系数为0.523kg/t-产品，布袋除尘器效率可达到</w:t>
            </w:r>
            <w:r>
              <w:rPr>
                <w:rFonts w:hint="default" w:ascii="Times New Roman" w:hAnsi="Times New Roman" w:cs="Times New Roman"/>
                <w:sz w:val="24"/>
                <w:szCs w:val="24"/>
                <w:u w:val="single"/>
                <w:lang w:val="en-US" w:eastAsia="zh-CN"/>
              </w:rPr>
              <w:t>99</w:t>
            </w:r>
            <w:r>
              <w:rPr>
                <w:rFonts w:hint="default" w:ascii="Times New Roman" w:hAnsi="Times New Roman" w:cs="Times New Roman"/>
                <w:sz w:val="24"/>
                <w:szCs w:val="24"/>
                <w:u w:val="single"/>
              </w:rPr>
              <w:t>%，本项目</w:t>
            </w:r>
            <w:r>
              <w:rPr>
                <w:rFonts w:hint="eastAsia" w:ascii="Times New Roman" w:hAnsi="Times New Roman" w:cs="Times New Roman"/>
                <w:sz w:val="24"/>
                <w:szCs w:val="24"/>
                <w:u w:val="single"/>
                <w:lang w:eastAsia="zh-CN"/>
              </w:rPr>
              <w:t>扩建前</w:t>
            </w:r>
            <w:r>
              <w:rPr>
                <w:rFonts w:hint="default" w:ascii="Times New Roman" w:hAnsi="Times New Roman" w:cs="Times New Roman"/>
                <w:sz w:val="24"/>
                <w:szCs w:val="24"/>
                <w:u w:val="single"/>
                <w:lang w:eastAsia="zh-CN"/>
              </w:rPr>
              <w:t>生产水泥</w:t>
            </w:r>
            <w:r>
              <w:rPr>
                <w:rFonts w:hint="default" w:ascii="Times New Roman" w:hAnsi="Times New Roman" w:cs="Times New Roman"/>
                <w:sz w:val="24"/>
                <w:szCs w:val="24"/>
                <w:u w:val="single"/>
              </w:rPr>
              <w:t>约为</w:t>
            </w:r>
            <w:r>
              <w:rPr>
                <w:rFonts w:hint="eastAsia" w:ascii="Times New Roman" w:hAnsi="Times New Roman" w:cs="Times New Roman"/>
                <w:sz w:val="24"/>
                <w:szCs w:val="24"/>
                <w:u w:val="single"/>
                <w:lang w:val="en-US" w:eastAsia="zh-CN"/>
              </w:rPr>
              <w:t>4080</w:t>
            </w:r>
            <w:r>
              <w:rPr>
                <w:rFonts w:hint="default" w:ascii="Times New Roman" w:hAnsi="Times New Roman" w:cs="Times New Roman"/>
                <w:sz w:val="24"/>
                <w:szCs w:val="24"/>
                <w:u w:val="single"/>
              </w:rPr>
              <w:t>吨，则搅拌粉尘</w:t>
            </w:r>
            <w:r>
              <w:rPr>
                <w:rFonts w:hint="default" w:ascii="Times New Roman" w:hAnsi="Times New Roman" w:cs="Times New Roman"/>
                <w:sz w:val="24"/>
                <w:szCs w:val="24"/>
                <w:u w:val="single"/>
                <w:lang w:eastAsia="zh-CN"/>
              </w:rPr>
              <w:t>排放</w:t>
            </w:r>
            <w:r>
              <w:rPr>
                <w:rFonts w:hint="default" w:ascii="Times New Roman" w:hAnsi="Times New Roman" w:cs="Times New Roman"/>
                <w:sz w:val="24"/>
                <w:szCs w:val="24"/>
                <w:u w:val="single"/>
              </w:rPr>
              <w:t>量约为</w:t>
            </w:r>
            <w:r>
              <w:rPr>
                <w:rFonts w:hint="default" w:ascii="Times New Roman" w:hAnsi="Times New Roman" w:cs="Times New Roman"/>
                <w:sz w:val="24"/>
                <w:szCs w:val="24"/>
                <w:u w:val="single"/>
                <w:lang w:val="en-US" w:eastAsia="zh-CN"/>
              </w:rPr>
              <w:t>0.</w:t>
            </w:r>
            <w:r>
              <w:rPr>
                <w:rFonts w:hint="eastAsia" w:ascii="Times New Roman" w:hAnsi="Times New Roman" w:cs="Times New Roman"/>
                <w:sz w:val="24"/>
                <w:szCs w:val="24"/>
                <w:u w:val="single"/>
                <w:lang w:val="en-US" w:eastAsia="zh-CN"/>
              </w:rPr>
              <w:t>021</w:t>
            </w:r>
            <w:r>
              <w:rPr>
                <w:rFonts w:hint="default" w:ascii="Times New Roman" w:hAnsi="Times New Roman" w:cs="Times New Roman"/>
                <w:sz w:val="24"/>
                <w:szCs w:val="24"/>
                <w:u w:val="single"/>
              </w:rPr>
              <w:t>t/a。</w:t>
            </w:r>
          </w:p>
          <w:p w14:paraId="0A8161C2">
            <w:pPr>
              <w:spacing w:line="360" w:lineRule="auto"/>
              <w:ind w:firstLine="480" w:firstLineChars="200"/>
              <w:rPr>
                <w:rFonts w:hint="default" w:ascii="Times New Roman" w:hAnsi="Times New Roman" w:cs="Times New Roman"/>
                <w:sz w:val="24"/>
                <w:szCs w:val="24"/>
                <w:u w:val="single"/>
              </w:rPr>
            </w:pPr>
            <w:r>
              <w:rPr>
                <w:rFonts w:hint="eastAsia" w:ascii="Times New Roman" w:hAnsi="Times New Roman" w:cs="Times New Roman"/>
                <w:sz w:val="24"/>
                <w:szCs w:val="24"/>
                <w:u w:val="single"/>
                <w:lang w:val="en-US" w:eastAsia="zh-CN"/>
              </w:rPr>
              <w:t>（6）</w:t>
            </w:r>
            <w:r>
              <w:rPr>
                <w:rFonts w:hint="default" w:ascii="Times New Roman" w:hAnsi="Times New Roman" w:cs="Times New Roman"/>
                <w:sz w:val="24"/>
                <w:szCs w:val="24"/>
                <w:u w:val="single"/>
              </w:rPr>
              <w:t>焊接烟尘</w:t>
            </w:r>
          </w:p>
          <w:p w14:paraId="142A37FF">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sz w:val="24"/>
                <w:szCs w:val="24"/>
                <w:u w:val="single"/>
                <w:lang w:eastAsia="zh-CN"/>
              </w:rPr>
            </w:pPr>
            <w:r>
              <w:rPr>
                <w:rFonts w:hint="default" w:ascii="Times New Roman" w:hAnsi="Times New Roman" w:cs="Times New Roman"/>
                <w:sz w:val="24"/>
                <w:szCs w:val="24"/>
                <w:u w:val="single"/>
              </w:rPr>
              <w:t>项目编笼钢筋焊接采用手工电弧焊，焊接烟尘主要来自焊条的药皮，少量来自焊芯及被焊工件，焊接时产生的大气污染物主要为NOx、O</w:t>
            </w:r>
            <w:r>
              <w:rPr>
                <w:rFonts w:hint="default" w:ascii="Times New Roman" w:hAnsi="Times New Roman" w:cs="Times New Roman"/>
                <w:sz w:val="24"/>
                <w:szCs w:val="24"/>
                <w:u w:val="single"/>
                <w:vertAlign w:val="subscript"/>
              </w:rPr>
              <w:t>3</w:t>
            </w:r>
            <w:r>
              <w:rPr>
                <w:rFonts w:hint="default" w:ascii="Times New Roman" w:hAnsi="Times New Roman" w:cs="Times New Roman"/>
                <w:sz w:val="24"/>
                <w:szCs w:val="24"/>
                <w:u w:val="single"/>
              </w:rPr>
              <w:t>、MnO</w:t>
            </w:r>
            <w:r>
              <w:rPr>
                <w:rFonts w:hint="default" w:ascii="Times New Roman" w:hAnsi="Times New Roman" w:cs="Times New Roman"/>
                <w:sz w:val="24"/>
                <w:szCs w:val="24"/>
                <w:u w:val="single"/>
                <w:vertAlign w:val="subscript"/>
              </w:rPr>
              <w:t>2</w:t>
            </w:r>
            <w:r>
              <w:rPr>
                <w:rFonts w:hint="default" w:ascii="Times New Roman" w:hAnsi="Times New Roman" w:cs="Times New Roman"/>
                <w:sz w:val="24"/>
                <w:szCs w:val="24"/>
                <w:u w:val="single"/>
              </w:rPr>
              <w:t>和Fe</w:t>
            </w:r>
            <w:r>
              <w:rPr>
                <w:rFonts w:hint="default" w:ascii="Times New Roman" w:hAnsi="Times New Roman" w:cs="Times New Roman"/>
                <w:sz w:val="24"/>
                <w:szCs w:val="24"/>
                <w:u w:val="single"/>
                <w:vertAlign w:val="subscript"/>
              </w:rPr>
              <w:t>2</w:t>
            </w:r>
            <w:r>
              <w:rPr>
                <w:rFonts w:hint="default" w:ascii="Times New Roman" w:hAnsi="Times New Roman" w:cs="Times New Roman"/>
                <w:sz w:val="24"/>
                <w:szCs w:val="24"/>
                <w:u w:val="single"/>
              </w:rPr>
              <w:t>O</w:t>
            </w:r>
            <w:r>
              <w:rPr>
                <w:rFonts w:hint="default" w:ascii="Times New Roman" w:hAnsi="Times New Roman" w:cs="Times New Roman"/>
                <w:sz w:val="24"/>
                <w:szCs w:val="24"/>
                <w:u w:val="single"/>
                <w:vertAlign w:val="subscript"/>
              </w:rPr>
              <w:t>3</w:t>
            </w:r>
            <w:r>
              <w:rPr>
                <w:rFonts w:hint="default" w:ascii="Times New Roman" w:hAnsi="Times New Roman" w:cs="Times New Roman"/>
                <w:sz w:val="24"/>
                <w:szCs w:val="24"/>
                <w:u w:val="single"/>
              </w:rPr>
              <w:t>，本项目使用钙钛型焊条，年用量约</w:t>
            </w:r>
            <w:r>
              <w:rPr>
                <w:rFonts w:hint="eastAsia" w:ascii="Times New Roman" w:hAnsi="Times New Roman" w:cs="Times New Roman"/>
                <w:sz w:val="24"/>
                <w:szCs w:val="24"/>
                <w:u w:val="single"/>
                <w:lang w:val="en-US" w:eastAsia="zh-CN"/>
              </w:rPr>
              <w:t>4</w:t>
            </w:r>
            <w:r>
              <w:rPr>
                <w:rFonts w:hint="default" w:ascii="Times New Roman" w:hAnsi="Times New Roman" w:cs="Times New Roman"/>
                <w:sz w:val="24"/>
                <w:szCs w:val="24"/>
                <w:u w:val="single"/>
              </w:rPr>
              <w:t>t/a，根据《不同焊接工艺的烟尘污染特征》，钙钛型焊条的发尘量为6-8g/kg，本项目以8g/kg计，则发尘量为</w:t>
            </w:r>
            <w:r>
              <w:rPr>
                <w:rFonts w:hint="eastAsia" w:ascii="Times New Roman" w:hAnsi="Times New Roman" w:cs="Times New Roman"/>
                <w:sz w:val="24"/>
                <w:szCs w:val="24"/>
                <w:u w:val="single"/>
                <w:lang w:val="en-US" w:eastAsia="zh-CN"/>
              </w:rPr>
              <w:t>32</w:t>
            </w:r>
            <w:r>
              <w:rPr>
                <w:rFonts w:hint="default" w:ascii="Times New Roman" w:hAnsi="Times New Roman" w:cs="Times New Roman"/>
                <w:sz w:val="24"/>
                <w:szCs w:val="24"/>
                <w:u w:val="single"/>
              </w:rPr>
              <w:t>kg/a。钢筋加工区共设置1台移动式焊接烟尘净化器，焊接烟尘经集气罩吸入移动式焊接烟尘净化器内进行过滤吸附处理后无组织排放，焊接烟尘净化器处理效率可达99%以上，年工作时间为2400h，则焊接烟尘排放量为</w:t>
            </w:r>
            <w:r>
              <w:rPr>
                <w:rFonts w:hint="eastAsia" w:ascii="Times New Roman" w:hAnsi="Times New Roman" w:cs="Times New Roman"/>
                <w:sz w:val="24"/>
                <w:szCs w:val="24"/>
                <w:u w:val="single"/>
                <w:lang w:val="en-US" w:eastAsia="zh-CN"/>
              </w:rPr>
              <w:t>0.32</w:t>
            </w:r>
            <w:r>
              <w:rPr>
                <w:rFonts w:hint="default" w:ascii="Times New Roman" w:hAnsi="Times New Roman" w:cs="Times New Roman"/>
                <w:sz w:val="24"/>
                <w:szCs w:val="24"/>
                <w:u w:val="single"/>
              </w:rPr>
              <w:t>kg/a</w:t>
            </w:r>
            <w:r>
              <w:rPr>
                <w:rFonts w:hint="eastAsia" w:ascii="Times New Roman" w:hAnsi="Times New Roman" w:cs="Times New Roman"/>
                <w:sz w:val="24"/>
                <w:szCs w:val="24"/>
                <w:u w:val="single"/>
                <w:lang w:eastAsia="zh-CN"/>
              </w:rPr>
              <w:t>。</w:t>
            </w:r>
          </w:p>
          <w:p w14:paraId="67569C8B">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u w:val="single"/>
                <w:lang w:eastAsia="zh-CN"/>
              </w:rPr>
            </w:pPr>
            <w:r>
              <w:rPr>
                <w:rFonts w:hint="default" w:ascii="Times New Roman" w:hAnsi="Times New Roman" w:eastAsia="宋体" w:cs="Times New Roman"/>
                <w:sz w:val="24"/>
                <w:szCs w:val="24"/>
                <w:u w:val="single"/>
                <w:lang w:eastAsia="zh-CN"/>
              </w:rPr>
              <w:t>2、废水</w:t>
            </w:r>
          </w:p>
          <w:p w14:paraId="589A4737">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sz w:val="24"/>
                <w:szCs w:val="24"/>
                <w:u w:val="single"/>
                <w:lang w:val="en-US" w:eastAsia="zh-CN"/>
              </w:rPr>
            </w:pPr>
            <w:r>
              <w:rPr>
                <w:rFonts w:hint="default" w:ascii="Times New Roman" w:hAnsi="Times New Roman" w:eastAsia="宋体" w:cs="Times New Roman"/>
                <w:color w:val="000000"/>
                <w:sz w:val="24"/>
                <w:szCs w:val="24"/>
                <w:u w:val="single"/>
                <w:lang w:val="en-US" w:eastAsia="zh-CN"/>
              </w:rPr>
              <w:t>项目</w:t>
            </w:r>
            <w:r>
              <w:rPr>
                <w:rFonts w:hint="eastAsia" w:ascii="Times New Roman" w:hAnsi="Times New Roman" w:cs="Times New Roman"/>
                <w:color w:val="000000"/>
                <w:sz w:val="24"/>
                <w:szCs w:val="24"/>
                <w:u w:val="single"/>
                <w:lang w:val="en-US" w:eastAsia="zh-CN"/>
              </w:rPr>
              <w:t>扩建前</w:t>
            </w:r>
            <w:r>
              <w:rPr>
                <w:rFonts w:hint="default" w:ascii="Times New Roman" w:hAnsi="Times New Roman" w:eastAsia="宋体" w:cs="Times New Roman"/>
                <w:color w:val="000000"/>
                <w:sz w:val="24"/>
                <w:szCs w:val="24"/>
                <w:u w:val="single"/>
                <w:lang w:val="en-US" w:eastAsia="zh-CN"/>
              </w:rPr>
              <w:t>实行雨污分流制，雨水经厂区沟渠流入沉淀池。废水主要为员工生活污水、养护废水和搅拌机清洗废水。</w:t>
            </w:r>
          </w:p>
          <w:p w14:paraId="6229C687">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sz w:val="24"/>
                <w:szCs w:val="24"/>
                <w:u w:val="single"/>
                <w:lang w:val="en-US" w:eastAsia="zh-CN"/>
              </w:rPr>
            </w:pPr>
            <w:r>
              <w:rPr>
                <w:rFonts w:hint="default" w:ascii="Times New Roman" w:hAnsi="Times New Roman" w:eastAsia="宋体" w:cs="Times New Roman"/>
                <w:color w:val="000000"/>
                <w:sz w:val="24"/>
                <w:szCs w:val="24"/>
                <w:u w:val="single"/>
                <w:lang w:val="en-US" w:eastAsia="zh-CN"/>
              </w:rPr>
              <w:t>场地抑尘用水全部蒸发，混凝土搅拌用水大部分进入产品，部分挥发到空气中，养护废水、搅拌机清洗废水经沉淀池沉淀后全部回用于生产。生活污水经化粪池处理后用作周边农肥，不外排。</w:t>
            </w:r>
          </w:p>
          <w:p w14:paraId="3A953A1A">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sz w:val="24"/>
                <w:szCs w:val="24"/>
                <w:u w:val="single"/>
                <w:lang w:val="en-US" w:eastAsia="zh-CN"/>
              </w:rPr>
            </w:pPr>
            <w:r>
              <w:rPr>
                <w:rFonts w:hint="default" w:ascii="Times New Roman" w:hAnsi="Times New Roman" w:eastAsia="宋体" w:cs="Times New Roman"/>
                <w:color w:val="000000"/>
                <w:sz w:val="24"/>
                <w:szCs w:val="24"/>
                <w:u w:val="single"/>
                <w:lang w:val="en-US" w:eastAsia="zh-CN"/>
              </w:rPr>
              <w:t>生活污水：</w:t>
            </w:r>
            <w:r>
              <w:rPr>
                <w:rFonts w:hint="eastAsia" w:ascii="Times New Roman" w:hAnsi="Times New Roman" w:cs="Times New Roman"/>
                <w:color w:val="000000"/>
                <w:sz w:val="24"/>
                <w:szCs w:val="24"/>
                <w:u w:val="single"/>
                <w:lang w:val="en-US" w:eastAsia="zh-CN"/>
              </w:rPr>
              <w:t>职工人数为7人，</w:t>
            </w:r>
            <w:r>
              <w:rPr>
                <w:rFonts w:hint="default" w:ascii="Times New Roman" w:hAnsi="Times New Roman" w:eastAsia="宋体" w:cs="Times New Roman"/>
                <w:color w:val="000000"/>
                <w:sz w:val="24"/>
                <w:szCs w:val="24"/>
                <w:u w:val="single"/>
                <w:lang w:val="en-US" w:eastAsia="zh-CN"/>
              </w:rPr>
              <w:t>故生活污水产生量为</w:t>
            </w:r>
            <w:r>
              <w:rPr>
                <w:rFonts w:hint="eastAsia" w:ascii="Times New Roman" w:hAnsi="Times New Roman" w:cs="Times New Roman"/>
                <w:color w:val="000000"/>
                <w:sz w:val="24"/>
                <w:szCs w:val="24"/>
                <w:u w:val="single"/>
                <w:lang w:val="en-US" w:eastAsia="zh-CN"/>
              </w:rPr>
              <w:t>63.84</w:t>
            </w:r>
            <w:r>
              <w:rPr>
                <w:rFonts w:hint="default" w:ascii="Times New Roman" w:hAnsi="Times New Roman" w:eastAsia="宋体" w:cs="Times New Roman"/>
                <w:color w:val="000000"/>
                <w:sz w:val="24"/>
                <w:szCs w:val="24"/>
                <w:u w:val="single"/>
                <w:lang w:val="en-US" w:eastAsia="zh-CN"/>
              </w:rPr>
              <w:t>t/a。</w:t>
            </w:r>
          </w:p>
          <w:p w14:paraId="286288F1">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sz w:val="24"/>
                <w:szCs w:val="24"/>
                <w:u w:val="single"/>
                <w:lang w:val="en-US" w:eastAsia="zh-CN"/>
              </w:rPr>
            </w:pPr>
            <w:r>
              <w:rPr>
                <w:rFonts w:hint="default" w:ascii="Times New Roman" w:hAnsi="Times New Roman" w:eastAsia="宋体" w:cs="Times New Roman"/>
                <w:color w:val="000000"/>
                <w:sz w:val="24"/>
                <w:szCs w:val="24"/>
                <w:u w:val="single"/>
                <w:lang w:val="en-US" w:eastAsia="zh-CN"/>
              </w:rPr>
              <w:t>养护废水：养护用水为</w:t>
            </w:r>
            <w:r>
              <w:rPr>
                <w:rFonts w:hint="eastAsia" w:ascii="Times New Roman" w:hAnsi="Times New Roman" w:cs="Times New Roman"/>
                <w:color w:val="000000"/>
                <w:sz w:val="24"/>
                <w:szCs w:val="24"/>
                <w:u w:val="single"/>
                <w:lang w:val="en-US" w:eastAsia="zh-CN"/>
              </w:rPr>
              <w:t>15.09</w:t>
            </w:r>
            <w:r>
              <w:rPr>
                <w:rFonts w:hint="default" w:ascii="Times New Roman" w:hAnsi="Times New Roman" w:eastAsia="宋体" w:cs="Times New Roman"/>
                <w:color w:val="000000"/>
                <w:sz w:val="24"/>
                <w:szCs w:val="24"/>
                <w:u w:val="single"/>
                <w:lang w:val="en-US" w:eastAsia="zh-CN"/>
              </w:rPr>
              <w:t>t/a，90%作蒸汽消耗，冷凝部分约为10%，则养护废水产生量为</w:t>
            </w:r>
            <w:r>
              <w:rPr>
                <w:rFonts w:hint="eastAsia" w:ascii="Times New Roman" w:hAnsi="Times New Roman" w:cs="Times New Roman"/>
                <w:color w:val="000000"/>
                <w:sz w:val="24"/>
                <w:szCs w:val="24"/>
                <w:u w:val="single"/>
                <w:lang w:val="en-US" w:eastAsia="zh-CN"/>
              </w:rPr>
              <w:t>1.509</w:t>
            </w:r>
            <w:r>
              <w:rPr>
                <w:rFonts w:hint="default" w:ascii="Times New Roman" w:hAnsi="Times New Roman" w:eastAsia="宋体" w:cs="Times New Roman"/>
                <w:color w:val="000000"/>
                <w:sz w:val="24"/>
                <w:szCs w:val="24"/>
                <w:u w:val="single"/>
                <w:lang w:val="en-US" w:eastAsia="zh-CN"/>
              </w:rPr>
              <w:t>t/a。</w:t>
            </w:r>
          </w:p>
          <w:p w14:paraId="6FB26C16">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kern w:val="0"/>
                <w:sz w:val="24"/>
                <w:szCs w:val="24"/>
                <w:u w:val="single"/>
              </w:rPr>
            </w:pPr>
            <w:r>
              <w:rPr>
                <w:rFonts w:hint="default" w:ascii="Times New Roman" w:hAnsi="Times New Roman" w:eastAsia="宋体" w:cs="Times New Roman"/>
                <w:color w:val="000000"/>
                <w:sz w:val="24"/>
                <w:szCs w:val="24"/>
                <w:u w:val="single"/>
                <w:lang w:val="en-US" w:eastAsia="zh-CN"/>
              </w:rPr>
              <w:t>搅拌机清洗废水：搅拌机清洗用水量为</w:t>
            </w:r>
            <w:r>
              <w:rPr>
                <w:rFonts w:hint="eastAsia" w:ascii="Times New Roman" w:hAnsi="Times New Roman" w:cs="Times New Roman"/>
                <w:color w:val="000000"/>
                <w:sz w:val="24"/>
                <w:szCs w:val="24"/>
                <w:u w:val="single"/>
                <w:lang w:val="en-US" w:eastAsia="zh-CN"/>
              </w:rPr>
              <w:t>75</w:t>
            </w:r>
            <w:r>
              <w:rPr>
                <w:rFonts w:hint="default" w:ascii="Times New Roman" w:hAnsi="Times New Roman" w:eastAsia="宋体" w:cs="Times New Roman"/>
                <w:color w:val="000000"/>
                <w:sz w:val="24"/>
                <w:szCs w:val="24"/>
                <w:u w:val="single"/>
                <w:lang w:val="en-US" w:eastAsia="zh-CN"/>
              </w:rPr>
              <w:t>t/a，清洗损耗20%，则搅拌机清洗废水产生量为</w:t>
            </w:r>
            <w:r>
              <w:rPr>
                <w:rFonts w:hint="eastAsia" w:ascii="Times New Roman" w:hAnsi="Times New Roman" w:cs="Times New Roman"/>
                <w:color w:val="000000"/>
                <w:sz w:val="24"/>
                <w:szCs w:val="24"/>
                <w:u w:val="single"/>
                <w:lang w:val="en-US" w:eastAsia="zh-CN"/>
              </w:rPr>
              <w:t>60</w:t>
            </w:r>
            <w:r>
              <w:rPr>
                <w:rFonts w:hint="default" w:ascii="Times New Roman" w:hAnsi="Times New Roman" w:eastAsia="宋体" w:cs="Times New Roman"/>
                <w:color w:val="000000"/>
                <w:sz w:val="24"/>
                <w:szCs w:val="24"/>
                <w:u w:val="single"/>
                <w:lang w:val="en-US" w:eastAsia="zh-CN"/>
              </w:rPr>
              <w:t>t/a</w:t>
            </w:r>
            <w:r>
              <w:rPr>
                <w:rFonts w:hint="default" w:ascii="Times New Roman" w:hAnsi="Times New Roman" w:eastAsia="宋体" w:cs="Times New Roman"/>
                <w:color w:val="000000"/>
                <w:sz w:val="24"/>
                <w:szCs w:val="24"/>
                <w:u w:val="single"/>
              </w:rPr>
              <w:t>。</w:t>
            </w:r>
          </w:p>
          <w:p w14:paraId="43BFCD13">
            <w:pPr>
              <w:pStyle w:val="2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3、噪声</w:t>
            </w:r>
          </w:p>
          <w:p w14:paraId="2E18A09F">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项目夜间不生产，主要噪声源主要为行车、搅拌机、离心机、镦头机等设备及运输车辆。</w:t>
            </w:r>
          </w:p>
          <w:p w14:paraId="608AE649">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color w:val="000000"/>
                <w:sz w:val="24"/>
                <w:szCs w:val="24"/>
                <w:u w:val="single"/>
              </w:rPr>
            </w:pPr>
            <w:r>
              <w:rPr>
                <w:rFonts w:hint="default" w:ascii="Times New Roman" w:hAnsi="Times New Roman" w:eastAsia="宋体" w:cs="Times New Roman"/>
                <w:bCs/>
                <w:color w:val="000000"/>
                <w:sz w:val="24"/>
                <w:szCs w:val="24"/>
                <w:u w:val="single"/>
              </w:rPr>
              <w:t>4、固体废物</w:t>
            </w:r>
          </w:p>
          <w:p w14:paraId="4EF027D0">
            <w:pPr>
              <w:pStyle w:val="127"/>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本项目运营期固废可分为生活垃圾、一般工业固废和危险废物等</w:t>
            </w:r>
          </w:p>
          <w:p w14:paraId="14700304">
            <w:pPr>
              <w:pStyle w:val="103"/>
              <w:rPr>
                <w:rFonts w:hint="default" w:ascii="Times New Roman" w:hAnsi="Times New Roman" w:cs="Times New Roman"/>
                <w:sz w:val="24"/>
                <w:szCs w:val="24"/>
                <w:u w:val="single"/>
              </w:rPr>
            </w:pPr>
            <w:r>
              <w:rPr>
                <w:rFonts w:hint="default" w:ascii="Times New Roman" w:hAnsi="Times New Roman" w:cs="Times New Roman"/>
                <w:sz w:val="24"/>
                <w:szCs w:val="24"/>
                <w:u w:val="single"/>
              </w:rPr>
              <w:t>（1）生活垃圾</w:t>
            </w:r>
          </w:p>
          <w:p w14:paraId="265EA8A8">
            <w:pPr>
              <w:pStyle w:val="127"/>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本项目</w:t>
            </w:r>
            <w:r>
              <w:rPr>
                <w:rFonts w:hint="eastAsia" w:ascii="Times New Roman" w:hAnsi="Times New Roman" w:cs="Times New Roman"/>
                <w:sz w:val="24"/>
                <w:szCs w:val="24"/>
                <w:u w:val="single"/>
                <w:lang w:eastAsia="zh-CN"/>
              </w:rPr>
              <w:t>扩建前</w:t>
            </w:r>
            <w:r>
              <w:rPr>
                <w:rFonts w:hint="default" w:ascii="Times New Roman" w:hAnsi="Times New Roman" w:cs="Times New Roman"/>
                <w:sz w:val="24"/>
                <w:szCs w:val="24"/>
                <w:u w:val="single"/>
              </w:rPr>
              <w:t>劳动定员</w:t>
            </w:r>
            <w:r>
              <w:rPr>
                <w:rFonts w:hint="eastAsia" w:ascii="Times New Roman" w:hAnsi="Times New Roman" w:cs="Times New Roman"/>
                <w:sz w:val="24"/>
                <w:szCs w:val="24"/>
                <w:u w:val="single"/>
                <w:lang w:val="en-US" w:eastAsia="zh-CN"/>
              </w:rPr>
              <w:t>7</w:t>
            </w:r>
            <w:r>
              <w:rPr>
                <w:rFonts w:hint="default" w:ascii="Times New Roman" w:hAnsi="Times New Roman" w:cs="Times New Roman"/>
                <w:sz w:val="24"/>
                <w:szCs w:val="24"/>
                <w:u w:val="single"/>
              </w:rPr>
              <w:t>人，均不在厂内食宿。不在厂内食宿员工生活垃圾约0.5kg/人·天，则本项目营运期生活垃圾产生量为1</w:t>
            </w:r>
            <w:r>
              <w:rPr>
                <w:rFonts w:hint="eastAsia" w:ascii="Times New Roman" w:hAnsi="Times New Roman" w:cs="Times New Roman"/>
                <w:sz w:val="24"/>
                <w:szCs w:val="24"/>
                <w:u w:val="single"/>
                <w:lang w:val="en-US" w:eastAsia="zh-CN"/>
              </w:rPr>
              <w:t>.0</w:t>
            </w:r>
            <w:r>
              <w:rPr>
                <w:rFonts w:hint="default" w:ascii="Times New Roman" w:hAnsi="Times New Roman" w:cs="Times New Roman"/>
                <w:sz w:val="24"/>
                <w:szCs w:val="24"/>
                <w:u w:val="single"/>
              </w:rPr>
              <w:t>5t/a。厂内生活垃圾经收集后定期由环卫部门清运。</w:t>
            </w:r>
          </w:p>
          <w:p w14:paraId="12057341">
            <w:pPr>
              <w:pStyle w:val="127"/>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（2）一般工业固废</w:t>
            </w:r>
          </w:p>
          <w:p w14:paraId="46C71584">
            <w:pPr>
              <w:pStyle w:val="127"/>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项目</w:t>
            </w:r>
            <w:r>
              <w:rPr>
                <w:rFonts w:hint="eastAsia" w:ascii="Times New Roman" w:hAnsi="Times New Roman" w:cs="Times New Roman"/>
                <w:sz w:val="24"/>
                <w:szCs w:val="24"/>
                <w:u w:val="single"/>
                <w:lang w:eastAsia="zh-CN"/>
              </w:rPr>
              <w:t>扩建前</w:t>
            </w:r>
            <w:r>
              <w:rPr>
                <w:rFonts w:hint="default" w:ascii="Times New Roman" w:hAnsi="Times New Roman" w:cs="Times New Roman"/>
                <w:sz w:val="24"/>
                <w:szCs w:val="24"/>
                <w:u w:val="single"/>
              </w:rPr>
              <w:t>一般工业固体废物有边角料、水泥浆、废焊渣等。</w:t>
            </w:r>
          </w:p>
          <w:p w14:paraId="4B58CEDC">
            <w:pPr>
              <w:pStyle w:val="127"/>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fldChar w:fldCharType="begin"/>
            </w:r>
            <w:r>
              <w:rPr>
                <w:rFonts w:hint="default" w:ascii="Times New Roman" w:hAnsi="Times New Roman" w:cs="Times New Roman"/>
                <w:sz w:val="24"/>
                <w:szCs w:val="24"/>
                <w:u w:val="single"/>
              </w:rPr>
              <w:instrText xml:space="preserve"> = 1 \* GB3 \* MERGEFORMAT </w:instrText>
            </w:r>
            <w:r>
              <w:rPr>
                <w:rFonts w:hint="default" w:ascii="Times New Roman" w:hAnsi="Times New Roman" w:cs="Times New Roman"/>
                <w:sz w:val="24"/>
                <w:szCs w:val="24"/>
                <w:u w:val="single"/>
              </w:rPr>
              <w:fldChar w:fldCharType="separate"/>
            </w:r>
            <w:r>
              <w:rPr>
                <w:rFonts w:hint="default" w:ascii="Times New Roman" w:hAnsi="Times New Roman" w:cs="Times New Roman"/>
                <w:sz w:val="24"/>
                <w:szCs w:val="24"/>
                <w:u w:val="single"/>
              </w:rPr>
              <w:t>①</w:t>
            </w:r>
            <w:r>
              <w:rPr>
                <w:rFonts w:hint="default" w:ascii="Times New Roman" w:hAnsi="Times New Roman" w:cs="Times New Roman"/>
                <w:sz w:val="24"/>
                <w:szCs w:val="24"/>
                <w:u w:val="single"/>
              </w:rPr>
              <w:fldChar w:fldCharType="end"/>
            </w:r>
            <w:r>
              <w:rPr>
                <w:rFonts w:hint="default" w:ascii="Times New Roman" w:hAnsi="Times New Roman" w:cs="Times New Roman"/>
                <w:sz w:val="24"/>
                <w:szCs w:val="24"/>
                <w:u w:val="single"/>
              </w:rPr>
              <w:t>边角料：项目在制作电线杆骨架过程中将产生的边角料，年产量为</w:t>
            </w:r>
            <w:r>
              <w:rPr>
                <w:rFonts w:hint="eastAsia" w:cs="Times New Roman"/>
                <w:sz w:val="24"/>
                <w:szCs w:val="24"/>
                <w:u w:val="single"/>
                <w:lang w:val="en-US" w:eastAsia="zh-CN"/>
              </w:rPr>
              <w:t>1.14</w:t>
            </w:r>
            <w:r>
              <w:rPr>
                <w:rFonts w:hint="default" w:ascii="Times New Roman" w:hAnsi="Times New Roman" w:cs="Times New Roman"/>
                <w:sz w:val="24"/>
                <w:szCs w:val="24"/>
                <w:u w:val="single"/>
              </w:rPr>
              <w:t>t，暂存于一般固体废物暂存区，收集后外售。</w:t>
            </w:r>
          </w:p>
          <w:p w14:paraId="016E9316">
            <w:pPr>
              <w:pStyle w:val="127"/>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fldChar w:fldCharType="begin"/>
            </w:r>
            <w:r>
              <w:rPr>
                <w:rFonts w:hint="default" w:ascii="Times New Roman" w:hAnsi="Times New Roman" w:cs="Times New Roman"/>
                <w:sz w:val="24"/>
                <w:szCs w:val="24"/>
                <w:u w:val="single"/>
              </w:rPr>
              <w:instrText xml:space="preserve"> = 2 \* GB3 \* MERGEFORMAT </w:instrText>
            </w:r>
            <w:r>
              <w:rPr>
                <w:rFonts w:hint="default" w:ascii="Times New Roman" w:hAnsi="Times New Roman" w:cs="Times New Roman"/>
                <w:sz w:val="24"/>
                <w:szCs w:val="24"/>
                <w:u w:val="single"/>
              </w:rPr>
              <w:fldChar w:fldCharType="separate"/>
            </w:r>
            <w:r>
              <w:rPr>
                <w:rFonts w:hint="default" w:ascii="Times New Roman" w:hAnsi="Times New Roman" w:cs="Times New Roman"/>
                <w:sz w:val="24"/>
                <w:szCs w:val="24"/>
                <w:u w:val="single"/>
              </w:rPr>
              <w:t>②</w:t>
            </w:r>
            <w:r>
              <w:rPr>
                <w:rFonts w:hint="default" w:ascii="Times New Roman" w:hAnsi="Times New Roman" w:cs="Times New Roman"/>
                <w:sz w:val="24"/>
                <w:szCs w:val="24"/>
                <w:u w:val="single"/>
              </w:rPr>
              <w:fldChar w:fldCharType="end"/>
            </w:r>
            <w:r>
              <w:rPr>
                <w:rFonts w:hint="default" w:ascii="Times New Roman" w:hAnsi="Times New Roman" w:cs="Times New Roman"/>
                <w:sz w:val="24"/>
                <w:szCs w:val="24"/>
                <w:u w:val="single"/>
              </w:rPr>
              <w:t>水泥浆：项目成型车间在离心过程中会会产生水泥浆，年产生量为</w:t>
            </w:r>
            <w:r>
              <w:rPr>
                <w:rFonts w:hint="eastAsia" w:ascii="Times New Roman" w:hAnsi="Times New Roman" w:cs="Times New Roman"/>
                <w:sz w:val="24"/>
                <w:szCs w:val="24"/>
                <w:u w:val="single"/>
                <w:lang w:val="en-US" w:eastAsia="zh-CN"/>
              </w:rPr>
              <w:t>0.9</w:t>
            </w:r>
            <w:r>
              <w:rPr>
                <w:rFonts w:hint="default" w:ascii="Times New Roman" w:hAnsi="Times New Roman" w:cs="Times New Roman"/>
                <w:sz w:val="24"/>
                <w:szCs w:val="24"/>
                <w:u w:val="single"/>
              </w:rPr>
              <w:t>t，暂存于一般固体废物暂存区，收集后外售。</w:t>
            </w:r>
          </w:p>
          <w:p w14:paraId="02432740">
            <w:pPr>
              <w:pStyle w:val="127"/>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fldChar w:fldCharType="begin"/>
            </w:r>
            <w:r>
              <w:rPr>
                <w:rFonts w:hint="default" w:ascii="Times New Roman" w:hAnsi="Times New Roman" w:cs="Times New Roman"/>
                <w:sz w:val="24"/>
                <w:szCs w:val="24"/>
                <w:u w:val="single"/>
              </w:rPr>
              <w:instrText xml:space="preserve"> = 3 \* GB3 \* MERGEFORMAT </w:instrText>
            </w:r>
            <w:r>
              <w:rPr>
                <w:rFonts w:hint="default" w:ascii="Times New Roman" w:hAnsi="Times New Roman" w:cs="Times New Roman"/>
                <w:sz w:val="24"/>
                <w:szCs w:val="24"/>
                <w:u w:val="single"/>
              </w:rPr>
              <w:fldChar w:fldCharType="separate"/>
            </w:r>
            <w:r>
              <w:rPr>
                <w:rFonts w:hint="default" w:ascii="Times New Roman" w:hAnsi="Times New Roman" w:cs="Times New Roman"/>
                <w:sz w:val="24"/>
                <w:szCs w:val="24"/>
                <w:u w:val="single"/>
              </w:rPr>
              <w:t>③</w:t>
            </w:r>
            <w:r>
              <w:rPr>
                <w:rFonts w:hint="default" w:ascii="Times New Roman" w:hAnsi="Times New Roman" w:cs="Times New Roman"/>
                <w:sz w:val="24"/>
                <w:szCs w:val="24"/>
                <w:u w:val="single"/>
              </w:rPr>
              <w:fldChar w:fldCharType="end"/>
            </w:r>
            <w:r>
              <w:rPr>
                <w:rFonts w:hint="default" w:ascii="Times New Roman" w:hAnsi="Times New Roman" w:cs="Times New Roman"/>
                <w:sz w:val="24"/>
                <w:szCs w:val="24"/>
                <w:u w:val="single"/>
              </w:rPr>
              <w:t>废焊渣：项目焊接工序会产生废焊渣，年产生量为</w:t>
            </w:r>
            <w:r>
              <w:rPr>
                <w:rFonts w:hint="eastAsia" w:ascii="Times New Roman" w:hAnsi="Times New Roman" w:cs="Times New Roman"/>
                <w:sz w:val="24"/>
                <w:szCs w:val="24"/>
                <w:u w:val="single"/>
                <w:lang w:val="en-US" w:eastAsia="zh-CN"/>
              </w:rPr>
              <w:t>0.02</w:t>
            </w:r>
            <w:r>
              <w:rPr>
                <w:rFonts w:hint="default" w:ascii="Times New Roman" w:hAnsi="Times New Roman" w:cs="Times New Roman"/>
                <w:sz w:val="24"/>
                <w:szCs w:val="24"/>
                <w:u w:val="single"/>
              </w:rPr>
              <w:t>t，暂存于一般固体废物暂存区，收集后外售。</w:t>
            </w:r>
          </w:p>
          <w:p w14:paraId="61C0A2B7">
            <w:pPr>
              <w:pStyle w:val="127"/>
              <w:ind w:firstLine="420"/>
              <w:rPr>
                <w:rFonts w:hint="eastAsia" w:ascii="Times New Roman" w:hAnsi="Times New Roman" w:eastAsia="宋体" w:cs="Times New Roman"/>
                <w:sz w:val="24"/>
                <w:szCs w:val="24"/>
                <w:u w:val="single"/>
                <w:lang w:eastAsia="zh-CN"/>
              </w:rPr>
            </w:pPr>
            <w:r>
              <w:rPr>
                <w:rFonts w:hint="eastAsia" w:cs="Times New Roman"/>
                <w:sz w:val="24"/>
                <w:szCs w:val="24"/>
                <w:u w:val="single"/>
                <w:lang w:eastAsia="zh-CN"/>
              </w:rPr>
              <w:t>④</w:t>
            </w:r>
            <w:r>
              <w:rPr>
                <w:rFonts w:hint="default" w:ascii="Times New Roman" w:hAnsi="Times New Roman" w:cs="Times New Roman"/>
                <w:sz w:val="24"/>
                <w:szCs w:val="24"/>
                <w:u w:val="single"/>
              </w:rPr>
              <w:t>生物质燃料灰渣</w:t>
            </w:r>
            <w:r>
              <w:rPr>
                <w:rFonts w:hint="default" w:ascii="Times New Roman" w:hAnsi="Times New Roman" w:cs="Times New Roman"/>
                <w:sz w:val="24"/>
                <w:szCs w:val="24"/>
                <w:u w:val="single"/>
                <w:lang w:eastAsia="zh-CN"/>
              </w:rPr>
              <w:t>：</w:t>
            </w:r>
            <w:r>
              <w:rPr>
                <w:rFonts w:hint="default" w:ascii="Times New Roman" w:hAnsi="Times New Roman" w:cs="Times New Roman"/>
                <w:sz w:val="24"/>
                <w:szCs w:val="24"/>
                <w:u w:val="single"/>
              </w:rPr>
              <w:t>生物质成型燃料灰分约为8%，年产生量为</w:t>
            </w:r>
            <w:r>
              <w:rPr>
                <w:rFonts w:hint="eastAsia" w:ascii="Times New Roman" w:hAnsi="Times New Roman" w:cs="Times New Roman"/>
                <w:sz w:val="24"/>
                <w:szCs w:val="24"/>
                <w:u w:val="single"/>
                <w:lang w:val="en-US" w:eastAsia="zh-CN"/>
              </w:rPr>
              <w:t>3.78，</w:t>
            </w:r>
            <w:r>
              <w:rPr>
                <w:rFonts w:hint="default" w:ascii="Times New Roman" w:hAnsi="Times New Roman" w:cs="Times New Roman"/>
                <w:sz w:val="24"/>
                <w:szCs w:val="24"/>
                <w:u w:val="single"/>
              </w:rPr>
              <w:t>由周边农户收集用于农田施肥</w:t>
            </w:r>
            <w:r>
              <w:rPr>
                <w:rFonts w:hint="eastAsia" w:cs="Times New Roman"/>
                <w:sz w:val="24"/>
                <w:szCs w:val="24"/>
                <w:u w:val="single"/>
                <w:lang w:eastAsia="zh-CN"/>
              </w:rPr>
              <w:t>。</w:t>
            </w:r>
          </w:p>
          <w:p w14:paraId="7AABB8A3">
            <w:pPr>
              <w:pStyle w:val="127"/>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（3）危险废物</w:t>
            </w:r>
          </w:p>
          <w:p w14:paraId="027905E8">
            <w:pPr>
              <w:pStyle w:val="127"/>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项目危险废物有废润滑油桶和含油抹布。</w:t>
            </w:r>
          </w:p>
          <w:p w14:paraId="27FA41B3">
            <w:pPr>
              <w:pStyle w:val="127"/>
              <w:ind w:firstLine="420"/>
              <w:jc w:val="both"/>
              <w:rPr>
                <w:rFonts w:hint="default" w:ascii="Times New Roman" w:hAnsi="Times New Roman" w:cs="Times New Roman"/>
                <w:sz w:val="24"/>
                <w:szCs w:val="24"/>
                <w:u w:val="single"/>
              </w:rPr>
            </w:pPr>
            <w:r>
              <w:rPr>
                <w:rFonts w:hint="default" w:ascii="Times New Roman" w:hAnsi="Times New Roman" w:cs="Times New Roman"/>
                <w:sz w:val="24"/>
                <w:szCs w:val="24"/>
                <w:u w:val="single"/>
              </w:rPr>
              <w:t>①废润滑油桶：项目机械设备维修养护过程中使用的废润滑油将产生废润滑油桶，年产生量约为0.0</w:t>
            </w:r>
            <w:r>
              <w:rPr>
                <w:rFonts w:hint="eastAsia" w:ascii="Times New Roman" w:hAnsi="Times New Roman" w:cs="Times New Roman"/>
                <w:sz w:val="24"/>
                <w:szCs w:val="24"/>
                <w:u w:val="single"/>
                <w:lang w:val="en-US" w:eastAsia="zh-CN"/>
              </w:rPr>
              <w:t>1</w:t>
            </w:r>
            <w:r>
              <w:rPr>
                <w:rFonts w:hint="default" w:ascii="Times New Roman" w:hAnsi="Times New Roman" w:cs="Times New Roman"/>
                <w:sz w:val="24"/>
                <w:szCs w:val="24"/>
                <w:u w:val="single"/>
              </w:rPr>
              <w:t>t/a，按《国家危险废物名录》（2021版），属于HW08废矿物油与含矿物油废物，废物代码为900-249-08（危险特性T，I）。经收集后暂存于危险废物暂存间，定期交由有资质单位处置。</w:t>
            </w:r>
          </w:p>
          <w:p w14:paraId="2AF943ED">
            <w:pPr>
              <w:pStyle w:val="38"/>
              <w:keepNext w:val="0"/>
              <w:keepLines w:val="0"/>
              <w:pageBreakBefore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sz w:val="24"/>
                <w:szCs w:val="24"/>
                <w:u w:val="single"/>
              </w:rPr>
            </w:pPr>
            <w:r>
              <w:rPr>
                <w:rFonts w:hint="default" w:ascii="Times New Roman" w:hAnsi="Times New Roman" w:cs="Times New Roman"/>
                <w:sz w:val="24"/>
                <w:szCs w:val="24"/>
                <w:u w:val="single"/>
              </w:rPr>
              <w:t>①废含油抹布：项目机械设备维修养护过程中使用的废润滑油将产生废含油抹布，年产生量约为0.0</w:t>
            </w:r>
            <w:r>
              <w:rPr>
                <w:rFonts w:hint="eastAsia" w:ascii="Times New Roman" w:hAnsi="Times New Roman" w:cs="Times New Roman"/>
                <w:sz w:val="24"/>
                <w:szCs w:val="24"/>
                <w:u w:val="single"/>
                <w:lang w:val="en-US" w:eastAsia="zh-CN"/>
              </w:rPr>
              <w:t>25</w:t>
            </w:r>
            <w:r>
              <w:rPr>
                <w:rFonts w:hint="default" w:ascii="Times New Roman" w:hAnsi="Times New Roman" w:cs="Times New Roman"/>
                <w:sz w:val="24"/>
                <w:szCs w:val="24"/>
                <w:u w:val="single"/>
              </w:rPr>
              <w:t>t/a，按《国家危险废物名录》（2021版），属于HW49 其他废物，废物代码为900-041-49（危险特性T/In）。经收集后暂存于危险废物暂存间，定期交由有资质单位处置。</w:t>
            </w:r>
          </w:p>
          <w:p w14:paraId="2CF84038">
            <w:pPr>
              <w:pStyle w:val="38"/>
              <w:keepNext w:val="0"/>
              <w:keepLines w:val="0"/>
              <w:pageBreakBefore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color w:val="000000"/>
                <w:kern w:val="0"/>
                <w:sz w:val="24"/>
                <w:szCs w:val="24"/>
                <w:u w:val="single"/>
                <w:lang w:eastAsia="zh-CN"/>
              </w:rPr>
            </w:pPr>
            <w:r>
              <w:rPr>
                <w:rFonts w:hint="eastAsia" w:ascii="Times New Roman" w:hAnsi="Times New Roman" w:eastAsia="宋体" w:cs="Times New Roman"/>
                <w:color w:val="000000"/>
                <w:kern w:val="0"/>
                <w:sz w:val="24"/>
                <w:szCs w:val="24"/>
                <w:u w:val="single"/>
                <w:lang w:val="en-US" w:eastAsia="zh-CN"/>
              </w:rPr>
              <w:t>4、</w:t>
            </w:r>
            <w:r>
              <w:rPr>
                <w:rFonts w:hint="eastAsia" w:ascii="Times New Roman" w:hAnsi="Times New Roman" w:eastAsia="宋体" w:cs="Times New Roman"/>
                <w:color w:val="000000"/>
                <w:kern w:val="0"/>
                <w:sz w:val="24"/>
                <w:szCs w:val="24"/>
                <w:u w:val="single"/>
                <w:lang w:eastAsia="zh-CN"/>
              </w:rPr>
              <w:t>现有污染源情况汇总</w:t>
            </w:r>
          </w:p>
          <w:p w14:paraId="211C4799">
            <w:pPr>
              <w:pStyle w:val="38"/>
              <w:keepNext w:val="0"/>
              <w:keepLines w:val="0"/>
              <w:pageBreakBefore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kern w:val="0"/>
                <w:sz w:val="24"/>
                <w:szCs w:val="24"/>
                <w:u w:val="single"/>
              </w:rPr>
            </w:pPr>
            <w:r>
              <w:rPr>
                <w:rFonts w:hint="default" w:ascii="Times New Roman" w:hAnsi="Times New Roman" w:eastAsia="宋体" w:cs="Times New Roman"/>
                <w:color w:val="000000"/>
                <w:kern w:val="0"/>
                <w:sz w:val="24"/>
                <w:szCs w:val="24"/>
                <w:u w:val="single"/>
              </w:rPr>
              <w:t>本项目现有工程污染物排放情况汇总见下表：</w:t>
            </w:r>
          </w:p>
          <w:p w14:paraId="0DE52163">
            <w:pPr>
              <w:rPr>
                <w:rFonts w:hint="default" w:ascii="Times New Roman" w:hAnsi="Times New Roman" w:eastAsia="宋体" w:cs="Times New Roman"/>
                <w:color w:val="000000"/>
                <w:kern w:val="0"/>
                <w:sz w:val="24"/>
                <w:szCs w:val="24"/>
                <w:u w:val="single"/>
              </w:rPr>
            </w:pPr>
          </w:p>
          <w:p w14:paraId="645F15BE">
            <w:pPr>
              <w:rPr>
                <w:rFonts w:hint="default" w:ascii="Times New Roman" w:hAnsi="Times New Roman" w:eastAsia="宋体" w:cs="Times New Roman"/>
                <w:color w:val="000000"/>
                <w:kern w:val="0"/>
                <w:sz w:val="24"/>
                <w:szCs w:val="24"/>
                <w:u w:val="single"/>
              </w:rPr>
            </w:pPr>
          </w:p>
          <w:p w14:paraId="4D28824A">
            <w:pPr>
              <w:rPr>
                <w:rFonts w:hint="default" w:ascii="Times New Roman" w:hAnsi="Times New Roman" w:eastAsia="宋体" w:cs="Times New Roman"/>
                <w:color w:val="000000"/>
                <w:kern w:val="0"/>
                <w:sz w:val="24"/>
                <w:szCs w:val="24"/>
                <w:u w:val="single"/>
              </w:rPr>
            </w:pPr>
          </w:p>
          <w:p w14:paraId="7ABE3F9D">
            <w:pPr>
              <w:rPr>
                <w:rFonts w:hint="default" w:ascii="Times New Roman" w:hAnsi="Times New Roman" w:eastAsia="宋体" w:cs="Times New Roman"/>
                <w:color w:val="000000"/>
                <w:kern w:val="0"/>
                <w:sz w:val="24"/>
                <w:szCs w:val="24"/>
                <w:u w:val="single"/>
              </w:rPr>
            </w:pPr>
          </w:p>
          <w:p w14:paraId="128EFFFE">
            <w:pPr>
              <w:pStyle w:val="38"/>
              <w:keepNext w:val="0"/>
              <w:keepLines w:val="0"/>
              <w:pageBreakBefore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bCs/>
                <w:color w:val="000000"/>
                <w:kern w:val="0"/>
                <w:sz w:val="24"/>
                <w:szCs w:val="24"/>
                <w:u w:val="single"/>
              </w:rPr>
            </w:pPr>
            <w:r>
              <w:rPr>
                <w:rFonts w:hint="default" w:ascii="Times New Roman" w:hAnsi="Times New Roman" w:eastAsia="宋体" w:cs="Times New Roman"/>
                <w:b/>
                <w:bCs/>
                <w:color w:val="000000"/>
                <w:kern w:val="0"/>
                <w:sz w:val="24"/>
                <w:szCs w:val="24"/>
                <w:u w:val="single"/>
              </w:rPr>
              <w:t>表2-</w:t>
            </w:r>
            <w:r>
              <w:rPr>
                <w:rFonts w:hint="eastAsia" w:ascii="Times New Roman" w:hAnsi="Times New Roman" w:eastAsia="宋体" w:cs="Times New Roman"/>
                <w:b/>
                <w:bCs/>
                <w:color w:val="000000"/>
                <w:kern w:val="0"/>
                <w:sz w:val="24"/>
                <w:szCs w:val="24"/>
                <w:u w:val="single"/>
                <w:lang w:val="en-US" w:eastAsia="zh-CN"/>
              </w:rPr>
              <w:t>9</w:t>
            </w:r>
            <w:r>
              <w:rPr>
                <w:rFonts w:hint="default" w:ascii="Times New Roman" w:hAnsi="Times New Roman" w:eastAsia="宋体" w:cs="Times New Roman"/>
                <w:b/>
                <w:bCs/>
                <w:color w:val="000000"/>
                <w:kern w:val="0"/>
                <w:sz w:val="24"/>
                <w:szCs w:val="24"/>
                <w:u w:val="single"/>
              </w:rPr>
              <w:t xml:space="preserve">  现有工程污染物排放量统计表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465"/>
              <w:gridCol w:w="3221"/>
              <w:gridCol w:w="4160"/>
            </w:tblGrid>
            <w:tr w14:paraId="5DC65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8" w:type="pct"/>
                  <w:tcBorders>
                    <w:tl2br w:val="nil"/>
                    <w:tr2bl w:val="nil"/>
                  </w:tcBorders>
                  <w:noWrap w:val="0"/>
                  <w:vAlign w:val="center"/>
                </w:tcPr>
                <w:p w14:paraId="533AF3EA">
                  <w:pPr>
                    <w:pStyle w:val="112"/>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污染物类别</w:t>
                  </w:r>
                </w:p>
              </w:tc>
              <w:tc>
                <w:tcPr>
                  <w:tcW w:w="1820" w:type="pct"/>
                  <w:tcBorders>
                    <w:tl2br w:val="nil"/>
                    <w:tr2bl w:val="nil"/>
                  </w:tcBorders>
                  <w:noWrap w:val="0"/>
                  <w:vAlign w:val="center"/>
                </w:tcPr>
                <w:p w14:paraId="1C299C63">
                  <w:pPr>
                    <w:pStyle w:val="112"/>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污染物种类</w:t>
                  </w:r>
                </w:p>
              </w:tc>
              <w:tc>
                <w:tcPr>
                  <w:tcW w:w="2351" w:type="pct"/>
                  <w:tcBorders>
                    <w:tl2br w:val="nil"/>
                    <w:tr2bl w:val="nil"/>
                  </w:tcBorders>
                  <w:noWrap w:val="0"/>
                  <w:vAlign w:val="center"/>
                </w:tcPr>
                <w:p w14:paraId="1840B5E1">
                  <w:pPr>
                    <w:pStyle w:val="112"/>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排放量t/a</w:t>
                  </w:r>
                </w:p>
              </w:tc>
            </w:tr>
            <w:tr w14:paraId="01D88F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8" w:type="pct"/>
                  <w:vMerge w:val="restart"/>
                  <w:tcBorders>
                    <w:tl2br w:val="nil"/>
                    <w:tr2bl w:val="nil"/>
                  </w:tcBorders>
                  <w:noWrap w:val="0"/>
                  <w:vAlign w:val="center"/>
                </w:tcPr>
                <w:p w14:paraId="655304EB">
                  <w:pPr>
                    <w:pStyle w:val="112"/>
                    <w:rPr>
                      <w:rFonts w:hint="default" w:ascii="Times New Roman" w:hAnsi="Times New Roman" w:cs="Times New Roman"/>
                      <w:b w:val="0"/>
                      <w:bCs/>
                      <w:sz w:val="21"/>
                      <w:szCs w:val="21"/>
                      <w:u w:val="single"/>
                    </w:rPr>
                  </w:pPr>
                  <w:r>
                    <w:rPr>
                      <w:rFonts w:hint="default" w:ascii="Times New Roman" w:hAnsi="Times New Roman" w:cs="Times New Roman"/>
                      <w:b w:val="0"/>
                      <w:bCs/>
                      <w:sz w:val="21"/>
                      <w:szCs w:val="21"/>
                      <w:u w:val="single"/>
                    </w:rPr>
                    <w:t>废气</w:t>
                  </w:r>
                </w:p>
              </w:tc>
              <w:tc>
                <w:tcPr>
                  <w:tcW w:w="1820" w:type="pct"/>
                  <w:tcBorders>
                    <w:tl2br w:val="nil"/>
                    <w:tr2bl w:val="nil"/>
                  </w:tcBorders>
                  <w:noWrap w:val="0"/>
                  <w:vAlign w:val="center"/>
                </w:tcPr>
                <w:p w14:paraId="05089348">
                  <w:pPr>
                    <w:pStyle w:val="112"/>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eastAsia="zh-CN"/>
                    </w:rPr>
                    <w:t>有组织颗粒物</w:t>
                  </w:r>
                </w:p>
              </w:tc>
              <w:tc>
                <w:tcPr>
                  <w:tcW w:w="2351" w:type="pct"/>
                  <w:tcBorders>
                    <w:tl2br w:val="nil"/>
                    <w:tr2bl w:val="nil"/>
                  </w:tcBorders>
                  <w:shd w:val="clear" w:color="auto" w:fill="auto"/>
                  <w:noWrap w:val="0"/>
                  <w:vAlign w:val="center"/>
                </w:tcPr>
                <w:p w14:paraId="69469AAE">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lang w:val="en-US" w:eastAsia="zh-CN" w:bidi="ar-SA"/>
                    </w:rPr>
                  </w:pPr>
                  <w:r>
                    <w:rPr>
                      <w:rFonts w:hint="eastAsia" w:ascii="Times New Roman" w:hAnsi="Times New Roman" w:cs="Times New Roman"/>
                      <w:color w:val="auto"/>
                      <w:sz w:val="21"/>
                      <w:szCs w:val="21"/>
                      <w:u w:val="single"/>
                      <w:lang w:val="en-US" w:eastAsia="zh-CN"/>
                    </w:rPr>
                    <w:t>0.008</w:t>
                  </w:r>
                </w:p>
              </w:tc>
            </w:tr>
            <w:tr w14:paraId="6ECF2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8" w:type="pct"/>
                  <w:vMerge w:val="continue"/>
                  <w:tcBorders>
                    <w:tl2br w:val="nil"/>
                    <w:tr2bl w:val="nil"/>
                  </w:tcBorders>
                  <w:noWrap w:val="0"/>
                  <w:vAlign w:val="center"/>
                </w:tcPr>
                <w:p w14:paraId="7FC27B2B">
                  <w:pPr>
                    <w:pStyle w:val="112"/>
                    <w:rPr>
                      <w:rFonts w:hint="default" w:ascii="Times New Roman" w:hAnsi="Times New Roman" w:cs="Times New Roman"/>
                      <w:b w:val="0"/>
                      <w:bCs/>
                      <w:sz w:val="21"/>
                      <w:szCs w:val="21"/>
                      <w:u w:val="single"/>
                    </w:rPr>
                  </w:pPr>
                </w:p>
              </w:tc>
              <w:tc>
                <w:tcPr>
                  <w:tcW w:w="1820" w:type="pct"/>
                  <w:tcBorders>
                    <w:tl2br w:val="nil"/>
                    <w:tr2bl w:val="nil"/>
                  </w:tcBorders>
                  <w:noWrap w:val="0"/>
                  <w:vAlign w:val="center"/>
                </w:tcPr>
                <w:p w14:paraId="5DF075A2">
                  <w:pPr>
                    <w:jc w:val="center"/>
                    <w:rPr>
                      <w:rFonts w:hint="default" w:ascii="Times New Roman" w:hAnsi="Times New Roman" w:cs="Times New Roman"/>
                      <w:b w:val="0"/>
                      <w:bCs/>
                      <w:sz w:val="21"/>
                      <w:szCs w:val="21"/>
                      <w:u w:val="single"/>
                      <w:lang w:val="en-US"/>
                    </w:rPr>
                  </w:pPr>
                  <w:r>
                    <w:rPr>
                      <w:rFonts w:hint="eastAsia" w:ascii="Times New Roman" w:hAnsi="Times New Roman" w:cs="Times New Roman"/>
                      <w:b w:val="0"/>
                      <w:bCs/>
                      <w:sz w:val="21"/>
                      <w:szCs w:val="21"/>
                      <w:u w:val="single"/>
                      <w:lang w:eastAsia="zh-CN"/>
                    </w:rPr>
                    <w:t>有组织二氧化硫</w:t>
                  </w:r>
                </w:p>
              </w:tc>
              <w:tc>
                <w:tcPr>
                  <w:tcW w:w="2351" w:type="pct"/>
                  <w:tcBorders>
                    <w:tl2br w:val="nil"/>
                    <w:tr2bl w:val="nil"/>
                  </w:tcBorders>
                  <w:shd w:val="clear" w:color="auto" w:fill="auto"/>
                  <w:noWrap w:val="0"/>
                  <w:vAlign w:val="center"/>
                </w:tcPr>
                <w:p w14:paraId="242134D9">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lang w:val="en-US" w:eastAsia="zh-CN" w:bidi="ar-SA"/>
                    </w:rPr>
                  </w:pPr>
                  <w:r>
                    <w:rPr>
                      <w:rFonts w:hint="eastAsia" w:ascii="Times New Roman" w:hAnsi="Times New Roman" w:cs="Times New Roman"/>
                      <w:color w:val="auto"/>
                      <w:sz w:val="21"/>
                      <w:szCs w:val="21"/>
                      <w:u w:val="single"/>
                      <w:lang w:val="en-US" w:eastAsia="zh-CN"/>
                    </w:rPr>
                    <w:t>0.048</w:t>
                  </w:r>
                </w:p>
              </w:tc>
            </w:tr>
            <w:tr w14:paraId="3F280E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8" w:type="pct"/>
                  <w:vMerge w:val="continue"/>
                  <w:tcBorders>
                    <w:tl2br w:val="nil"/>
                    <w:tr2bl w:val="nil"/>
                  </w:tcBorders>
                  <w:noWrap w:val="0"/>
                  <w:vAlign w:val="center"/>
                </w:tcPr>
                <w:p w14:paraId="39FA50BA">
                  <w:pPr>
                    <w:pStyle w:val="112"/>
                    <w:rPr>
                      <w:rFonts w:hint="default" w:ascii="Times New Roman" w:hAnsi="Times New Roman" w:cs="Times New Roman"/>
                      <w:b w:val="0"/>
                      <w:bCs/>
                      <w:sz w:val="21"/>
                      <w:szCs w:val="21"/>
                      <w:u w:val="single"/>
                    </w:rPr>
                  </w:pPr>
                </w:p>
              </w:tc>
              <w:tc>
                <w:tcPr>
                  <w:tcW w:w="1820" w:type="pct"/>
                  <w:tcBorders>
                    <w:tl2br w:val="nil"/>
                    <w:tr2bl w:val="nil"/>
                  </w:tcBorders>
                  <w:noWrap w:val="0"/>
                  <w:vAlign w:val="center"/>
                </w:tcPr>
                <w:p w14:paraId="3D06F0A0">
                  <w:pPr>
                    <w:jc w:val="center"/>
                    <w:rPr>
                      <w:rFonts w:hint="default" w:ascii="Times New Roman" w:hAnsi="Times New Roman" w:cs="Times New Roman"/>
                      <w:b w:val="0"/>
                      <w:bCs/>
                      <w:sz w:val="21"/>
                      <w:szCs w:val="21"/>
                      <w:u w:val="single"/>
                    </w:rPr>
                  </w:pPr>
                  <w:r>
                    <w:rPr>
                      <w:rFonts w:hint="eastAsia" w:ascii="Times New Roman" w:hAnsi="Times New Roman" w:cs="Times New Roman"/>
                      <w:b w:val="0"/>
                      <w:bCs/>
                      <w:sz w:val="21"/>
                      <w:szCs w:val="21"/>
                      <w:u w:val="single"/>
                      <w:lang w:eastAsia="zh-CN"/>
                    </w:rPr>
                    <w:t>有组织氮氧化物</w:t>
                  </w:r>
                </w:p>
              </w:tc>
              <w:tc>
                <w:tcPr>
                  <w:tcW w:w="2351" w:type="pct"/>
                  <w:tcBorders>
                    <w:tl2br w:val="nil"/>
                    <w:tr2bl w:val="nil"/>
                  </w:tcBorders>
                  <w:shd w:val="clear" w:color="auto" w:fill="auto"/>
                  <w:noWrap w:val="0"/>
                  <w:vAlign w:val="center"/>
                </w:tcPr>
                <w:p w14:paraId="16CF6388">
                  <w:pPr>
                    <w:keepNext w:val="0"/>
                    <w:keepLines w:val="0"/>
                    <w:widowControl/>
                    <w:suppressLineNumbers w:val="0"/>
                    <w:jc w:val="center"/>
                    <w:textAlignment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0.0</w:t>
                  </w:r>
                  <w:r>
                    <w:rPr>
                      <w:rFonts w:hint="eastAsia" w:ascii="Times New Roman" w:hAnsi="Times New Roman" w:eastAsia="宋体" w:cs="Times New Roman"/>
                      <w:i w:val="0"/>
                      <w:iCs w:val="0"/>
                      <w:color w:val="000000"/>
                      <w:kern w:val="0"/>
                      <w:sz w:val="21"/>
                      <w:szCs w:val="21"/>
                      <w:u w:val="single"/>
                      <w:lang w:val="en-US" w:eastAsia="zh-CN" w:bidi="ar"/>
                    </w:rPr>
                    <w:t>000</w:t>
                  </w:r>
                  <w:r>
                    <w:rPr>
                      <w:rFonts w:hint="default" w:ascii="Times New Roman" w:hAnsi="Times New Roman" w:eastAsia="宋体" w:cs="Times New Roman"/>
                      <w:i w:val="0"/>
                      <w:iCs w:val="0"/>
                      <w:color w:val="000000"/>
                      <w:kern w:val="0"/>
                      <w:sz w:val="21"/>
                      <w:szCs w:val="21"/>
                      <w:u w:val="single"/>
                      <w:lang w:val="en-US" w:eastAsia="zh-CN" w:bidi="ar"/>
                    </w:rPr>
                    <w:t>70</w:t>
                  </w:r>
                  <w:r>
                    <w:rPr>
                      <w:rFonts w:hint="eastAsia" w:ascii="Times New Roman" w:hAnsi="Times New Roman" w:cs="Times New Roman"/>
                      <w:i w:val="0"/>
                      <w:iCs w:val="0"/>
                      <w:color w:val="000000"/>
                      <w:kern w:val="0"/>
                      <w:sz w:val="21"/>
                      <w:szCs w:val="21"/>
                      <w:u w:val="single"/>
                      <w:lang w:val="en-US" w:eastAsia="zh-CN" w:bidi="ar"/>
                    </w:rPr>
                    <w:t>9</w:t>
                  </w:r>
                </w:p>
              </w:tc>
            </w:tr>
            <w:tr w14:paraId="31CFB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8" w:type="pct"/>
                  <w:vMerge w:val="continue"/>
                  <w:tcBorders>
                    <w:tl2br w:val="nil"/>
                    <w:tr2bl w:val="nil"/>
                  </w:tcBorders>
                  <w:noWrap w:val="0"/>
                  <w:vAlign w:val="center"/>
                </w:tcPr>
                <w:p w14:paraId="11BAEE7E">
                  <w:pPr>
                    <w:pStyle w:val="112"/>
                    <w:rPr>
                      <w:rFonts w:hint="default" w:ascii="Times New Roman" w:hAnsi="Times New Roman" w:cs="Times New Roman"/>
                      <w:b w:val="0"/>
                      <w:bCs/>
                      <w:sz w:val="21"/>
                      <w:szCs w:val="21"/>
                      <w:u w:val="single"/>
                    </w:rPr>
                  </w:pPr>
                </w:p>
              </w:tc>
              <w:tc>
                <w:tcPr>
                  <w:tcW w:w="1820" w:type="pct"/>
                  <w:tcBorders>
                    <w:tl2br w:val="nil"/>
                    <w:tr2bl w:val="nil"/>
                  </w:tcBorders>
                  <w:noWrap w:val="0"/>
                  <w:vAlign w:val="center"/>
                </w:tcPr>
                <w:p w14:paraId="1BEEFA35">
                  <w:pPr>
                    <w:pStyle w:val="112"/>
                    <w:rPr>
                      <w:rFonts w:hint="eastAsia" w:ascii="Times New Roman" w:hAnsi="Times New Roman" w:eastAsia="宋体" w:cs="Times New Roman"/>
                      <w:b w:val="0"/>
                      <w:bCs/>
                      <w:sz w:val="21"/>
                      <w:szCs w:val="21"/>
                      <w:u w:val="single"/>
                      <w:lang w:eastAsia="zh-CN"/>
                    </w:rPr>
                  </w:pPr>
                  <w:r>
                    <w:rPr>
                      <w:rFonts w:hint="eastAsia" w:ascii="Times New Roman" w:hAnsi="Times New Roman" w:cs="Times New Roman"/>
                      <w:b w:val="0"/>
                      <w:bCs/>
                      <w:sz w:val="21"/>
                      <w:szCs w:val="21"/>
                      <w:u w:val="single"/>
                      <w:lang w:eastAsia="zh-CN"/>
                    </w:rPr>
                    <w:t>无组织颗粒物</w:t>
                  </w:r>
                </w:p>
              </w:tc>
              <w:tc>
                <w:tcPr>
                  <w:tcW w:w="2351" w:type="pct"/>
                  <w:tcBorders>
                    <w:tl2br w:val="nil"/>
                    <w:tr2bl w:val="nil"/>
                  </w:tcBorders>
                  <w:noWrap w:val="0"/>
                  <w:vAlign w:val="center"/>
                </w:tcPr>
                <w:p w14:paraId="3DFE17C3">
                  <w:pPr>
                    <w:pStyle w:val="112"/>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0.859</w:t>
                  </w:r>
                </w:p>
              </w:tc>
            </w:tr>
            <w:tr w14:paraId="0933F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8" w:type="pct"/>
                  <w:vMerge w:val="restart"/>
                  <w:tcBorders>
                    <w:tl2br w:val="nil"/>
                    <w:tr2bl w:val="nil"/>
                  </w:tcBorders>
                  <w:noWrap w:val="0"/>
                  <w:vAlign w:val="center"/>
                </w:tcPr>
                <w:p w14:paraId="024A3E82">
                  <w:pPr>
                    <w:pStyle w:val="112"/>
                    <w:rPr>
                      <w:rFonts w:hint="eastAsia" w:ascii="Times New Roman" w:hAnsi="Times New Roman" w:eastAsia="宋体" w:cs="Times New Roman"/>
                      <w:b w:val="0"/>
                      <w:bCs/>
                      <w:sz w:val="21"/>
                      <w:szCs w:val="21"/>
                      <w:u w:val="single"/>
                      <w:lang w:eastAsia="zh-CN"/>
                    </w:rPr>
                  </w:pPr>
                  <w:r>
                    <w:rPr>
                      <w:rFonts w:hint="eastAsia" w:ascii="Times New Roman" w:hAnsi="Times New Roman" w:cs="Times New Roman"/>
                      <w:b w:val="0"/>
                      <w:bCs/>
                      <w:sz w:val="21"/>
                      <w:szCs w:val="21"/>
                      <w:u w:val="single"/>
                      <w:lang w:eastAsia="zh-CN"/>
                    </w:rPr>
                    <w:t>废水</w:t>
                  </w:r>
                </w:p>
              </w:tc>
              <w:tc>
                <w:tcPr>
                  <w:tcW w:w="1820" w:type="pct"/>
                  <w:tcBorders>
                    <w:tl2br w:val="nil"/>
                    <w:tr2bl w:val="nil"/>
                  </w:tcBorders>
                  <w:shd w:val="clear" w:color="auto" w:fill="auto"/>
                  <w:noWrap w:val="0"/>
                  <w:vAlign w:val="center"/>
                </w:tcPr>
                <w:p w14:paraId="2040B7BC">
                  <w:pPr>
                    <w:pStyle w:val="112"/>
                    <w:rPr>
                      <w:rFonts w:hint="default" w:ascii="Times New Roman" w:hAnsi="Times New Roman" w:eastAsia="宋体" w:cs="Times New Roman"/>
                      <w:b w:val="0"/>
                      <w:bCs/>
                      <w:kern w:val="0"/>
                      <w:sz w:val="21"/>
                      <w:szCs w:val="21"/>
                      <w:u w:val="single"/>
                      <w:lang w:val="en-US" w:eastAsia="zh-CN" w:bidi="ar-SA"/>
                    </w:rPr>
                  </w:pPr>
                  <w:r>
                    <w:rPr>
                      <w:rFonts w:hint="default" w:ascii="Times New Roman" w:hAnsi="Times New Roman" w:cs="Times New Roman"/>
                      <w:b w:val="0"/>
                      <w:bCs/>
                      <w:sz w:val="21"/>
                      <w:szCs w:val="21"/>
                      <w:u w:val="single"/>
                    </w:rPr>
                    <w:t>生活废水</w:t>
                  </w:r>
                </w:p>
              </w:tc>
              <w:tc>
                <w:tcPr>
                  <w:tcW w:w="2351" w:type="pct"/>
                  <w:tcBorders>
                    <w:tl2br w:val="nil"/>
                    <w:tr2bl w:val="nil"/>
                  </w:tcBorders>
                  <w:noWrap w:val="0"/>
                  <w:vAlign w:val="center"/>
                </w:tcPr>
                <w:p w14:paraId="768202BB">
                  <w:pPr>
                    <w:pStyle w:val="112"/>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63.84</w:t>
                  </w:r>
                </w:p>
              </w:tc>
            </w:tr>
            <w:tr w14:paraId="3C1E31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8" w:type="pct"/>
                  <w:vMerge w:val="continue"/>
                  <w:tcBorders>
                    <w:tl2br w:val="nil"/>
                    <w:tr2bl w:val="nil"/>
                  </w:tcBorders>
                  <w:noWrap w:val="0"/>
                  <w:vAlign w:val="center"/>
                </w:tcPr>
                <w:p w14:paraId="664908C0">
                  <w:pPr>
                    <w:pStyle w:val="112"/>
                    <w:rPr>
                      <w:rFonts w:hint="default" w:ascii="Times New Roman" w:hAnsi="Times New Roman" w:cs="Times New Roman"/>
                      <w:b w:val="0"/>
                      <w:bCs/>
                      <w:sz w:val="21"/>
                      <w:szCs w:val="21"/>
                      <w:u w:val="single"/>
                    </w:rPr>
                  </w:pPr>
                </w:p>
              </w:tc>
              <w:tc>
                <w:tcPr>
                  <w:tcW w:w="1820" w:type="pct"/>
                  <w:tcBorders>
                    <w:tl2br w:val="nil"/>
                    <w:tr2bl w:val="nil"/>
                  </w:tcBorders>
                  <w:shd w:val="clear" w:color="auto" w:fill="auto"/>
                  <w:noWrap w:val="0"/>
                  <w:vAlign w:val="center"/>
                </w:tcPr>
                <w:p w14:paraId="08243B57">
                  <w:pPr>
                    <w:pStyle w:val="112"/>
                    <w:rPr>
                      <w:rFonts w:hint="default" w:ascii="Times New Roman" w:hAnsi="Times New Roman" w:eastAsia="宋体" w:cs="Times New Roman"/>
                      <w:b w:val="0"/>
                      <w:bCs/>
                      <w:kern w:val="0"/>
                      <w:sz w:val="21"/>
                      <w:szCs w:val="21"/>
                      <w:u w:val="single"/>
                      <w:lang w:val="en-US" w:eastAsia="zh-CN" w:bidi="ar-SA"/>
                    </w:rPr>
                  </w:pPr>
                  <w:r>
                    <w:rPr>
                      <w:rFonts w:hint="eastAsia" w:ascii="Times New Roman" w:hAnsi="Times New Roman" w:cs="Times New Roman"/>
                      <w:b w:val="0"/>
                      <w:bCs/>
                      <w:sz w:val="21"/>
                      <w:szCs w:val="21"/>
                      <w:u w:val="single"/>
                      <w:lang w:eastAsia="zh-CN"/>
                    </w:rPr>
                    <w:t>养护</w:t>
                  </w:r>
                  <w:r>
                    <w:rPr>
                      <w:rFonts w:hint="default" w:ascii="Times New Roman" w:hAnsi="Times New Roman" w:cs="Times New Roman"/>
                      <w:b w:val="0"/>
                      <w:bCs/>
                      <w:sz w:val="21"/>
                      <w:szCs w:val="21"/>
                      <w:u w:val="single"/>
                    </w:rPr>
                    <w:t>废水</w:t>
                  </w:r>
                </w:p>
              </w:tc>
              <w:tc>
                <w:tcPr>
                  <w:tcW w:w="2351" w:type="pct"/>
                  <w:tcBorders>
                    <w:tl2br w:val="nil"/>
                    <w:tr2bl w:val="nil"/>
                  </w:tcBorders>
                  <w:noWrap w:val="0"/>
                  <w:vAlign w:val="center"/>
                </w:tcPr>
                <w:p w14:paraId="71669DA3">
                  <w:pPr>
                    <w:adjustRightInd w:val="0"/>
                    <w:snapToGrid w:val="0"/>
                    <w:jc w:val="center"/>
                    <w:rPr>
                      <w:rFonts w:hint="default" w:ascii="Times New Roman" w:hAnsi="Times New Roman" w:eastAsia="宋体"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1.509</w:t>
                  </w:r>
                </w:p>
              </w:tc>
            </w:tr>
            <w:tr w14:paraId="581F65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8" w:type="pct"/>
                  <w:vMerge w:val="continue"/>
                  <w:tcBorders>
                    <w:tl2br w:val="nil"/>
                    <w:tr2bl w:val="nil"/>
                  </w:tcBorders>
                  <w:noWrap w:val="0"/>
                  <w:vAlign w:val="center"/>
                </w:tcPr>
                <w:p w14:paraId="0772C17F">
                  <w:pPr>
                    <w:pStyle w:val="112"/>
                    <w:rPr>
                      <w:rFonts w:hint="eastAsia" w:ascii="Times New Roman" w:hAnsi="Times New Roman" w:eastAsia="宋体" w:cs="Times New Roman"/>
                      <w:b w:val="0"/>
                      <w:bCs/>
                      <w:sz w:val="21"/>
                      <w:szCs w:val="21"/>
                      <w:u w:val="single"/>
                      <w:lang w:eastAsia="zh-CN"/>
                    </w:rPr>
                  </w:pPr>
                </w:p>
              </w:tc>
              <w:tc>
                <w:tcPr>
                  <w:tcW w:w="1820" w:type="pct"/>
                  <w:tcBorders>
                    <w:tl2br w:val="nil"/>
                    <w:tr2bl w:val="nil"/>
                  </w:tcBorders>
                  <w:shd w:val="clear" w:color="auto" w:fill="auto"/>
                  <w:noWrap w:val="0"/>
                  <w:vAlign w:val="center"/>
                </w:tcPr>
                <w:p w14:paraId="03EC2366">
                  <w:pPr>
                    <w:pStyle w:val="112"/>
                    <w:rPr>
                      <w:rFonts w:hint="default" w:ascii="Times New Roman" w:hAnsi="Times New Roman" w:eastAsia="宋体" w:cs="Times New Roman"/>
                      <w:b w:val="0"/>
                      <w:bCs/>
                      <w:kern w:val="0"/>
                      <w:sz w:val="21"/>
                      <w:szCs w:val="21"/>
                      <w:u w:val="single"/>
                      <w:lang w:val="en-US" w:eastAsia="zh-CN" w:bidi="ar-SA"/>
                    </w:rPr>
                  </w:pPr>
                  <w:r>
                    <w:rPr>
                      <w:rFonts w:hint="eastAsia" w:ascii="Times New Roman" w:hAnsi="Times New Roman" w:cs="Times New Roman"/>
                      <w:b w:val="0"/>
                      <w:bCs/>
                      <w:sz w:val="21"/>
                      <w:szCs w:val="21"/>
                      <w:u w:val="single"/>
                      <w:lang w:eastAsia="zh-CN"/>
                    </w:rPr>
                    <w:t>搅拌废水</w:t>
                  </w:r>
                </w:p>
              </w:tc>
              <w:tc>
                <w:tcPr>
                  <w:tcW w:w="2351" w:type="pct"/>
                  <w:tcBorders>
                    <w:tl2br w:val="nil"/>
                    <w:tr2bl w:val="nil"/>
                  </w:tcBorders>
                  <w:noWrap w:val="0"/>
                  <w:vAlign w:val="center"/>
                </w:tcPr>
                <w:p w14:paraId="23A21922">
                  <w:pPr>
                    <w:adjustRightInd w:val="0"/>
                    <w:snapToGrid w:val="0"/>
                    <w:jc w:val="center"/>
                    <w:rPr>
                      <w:rFonts w:hint="default" w:ascii="Times New Roman" w:hAnsi="Times New Roman"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60</w:t>
                  </w:r>
                </w:p>
              </w:tc>
            </w:tr>
            <w:tr w14:paraId="056A0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8" w:type="pct"/>
                  <w:vMerge w:val="restart"/>
                  <w:tcBorders>
                    <w:tl2br w:val="nil"/>
                    <w:tr2bl w:val="nil"/>
                  </w:tcBorders>
                  <w:noWrap w:val="0"/>
                  <w:vAlign w:val="center"/>
                </w:tcPr>
                <w:p w14:paraId="102A63BA">
                  <w:pPr>
                    <w:pStyle w:val="112"/>
                    <w:rPr>
                      <w:rFonts w:hint="eastAsia" w:ascii="Times New Roman" w:hAnsi="Times New Roman" w:cs="Times New Roman"/>
                      <w:b w:val="0"/>
                      <w:bCs/>
                      <w:sz w:val="21"/>
                      <w:szCs w:val="21"/>
                      <w:u w:val="single"/>
                      <w:lang w:eastAsia="zh-CN"/>
                    </w:rPr>
                  </w:pPr>
                  <w:r>
                    <w:rPr>
                      <w:rFonts w:hint="eastAsia" w:ascii="Times New Roman" w:hAnsi="Times New Roman" w:cs="Times New Roman"/>
                      <w:b w:val="0"/>
                      <w:bCs/>
                      <w:sz w:val="21"/>
                      <w:szCs w:val="21"/>
                      <w:u w:val="single"/>
                      <w:lang w:eastAsia="zh-CN"/>
                    </w:rPr>
                    <w:t>固体废物</w:t>
                  </w:r>
                </w:p>
              </w:tc>
              <w:tc>
                <w:tcPr>
                  <w:tcW w:w="1820" w:type="pct"/>
                  <w:tcBorders>
                    <w:tl2br w:val="nil"/>
                    <w:tr2bl w:val="nil"/>
                  </w:tcBorders>
                  <w:shd w:val="clear" w:color="auto" w:fill="auto"/>
                  <w:noWrap w:val="0"/>
                  <w:vAlign w:val="center"/>
                </w:tcPr>
                <w:p w14:paraId="02544D36">
                  <w:pPr>
                    <w:keepNext w:val="0"/>
                    <w:keepLines w:val="0"/>
                    <w:pageBreakBefore w:val="0"/>
                    <w:widowControl/>
                    <w:kinsoku/>
                    <w:wordWrap/>
                    <w:overflowPunct/>
                    <w:topLinePunct w:val="0"/>
                    <w:autoSpaceDE w:val="0"/>
                    <w:autoSpaceDN/>
                    <w:bidi w:val="0"/>
                    <w:adjustRightInd w:val="0"/>
                    <w:snapToGrid w:val="0"/>
                    <w:ind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生活垃圾</w:t>
                  </w:r>
                </w:p>
              </w:tc>
              <w:tc>
                <w:tcPr>
                  <w:tcW w:w="2351" w:type="pct"/>
                  <w:tcBorders>
                    <w:tl2br w:val="nil"/>
                    <w:tr2bl w:val="nil"/>
                  </w:tcBorders>
                  <w:noWrap w:val="0"/>
                  <w:vAlign w:val="center"/>
                </w:tcPr>
                <w:p w14:paraId="2E5A1DE5">
                  <w:pPr>
                    <w:adjustRightInd w:val="0"/>
                    <w:snapToGrid w:val="0"/>
                    <w:jc w:val="center"/>
                    <w:rPr>
                      <w:rFonts w:hint="default" w:ascii="Times New Roman" w:hAnsi="Times New Roman"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1.05</w:t>
                  </w:r>
                </w:p>
              </w:tc>
            </w:tr>
            <w:tr w14:paraId="395468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8" w:type="pct"/>
                  <w:vMerge w:val="continue"/>
                  <w:tcBorders>
                    <w:tl2br w:val="nil"/>
                    <w:tr2bl w:val="nil"/>
                  </w:tcBorders>
                  <w:noWrap w:val="0"/>
                  <w:vAlign w:val="center"/>
                </w:tcPr>
                <w:p w14:paraId="346C9ADB">
                  <w:pPr>
                    <w:pStyle w:val="112"/>
                    <w:rPr>
                      <w:rFonts w:hint="eastAsia" w:ascii="Times New Roman" w:hAnsi="Times New Roman" w:cs="Times New Roman"/>
                      <w:b w:val="0"/>
                      <w:bCs/>
                      <w:sz w:val="21"/>
                      <w:szCs w:val="21"/>
                      <w:u w:val="single"/>
                      <w:lang w:eastAsia="zh-CN"/>
                    </w:rPr>
                  </w:pPr>
                </w:p>
              </w:tc>
              <w:tc>
                <w:tcPr>
                  <w:tcW w:w="1820" w:type="pct"/>
                  <w:tcBorders>
                    <w:tl2br w:val="nil"/>
                    <w:tr2bl w:val="nil"/>
                  </w:tcBorders>
                  <w:shd w:val="clear" w:color="auto" w:fill="auto"/>
                  <w:noWrap w:val="0"/>
                  <w:vAlign w:val="center"/>
                </w:tcPr>
                <w:p w14:paraId="54048CE4">
                  <w:pPr>
                    <w:keepNext w:val="0"/>
                    <w:keepLines w:val="0"/>
                    <w:pageBreakBefore w:val="0"/>
                    <w:widowControl/>
                    <w:kinsoku/>
                    <w:wordWrap/>
                    <w:overflowPunct/>
                    <w:topLinePunct w:val="0"/>
                    <w:autoSpaceDE w:val="0"/>
                    <w:autoSpaceDN/>
                    <w:bidi w:val="0"/>
                    <w:adjustRightInd w:val="0"/>
                    <w:snapToGrid w:val="0"/>
                    <w:ind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边角料</w:t>
                  </w:r>
                </w:p>
              </w:tc>
              <w:tc>
                <w:tcPr>
                  <w:tcW w:w="2351" w:type="pct"/>
                  <w:tcBorders>
                    <w:tl2br w:val="nil"/>
                    <w:tr2bl w:val="nil"/>
                  </w:tcBorders>
                  <w:noWrap w:val="0"/>
                  <w:vAlign w:val="center"/>
                </w:tcPr>
                <w:p w14:paraId="4997792E">
                  <w:pPr>
                    <w:adjustRightInd w:val="0"/>
                    <w:snapToGrid w:val="0"/>
                    <w:jc w:val="center"/>
                    <w:rPr>
                      <w:rFonts w:hint="default" w:ascii="Times New Roman" w:hAnsi="Times New Roman"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1.14</w:t>
                  </w:r>
                </w:p>
              </w:tc>
            </w:tr>
            <w:tr w14:paraId="7E7C1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8" w:type="pct"/>
                  <w:vMerge w:val="continue"/>
                  <w:tcBorders>
                    <w:tl2br w:val="nil"/>
                    <w:tr2bl w:val="nil"/>
                  </w:tcBorders>
                  <w:noWrap w:val="0"/>
                  <w:vAlign w:val="center"/>
                </w:tcPr>
                <w:p w14:paraId="0DF545F7">
                  <w:pPr>
                    <w:pStyle w:val="112"/>
                    <w:rPr>
                      <w:rFonts w:hint="eastAsia" w:ascii="Times New Roman" w:hAnsi="Times New Roman" w:cs="Times New Roman"/>
                      <w:b w:val="0"/>
                      <w:bCs/>
                      <w:sz w:val="21"/>
                      <w:szCs w:val="21"/>
                      <w:u w:val="single"/>
                      <w:lang w:eastAsia="zh-CN"/>
                    </w:rPr>
                  </w:pPr>
                </w:p>
              </w:tc>
              <w:tc>
                <w:tcPr>
                  <w:tcW w:w="1820" w:type="pct"/>
                  <w:tcBorders>
                    <w:tl2br w:val="nil"/>
                    <w:tr2bl w:val="nil"/>
                  </w:tcBorders>
                  <w:shd w:val="clear" w:color="auto" w:fill="auto"/>
                  <w:noWrap w:val="0"/>
                  <w:vAlign w:val="center"/>
                </w:tcPr>
                <w:p w14:paraId="7538491F">
                  <w:pPr>
                    <w:keepNext w:val="0"/>
                    <w:keepLines w:val="0"/>
                    <w:pageBreakBefore w:val="0"/>
                    <w:widowControl/>
                    <w:kinsoku/>
                    <w:wordWrap/>
                    <w:overflowPunct/>
                    <w:topLinePunct w:val="0"/>
                    <w:autoSpaceDE w:val="0"/>
                    <w:autoSpaceDN/>
                    <w:bidi w:val="0"/>
                    <w:adjustRightInd w:val="0"/>
                    <w:snapToGrid w:val="0"/>
                    <w:ind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水泥浆</w:t>
                  </w:r>
                </w:p>
              </w:tc>
              <w:tc>
                <w:tcPr>
                  <w:tcW w:w="2351" w:type="pct"/>
                  <w:tcBorders>
                    <w:tl2br w:val="nil"/>
                    <w:tr2bl w:val="nil"/>
                  </w:tcBorders>
                  <w:noWrap w:val="0"/>
                  <w:vAlign w:val="center"/>
                </w:tcPr>
                <w:p w14:paraId="221192A8">
                  <w:pPr>
                    <w:adjustRightInd w:val="0"/>
                    <w:snapToGrid w:val="0"/>
                    <w:jc w:val="center"/>
                    <w:rPr>
                      <w:rFonts w:hint="default" w:ascii="Times New Roman" w:hAnsi="Times New Roman"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0.9</w:t>
                  </w:r>
                </w:p>
              </w:tc>
            </w:tr>
            <w:tr w14:paraId="68506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8" w:type="pct"/>
                  <w:vMerge w:val="continue"/>
                  <w:tcBorders>
                    <w:tl2br w:val="nil"/>
                    <w:tr2bl w:val="nil"/>
                  </w:tcBorders>
                  <w:noWrap w:val="0"/>
                  <w:vAlign w:val="center"/>
                </w:tcPr>
                <w:p w14:paraId="25F9EFD6">
                  <w:pPr>
                    <w:pStyle w:val="112"/>
                    <w:rPr>
                      <w:rFonts w:hint="eastAsia" w:ascii="Times New Roman" w:hAnsi="Times New Roman" w:cs="Times New Roman"/>
                      <w:b w:val="0"/>
                      <w:bCs/>
                      <w:sz w:val="21"/>
                      <w:szCs w:val="21"/>
                      <w:u w:val="single"/>
                      <w:lang w:eastAsia="zh-CN"/>
                    </w:rPr>
                  </w:pPr>
                </w:p>
              </w:tc>
              <w:tc>
                <w:tcPr>
                  <w:tcW w:w="1820" w:type="pct"/>
                  <w:tcBorders>
                    <w:tl2br w:val="nil"/>
                    <w:tr2bl w:val="nil"/>
                  </w:tcBorders>
                  <w:shd w:val="clear" w:color="auto" w:fill="auto"/>
                  <w:noWrap w:val="0"/>
                  <w:vAlign w:val="center"/>
                </w:tcPr>
                <w:p w14:paraId="0C5ECE68">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eastAsia" w:ascii="Times New Roman" w:hAnsi="Times New Roman" w:eastAsia="宋体" w:cs="Times New Roman"/>
                      <w:color w:val="000000" w:themeColor="text1"/>
                      <w:kern w:val="0"/>
                      <w:sz w:val="21"/>
                      <w:szCs w:val="21"/>
                      <w:u w:val="single"/>
                      <w:lang w:val="en-US" w:eastAsia="zh-CN" w:bidi="ar-SA"/>
                      <w14:textFill>
                        <w14:solidFill>
                          <w14:schemeClr w14:val="tx1"/>
                        </w14:solidFill>
                      </w14:textFill>
                    </w:rPr>
                  </w:pPr>
                  <w:r>
                    <w:rPr>
                      <w:rFonts w:hint="default" w:ascii="Times New Roman" w:hAnsi="Times New Roman" w:cs="Times New Roman"/>
                      <w:sz w:val="21"/>
                      <w:szCs w:val="21"/>
                      <w:u w:val="single"/>
                    </w:rPr>
                    <w:t>废焊渣</w:t>
                  </w:r>
                </w:p>
              </w:tc>
              <w:tc>
                <w:tcPr>
                  <w:tcW w:w="2351" w:type="pct"/>
                  <w:tcBorders>
                    <w:tl2br w:val="nil"/>
                    <w:tr2bl w:val="nil"/>
                  </w:tcBorders>
                  <w:noWrap w:val="0"/>
                  <w:vAlign w:val="center"/>
                </w:tcPr>
                <w:p w14:paraId="7A8A472A">
                  <w:pPr>
                    <w:adjustRightInd w:val="0"/>
                    <w:snapToGrid w:val="0"/>
                    <w:jc w:val="center"/>
                    <w:rPr>
                      <w:rFonts w:hint="default" w:ascii="Times New Roman" w:hAnsi="Times New Roman"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0.02</w:t>
                  </w:r>
                </w:p>
              </w:tc>
            </w:tr>
            <w:tr w14:paraId="798584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8" w:type="pct"/>
                  <w:vMerge w:val="continue"/>
                  <w:tcBorders>
                    <w:tl2br w:val="nil"/>
                    <w:tr2bl w:val="nil"/>
                  </w:tcBorders>
                  <w:noWrap w:val="0"/>
                  <w:vAlign w:val="center"/>
                </w:tcPr>
                <w:p w14:paraId="237AF8BA">
                  <w:pPr>
                    <w:pStyle w:val="112"/>
                    <w:rPr>
                      <w:rFonts w:hint="eastAsia" w:ascii="Times New Roman" w:hAnsi="Times New Roman" w:cs="Times New Roman"/>
                      <w:b w:val="0"/>
                      <w:bCs/>
                      <w:sz w:val="21"/>
                      <w:szCs w:val="21"/>
                      <w:u w:val="single"/>
                      <w:lang w:eastAsia="zh-CN"/>
                    </w:rPr>
                  </w:pPr>
                </w:p>
              </w:tc>
              <w:tc>
                <w:tcPr>
                  <w:tcW w:w="1820" w:type="pct"/>
                  <w:tcBorders>
                    <w:tl2br w:val="nil"/>
                    <w:tr2bl w:val="nil"/>
                  </w:tcBorders>
                  <w:shd w:val="clear" w:color="auto" w:fill="auto"/>
                  <w:noWrap w:val="0"/>
                  <w:vAlign w:val="center"/>
                </w:tcPr>
                <w:p w14:paraId="4672411F">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eastAsia" w:ascii="Times New Roman" w:hAnsi="Times New Roman" w:eastAsia="宋体" w:cs="Times New Roman"/>
                      <w:color w:val="000000" w:themeColor="text1"/>
                      <w:kern w:val="0"/>
                      <w:sz w:val="21"/>
                      <w:szCs w:val="21"/>
                      <w:u w:val="single"/>
                      <w:lang w:val="en-US" w:eastAsia="zh-CN" w:bidi="ar-SA"/>
                      <w14:textFill>
                        <w14:solidFill>
                          <w14:schemeClr w14:val="tx1"/>
                        </w14:solidFill>
                      </w14:textFill>
                    </w:rPr>
                  </w:pPr>
                  <w:r>
                    <w:rPr>
                      <w:rFonts w:hint="eastAsia" w:cs="Times New Roman"/>
                      <w:sz w:val="21"/>
                      <w:szCs w:val="21"/>
                      <w:u w:val="single"/>
                      <w:lang w:eastAsia="zh-CN"/>
                    </w:rPr>
                    <w:t>生物质灰渣</w:t>
                  </w:r>
                </w:p>
              </w:tc>
              <w:tc>
                <w:tcPr>
                  <w:tcW w:w="2351" w:type="pct"/>
                  <w:tcBorders>
                    <w:tl2br w:val="nil"/>
                    <w:tr2bl w:val="nil"/>
                  </w:tcBorders>
                  <w:noWrap w:val="0"/>
                  <w:vAlign w:val="center"/>
                </w:tcPr>
                <w:p w14:paraId="78E9599D">
                  <w:pPr>
                    <w:adjustRightInd w:val="0"/>
                    <w:snapToGrid w:val="0"/>
                    <w:jc w:val="center"/>
                    <w:rPr>
                      <w:rFonts w:hint="default" w:ascii="Times New Roman" w:hAnsi="Times New Roman"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3.78</w:t>
                  </w:r>
                </w:p>
              </w:tc>
            </w:tr>
            <w:tr w14:paraId="400AD0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8" w:type="pct"/>
                  <w:vMerge w:val="continue"/>
                  <w:tcBorders>
                    <w:tl2br w:val="nil"/>
                    <w:tr2bl w:val="nil"/>
                  </w:tcBorders>
                  <w:noWrap w:val="0"/>
                  <w:vAlign w:val="center"/>
                </w:tcPr>
                <w:p w14:paraId="5913010D">
                  <w:pPr>
                    <w:pStyle w:val="112"/>
                    <w:rPr>
                      <w:rFonts w:hint="eastAsia" w:ascii="Times New Roman" w:hAnsi="Times New Roman" w:cs="Times New Roman"/>
                      <w:b w:val="0"/>
                      <w:bCs/>
                      <w:sz w:val="21"/>
                      <w:szCs w:val="21"/>
                      <w:u w:val="single"/>
                      <w:lang w:eastAsia="zh-CN"/>
                    </w:rPr>
                  </w:pPr>
                </w:p>
              </w:tc>
              <w:tc>
                <w:tcPr>
                  <w:tcW w:w="1820" w:type="pct"/>
                  <w:tcBorders>
                    <w:tl2br w:val="nil"/>
                    <w:tr2bl w:val="nil"/>
                  </w:tcBorders>
                  <w:shd w:val="clear" w:color="auto" w:fill="auto"/>
                  <w:noWrap w:val="0"/>
                  <w:vAlign w:val="center"/>
                </w:tcPr>
                <w:p w14:paraId="52CC44A7">
                  <w:pPr>
                    <w:keepNext w:val="0"/>
                    <w:keepLines w:val="0"/>
                    <w:pageBreakBefore w:val="0"/>
                    <w:widowControl/>
                    <w:kinsoku/>
                    <w:wordWrap/>
                    <w:overflowPunct/>
                    <w:topLinePunct w:val="0"/>
                    <w:autoSpaceDE w:val="0"/>
                    <w:autoSpaceDN/>
                    <w:bidi w:val="0"/>
                    <w:adjustRightInd w:val="0"/>
                    <w:snapToGrid w:val="0"/>
                    <w:ind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废润滑油桶</w:t>
                  </w:r>
                </w:p>
              </w:tc>
              <w:tc>
                <w:tcPr>
                  <w:tcW w:w="2351" w:type="pct"/>
                  <w:tcBorders>
                    <w:tl2br w:val="nil"/>
                    <w:tr2bl w:val="nil"/>
                  </w:tcBorders>
                  <w:noWrap w:val="0"/>
                  <w:vAlign w:val="center"/>
                </w:tcPr>
                <w:p w14:paraId="66B08F5C">
                  <w:pPr>
                    <w:adjustRightInd w:val="0"/>
                    <w:snapToGrid w:val="0"/>
                    <w:jc w:val="center"/>
                    <w:rPr>
                      <w:rFonts w:hint="default" w:ascii="Times New Roman" w:hAnsi="Times New Roman"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0.01</w:t>
                  </w:r>
                </w:p>
              </w:tc>
            </w:tr>
            <w:tr w14:paraId="0A447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8" w:type="pct"/>
                  <w:vMerge w:val="continue"/>
                  <w:tcBorders>
                    <w:tl2br w:val="nil"/>
                    <w:tr2bl w:val="nil"/>
                  </w:tcBorders>
                  <w:noWrap w:val="0"/>
                  <w:vAlign w:val="center"/>
                </w:tcPr>
                <w:p w14:paraId="13B8474E">
                  <w:pPr>
                    <w:pStyle w:val="112"/>
                    <w:rPr>
                      <w:rFonts w:hint="eastAsia" w:ascii="Times New Roman" w:hAnsi="Times New Roman" w:cs="Times New Roman"/>
                      <w:b w:val="0"/>
                      <w:bCs/>
                      <w:sz w:val="21"/>
                      <w:szCs w:val="21"/>
                      <w:u w:val="single"/>
                      <w:lang w:eastAsia="zh-CN"/>
                    </w:rPr>
                  </w:pPr>
                </w:p>
              </w:tc>
              <w:tc>
                <w:tcPr>
                  <w:tcW w:w="1820" w:type="pct"/>
                  <w:tcBorders>
                    <w:tl2br w:val="nil"/>
                    <w:tr2bl w:val="nil"/>
                  </w:tcBorders>
                  <w:shd w:val="clear" w:color="auto" w:fill="auto"/>
                  <w:noWrap w:val="0"/>
                  <w:vAlign w:val="center"/>
                </w:tcPr>
                <w:p w14:paraId="220B67DE">
                  <w:pPr>
                    <w:keepNext w:val="0"/>
                    <w:keepLines w:val="0"/>
                    <w:pageBreakBefore w:val="0"/>
                    <w:widowControl/>
                    <w:kinsoku/>
                    <w:wordWrap/>
                    <w:overflowPunct/>
                    <w:topLinePunct w:val="0"/>
                    <w:autoSpaceDE w:val="0"/>
                    <w:autoSpaceDN/>
                    <w:bidi w:val="0"/>
                    <w:adjustRightInd w:val="0"/>
                    <w:snapToGrid w:val="0"/>
                    <w:ind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废含油抹布</w:t>
                  </w:r>
                </w:p>
              </w:tc>
              <w:tc>
                <w:tcPr>
                  <w:tcW w:w="2351" w:type="pct"/>
                  <w:tcBorders>
                    <w:tl2br w:val="nil"/>
                    <w:tr2bl w:val="nil"/>
                  </w:tcBorders>
                  <w:noWrap w:val="0"/>
                  <w:vAlign w:val="center"/>
                </w:tcPr>
                <w:p w14:paraId="3189B66E">
                  <w:pPr>
                    <w:adjustRightInd w:val="0"/>
                    <w:snapToGrid w:val="0"/>
                    <w:jc w:val="center"/>
                    <w:rPr>
                      <w:rFonts w:hint="default" w:ascii="Times New Roman" w:hAnsi="Times New Roman" w:cs="Times New Roman"/>
                      <w:b w:val="0"/>
                      <w:bCs/>
                      <w:sz w:val="21"/>
                      <w:szCs w:val="21"/>
                      <w:u w:val="single"/>
                      <w:lang w:val="en-US" w:eastAsia="zh-CN"/>
                    </w:rPr>
                  </w:pPr>
                  <w:r>
                    <w:rPr>
                      <w:rFonts w:hint="eastAsia" w:ascii="Times New Roman" w:hAnsi="Times New Roman" w:cs="Times New Roman"/>
                      <w:b w:val="0"/>
                      <w:bCs/>
                      <w:sz w:val="21"/>
                      <w:szCs w:val="21"/>
                      <w:u w:val="single"/>
                      <w:lang w:val="en-US" w:eastAsia="zh-CN"/>
                    </w:rPr>
                    <w:t>0.025</w:t>
                  </w:r>
                </w:p>
              </w:tc>
            </w:tr>
          </w:tbl>
          <w:p w14:paraId="5948BE6E">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根据现场踏勘及以上分析可知，项目存在的问题及改进措施如下：</w:t>
            </w:r>
          </w:p>
          <w:p w14:paraId="557D98B8">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kern w:val="0"/>
                <w:sz w:val="24"/>
                <w:szCs w:val="24"/>
                <w:u w:val="single"/>
              </w:rPr>
            </w:pPr>
            <w:r>
              <w:rPr>
                <w:rFonts w:hint="default" w:ascii="Times New Roman" w:hAnsi="Times New Roman" w:eastAsia="宋体" w:cs="Times New Roman"/>
                <w:b/>
                <w:bCs/>
                <w:kern w:val="0"/>
                <w:sz w:val="24"/>
                <w:szCs w:val="24"/>
                <w:u w:val="single"/>
              </w:rPr>
              <w:t xml:space="preserve">表3-4  </w:t>
            </w:r>
            <w:r>
              <w:rPr>
                <w:rFonts w:hint="default" w:ascii="Times New Roman" w:hAnsi="Times New Roman" w:eastAsia="宋体" w:cs="Times New Roman"/>
                <w:b/>
                <w:bCs/>
                <w:sz w:val="24"/>
                <w:szCs w:val="24"/>
                <w:u w:val="single"/>
              </w:rPr>
              <w:t>现有工程存在的环保问题及改进措施</w:t>
            </w:r>
          </w:p>
          <w:tbl>
            <w:tblPr>
              <w:tblStyle w:val="39"/>
              <w:tblW w:w="4997"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2990"/>
              <w:gridCol w:w="5119"/>
            </w:tblGrid>
            <w:tr w14:paraId="583984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 w:type="pct"/>
                  <w:tcBorders>
                    <w:tl2br w:val="nil"/>
                    <w:tr2bl w:val="nil"/>
                  </w:tcBorders>
                  <w:noWrap w:val="0"/>
                  <w:vAlign w:val="center"/>
                </w:tcPr>
                <w:p w14:paraId="7F6A31E3">
                  <w:pPr>
                    <w:pStyle w:val="15"/>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序号</w:t>
                  </w:r>
                </w:p>
              </w:tc>
              <w:tc>
                <w:tcPr>
                  <w:tcW w:w="1690" w:type="pct"/>
                  <w:tcBorders>
                    <w:tl2br w:val="nil"/>
                    <w:tr2bl w:val="nil"/>
                  </w:tcBorders>
                  <w:noWrap w:val="0"/>
                  <w:vAlign w:val="center"/>
                </w:tcPr>
                <w:p w14:paraId="4A1859B9">
                  <w:pPr>
                    <w:pStyle w:val="15"/>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存在问题</w:t>
                  </w:r>
                </w:p>
              </w:tc>
              <w:tc>
                <w:tcPr>
                  <w:tcW w:w="2894" w:type="pct"/>
                  <w:tcBorders>
                    <w:tl2br w:val="nil"/>
                    <w:tr2bl w:val="nil"/>
                  </w:tcBorders>
                  <w:noWrap w:val="0"/>
                  <w:vAlign w:val="center"/>
                </w:tcPr>
                <w:p w14:paraId="2246F3FE">
                  <w:pPr>
                    <w:pStyle w:val="15"/>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整改建议</w:t>
                  </w:r>
                </w:p>
              </w:tc>
            </w:tr>
            <w:tr w14:paraId="3FDDE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 w:type="pct"/>
                  <w:tcBorders>
                    <w:tl2br w:val="nil"/>
                    <w:tr2bl w:val="nil"/>
                  </w:tcBorders>
                  <w:noWrap w:val="0"/>
                  <w:vAlign w:val="center"/>
                </w:tcPr>
                <w:p w14:paraId="0E50E163">
                  <w:pPr>
                    <w:pStyle w:val="15"/>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1</w:t>
                  </w:r>
                </w:p>
              </w:tc>
              <w:tc>
                <w:tcPr>
                  <w:tcW w:w="1690" w:type="pct"/>
                  <w:tcBorders>
                    <w:tl2br w:val="nil"/>
                    <w:tr2bl w:val="nil"/>
                  </w:tcBorders>
                  <w:shd w:val="clear" w:color="auto" w:fill="auto"/>
                  <w:noWrap w:val="0"/>
                  <w:vAlign w:val="center"/>
                </w:tcPr>
                <w:p w14:paraId="3AB8B079">
                  <w:pPr>
                    <w:pStyle w:val="15"/>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kern w:val="2"/>
                      <w:sz w:val="21"/>
                      <w:szCs w:val="21"/>
                      <w:u w:val="single"/>
                      <w:lang w:val="en-US" w:eastAsia="zh-CN" w:bidi="ar-SA"/>
                    </w:rPr>
                  </w:pPr>
                  <w:r>
                    <w:rPr>
                      <w:rFonts w:hint="default" w:ascii="Times New Roman" w:hAnsi="Times New Roman" w:eastAsia="宋体" w:cs="Times New Roman"/>
                      <w:color w:val="000000"/>
                      <w:sz w:val="21"/>
                      <w:szCs w:val="21"/>
                      <w:u w:val="single"/>
                    </w:rPr>
                    <w:t>路面没有及时进行洒水降尘，原料区防渗措施不完善，员工职业卫生制度不完善</w:t>
                  </w:r>
                </w:p>
              </w:tc>
              <w:tc>
                <w:tcPr>
                  <w:tcW w:w="2894" w:type="pct"/>
                  <w:tcBorders>
                    <w:tl2br w:val="nil"/>
                    <w:tr2bl w:val="nil"/>
                  </w:tcBorders>
                  <w:shd w:val="clear" w:color="auto" w:fill="auto"/>
                  <w:noWrap w:val="0"/>
                  <w:vAlign w:val="center"/>
                </w:tcPr>
                <w:p w14:paraId="718243F7">
                  <w:pPr>
                    <w:pStyle w:val="15"/>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kern w:val="2"/>
                      <w:sz w:val="21"/>
                      <w:szCs w:val="21"/>
                      <w:u w:val="single"/>
                      <w:lang w:val="en-US" w:eastAsia="zh-CN" w:bidi="ar-SA"/>
                    </w:rPr>
                  </w:pPr>
                  <w:r>
                    <w:rPr>
                      <w:rFonts w:hint="default" w:ascii="Times New Roman" w:hAnsi="Times New Roman" w:eastAsia="宋体" w:cs="Times New Roman"/>
                      <w:color w:val="000000"/>
                      <w:sz w:val="21"/>
                      <w:szCs w:val="21"/>
                      <w:u w:val="single"/>
                    </w:rPr>
                    <w:t>厂区中部原料区进行硬化维护，厂区定期洒水、晴天3~5次/天，厂区四周进行植树绿化及运输车辆在通过居民住户时降速行驶等措施；原料区完善围挡设施，地面硬化；加强对生产区员工的工作环境管理，员工佩带防尘口罩等措施来减轻粉尘对员工的影响，同时，定期对操作工人进行体检，发现问题，及时就医或采取相关措施，以确保不对员工产生职业伤害，不得相关的职业病。</w:t>
                  </w:r>
                </w:p>
              </w:tc>
            </w:tr>
            <w:tr w14:paraId="4A3A7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 w:type="pct"/>
                  <w:tcBorders>
                    <w:tl2br w:val="nil"/>
                    <w:tr2bl w:val="nil"/>
                  </w:tcBorders>
                  <w:noWrap w:val="0"/>
                  <w:vAlign w:val="center"/>
                </w:tcPr>
                <w:p w14:paraId="616831F1">
                  <w:pPr>
                    <w:pStyle w:val="15"/>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2</w:t>
                  </w:r>
                </w:p>
              </w:tc>
              <w:tc>
                <w:tcPr>
                  <w:tcW w:w="1690" w:type="pct"/>
                  <w:tcBorders>
                    <w:tl2br w:val="nil"/>
                    <w:tr2bl w:val="nil"/>
                  </w:tcBorders>
                  <w:shd w:val="clear" w:color="auto" w:fill="auto"/>
                  <w:noWrap w:val="0"/>
                  <w:vAlign w:val="center"/>
                </w:tcPr>
                <w:p w14:paraId="22B03A6C">
                  <w:pPr>
                    <w:pStyle w:val="15"/>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sz w:val="21"/>
                      <w:szCs w:val="21"/>
                      <w:u w:val="single"/>
                    </w:rPr>
                    <w:t>厂区脱膜剂暂存在生产车间内，不规范</w:t>
                  </w:r>
                </w:p>
              </w:tc>
              <w:tc>
                <w:tcPr>
                  <w:tcW w:w="2894" w:type="pct"/>
                  <w:tcBorders>
                    <w:tl2br w:val="nil"/>
                    <w:tr2bl w:val="nil"/>
                  </w:tcBorders>
                  <w:shd w:val="clear" w:color="auto" w:fill="auto"/>
                  <w:noWrap w:val="0"/>
                  <w:vAlign w:val="center"/>
                </w:tcPr>
                <w:p w14:paraId="69A75B47">
                  <w:pPr>
                    <w:pStyle w:val="15"/>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sz w:val="21"/>
                      <w:szCs w:val="21"/>
                      <w:u w:val="single"/>
                    </w:rPr>
                    <w:t>要求在生产车间单独设置</w:t>
                  </w:r>
                  <w:r>
                    <w:rPr>
                      <w:rFonts w:hint="default" w:ascii="Times New Roman" w:hAnsi="Times New Roman" w:eastAsia="宋体" w:cs="Times New Roman"/>
                      <w:sz w:val="21"/>
                      <w:szCs w:val="21"/>
                      <w:u w:val="single"/>
                      <w:lang w:val="en-US" w:eastAsia="zh-CN"/>
                    </w:rPr>
                    <w:t>储存间用于储存</w:t>
                  </w:r>
                  <w:r>
                    <w:rPr>
                      <w:rFonts w:hint="default" w:ascii="Times New Roman" w:hAnsi="Times New Roman" w:eastAsia="宋体" w:cs="Times New Roman"/>
                      <w:sz w:val="21"/>
                      <w:szCs w:val="21"/>
                      <w:u w:val="single"/>
                    </w:rPr>
                    <w:t>脱膜剂，由专人管理。</w:t>
                  </w:r>
                </w:p>
              </w:tc>
            </w:tr>
            <w:tr w14:paraId="324C79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 w:type="pct"/>
                  <w:tcBorders>
                    <w:tl2br w:val="nil"/>
                    <w:tr2bl w:val="nil"/>
                  </w:tcBorders>
                  <w:noWrap w:val="0"/>
                  <w:vAlign w:val="center"/>
                </w:tcPr>
                <w:p w14:paraId="5B517D9A">
                  <w:pPr>
                    <w:pStyle w:val="15"/>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3</w:t>
                  </w:r>
                </w:p>
              </w:tc>
              <w:tc>
                <w:tcPr>
                  <w:tcW w:w="1690" w:type="pct"/>
                  <w:tcBorders>
                    <w:tl2br w:val="nil"/>
                    <w:tr2bl w:val="nil"/>
                  </w:tcBorders>
                  <w:shd w:val="clear" w:color="auto" w:fill="auto"/>
                  <w:noWrap w:val="0"/>
                  <w:vAlign w:val="center"/>
                </w:tcPr>
                <w:p w14:paraId="20B1D8A6">
                  <w:pPr>
                    <w:pStyle w:val="15"/>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生产各工序、</w:t>
                  </w:r>
                  <w:r>
                    <w:rPr>
                      <w:rFonts w:hint="eastAsia" w:cs="Times New Roman"/>
                      <w:color w:val="000000" w:themeColor="text1"/>
                      <w:kern w:val="2"/>
                      <w:sz w:val="21"/>
                      <w:szCs w:val="21"/>
                      <w:u w:val="single"/>
                      <w:lang w:val="en-US" w:eastAsia="zh-CN" w:bidi="ar-SA"/>
                      <w14:textFill>
                        <w14:solidFill>
                          <w14:schemeClr w14:val="tx1"/>
                        </w14:solidFill>
                      </w14:textFill>
                    </w:rPr>
                    <w:t>废气</w:t>
                  </w:r>
                  <w:r>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t>排口标识标牌不完善</w:t>
                  </w:r>
                </w:p>
              </w:tc>
              <w:tc>
                <w:tcPr>
                  <w:tcW w:w="2894" w:type="pct"/>
                  <w:tcBorders>
                    <w:tl2br w:val="nil"/>
                    <w:tr2bl w:val="nil"/>
                  </w:tcBorders>
                  <w:shd w:val="clear" w:color="auto" w:fill="auto"/>
                  <w:noWrap w:val="0"/>
                  <w:vAlign w:val="center"/>
                </w:tcPr>
                <w:p w14:paraId="38E3714C">
                  <w:pPr>
                    <w:pStyle w:val="15"/>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sz w:val="21"/>
                      <w:szCs w:val="21"/>
                      <w:u w:val="single"/>
                      <w:lang w:eastAsia="zh-CN"/>
                    </w:rPr>
                    <w:t>完善</w:t>
                  </w:r>
                  <w:r>
                    <w:rPr>
                      <w:rFonts w:hint="eastAsia" w:cs="Times New Roman"/>
                      <w:sz w:val="21"/>
                      <w:szCs w:val="21"/>
                      <w:u w:val="single"/>
                      <w:lang w:eastAsia="zh-CN"/>
                    </w:rPr>
                    <w:t>厂内</w:t>
                  </w:r>
                  <w:r>
                    <w:rPr>
                      <w:rFonts w:hint="default" w:ascii="Times New Roman" w:hAnsi="Times New Roman" w:eastAsia="宋体" w:cs="Times New Roman"/>
                      <w:sz w:val="21"/>
                      <w:szCs w:val="21"/>
                      <w:u w:val="single"/>
                      <w:lang w:eastAsia="zh-CN"/>
                    </w:rPr>
                    <w:t>标识标牌建设</w:t>
                  </w:r>
                </w:p>
              </w:tc>
            </w:tr>
            <w:tr w14:paraId="7372B6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 w:type="pct"/>
                  <w:tcBorders>
                    <w:tl2br w:val="nil"/>
                    <w:tr2bl w:val="nil"/>
                  </w:tcBorders>
                  <w:noWrap w:val="0"/>
                  <w:vAlign w:val="center"/>
                </w:tcPr>
                <w:p w14:paraId="1E1AEBE4">
                  <w:pPr>
                    <w:pStyle w:val="15"/>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4</w:t>
                  </w:r>
                </w:p>
              </w:tc>
              <w:tc>
                <w:tcPr>
                  <w:tcW w:w="1690" w:type="pct"/>
                  <w:tcBorders>
                    <w:tl2br w:val="nil"/>
                    <w:tr2bl w:val="nil"/>
                  </w:tcBorders>
                  <w:shd w:val="clear" w:color="auto" w:fill="auto"/>
                  <w:noWrap w:val="0"/>
                  <w:vAlign w:val="center"/>
                </w:tcPr>
                <w:p w14:paraId="272F3D48">
                  <w:pPr>
                    <w:pStyle w:val="15"/>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sz w:val="21"/>
                      <w:szCs w:val="21"/>
                      <w:u w:val="single"/>
                    </w:rPr>
                    <w:t>厂区原料区运输路面已严重破损，原料区乱堆乱放现象严重</w:t>
                  </w:r>
                </w:p>
              </w:tc>
              <w:tc>
                <w:tcPr>
                  <w:tcW w:w="2894" w:type="pct"/>
                  <w:tcBorders>
                    <w:tl2br w:val="nil"/>
                    <w:tr2bl w:val="nil"/>
                  </w:tcBorders>
                  <w:shd w:val="clear" w:color="auto" w:fill="auto"/>
                  <w:noWrap w:val="0"/>
                  <w:vAlign w:val="center"/>
                </w:tcPr>
                <w:p w14:paraId="7A464373">
                  <w:pPr>
                    <w:pStyle w:val="15"/>
                    <w:keepNext w:val="0"/>
                    <w:keepLines w:val="0"/>
                    <w:pageBreakBefore w:val="0"/>
                    <w:widowControl/>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kern w:val="2"/>
                      <w:sz w:val="21"/>
                      <w:szCs w:val="21"/>
                      <w:u w:val="single"/>
                      <w:lang w:val="en-US" w:eastAsia="zh-CN" w:bidi="ar-SA"/>
                      <w14:textFill>
                        <w14:solidFill>
                          <w14:schemeClr w14:val="tx1"/>
                        </w14:solidFill>
                      </w14:textFill>
                    </w:rPr>
                  </w:pPr>
                  <w:r>
                    <w:rPr>
                      <w:rFonts w:hint="default" w:ascii="Times New Roman" w:hAnsi="Times New Roman" w:eastAsia="宋体" w:cs="Times New Roman"/>
                      <w:sz w:val="21"/>
                      <w:szCs w:val="21"/>
                      <w:u w:val="single"/>
                    </w:rPr>
                    <w:t>对原料区运输路面重新硬化</w:t>
                  </w:r>
                </w:p>
              </w:tc>
            </w:tr>
          </w:tbl>
          <w:p w14:paraId="16EBBADF">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Cs/>
                <w:sz w:val="24"/>
                <w:szCs w:val="24"/>
                <w:u w:val="single"/>
                <w:lang w:val="en-US" w:eastAsia="zh-CN"/>
              </w:rPr>
            </w:pPr>
            <w:r>
              <w:rPr>
                <w:rFonts w:hint="eastAsia" w:ascii="Times New Roman" w:hAnsi="Times New Roman" w:cs="Times New Roman"/>
                <w:bCs/>
                <w:sz w:val="24"/>
                <w:szCs w:val="24"/>
                <w:u w:val="single"/>
                <w:lang w:val="en-US" w:eastAsia="zh-CN"/>
              </w:rPr>
              <w:t>项目建设至今未接到周边居民环境投诉情况，未发生环境处罚行为。</w:t>
            </w:r>
          </w:p>
          <w:p w14:paraId="2D4D632D">
            <w:pPr>
              <w:pStyle w:val="2"/>
              <w:spacing w:line="360" w:lineRule="auto"/>
              <w:rPr>
                <w:rFonts w:hint="default" w:ascii="Times New Roman" w:hAnsi="Times New Roman" w:eastAsia="宋体" w:cs="Times New Roman"/>
                <w:bCs/>
                <w:sz w:val="24"/>
                <w:szCs w:val="24"/>
              </w:rPr>
            </w:pPr>
          </w:p>
          <w:p w14:paraId="2096407B">
            <w:pPr>
              <w:pStyle w:val="16"/>
              <w:keepNext w:val="0"/>
              <w:keepLines w:val="0"/>
              <w:pageBreakBefore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sz w:val="24"/>
                <w:szCs w:val="24"/>
                <w:lang w:val="en-US" w:eastAsia="zh-CN"/>
              </w:rPr>
            </w:pPr>
          </w:p>
          <w:p w14:paraId="69AAEB03">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rPr>
            </w:pPr>
          </w:p>
        </w:tc>
      </w:tr>
    </w:tbl>
    <w:p w14:paraId="59A08524">
      <w:pPr>
        <w:pStyle w:val="35"/>
        <w:ind w:firstLine="720"/>
        <w:jc w:val="center"/>
        <w:rPr>
          <w:rFonts w:hint="default" w:ascii="Times New Roman" w:hAnsi="Times New Roman" w:cs="Times New Roman"/>
          <w:snapToGrid w:val="0"/>
          <w:sz w:val="36"/>
          <w:szCs w:val="36"/>
        </w:rPr>
        <w:sectPr>
          <w:footerReference r:id="rId6" w:type="default"/>
          <w:pgSz w:w="11906" w:h="16838"/>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p w14:paraId="3FBDFE74">
      <w:pPr>
        <w:pStyle w:val="3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0"/>
        <w:jc w:val="center"/>
        <w:textAlignment w:val="auto"/>
        <w:outlineLvl w:val="0"/>
        <w:rPr>
          <w:rFonts w:hint="default" w:ascii="Times New Roman" w:hAnsi="Times New Roman" w:eastAsia="宋体" w:cs="Times New Roman"/>
          <w:b/>
          <w:bCs/>
          <w:snapToGrid w:val="0"/>
          <w:sz w:val="30"/>
          <w:szCs w:val="30"/>
        </w:rPr>
      </w:pPr>
      <w:bookmarkStart w:id="2" w:name="_Toc26011"/>
      <w:r>
        <w:rPr>
          <w:rFonts w:hint="default" w:ascii="Times New Roman" w:hAnsi="Times New Roman" w:eastAsia="宋体" w:cs="Times New Roman"/>
          <w:b/>
          <w:bCs/>
          <w:snapToGrid w:val="0"/>
          <w:sz w:val="30"/>
          <w:szCs w:val="30"/>
        </w:rPr>
        <w:t>三、区域环境质量现状、环境保护目标及评价标准</w:t>
      </w:r>
      <w:bookmarkEnd w:id="2"/>
    </w:p>
    <w:tbl>
      <w:tblPr>
        <w:tblStyle w:val="39"/>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3"/>
        <w:gridCol w:w="9186"/>
      </w:tblGrid>
      <w:tr w14:paraId="11248C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24" w:hRule="atLeast"/>
          <w:jc w:val="center"/>
        </w:trPr>
        <w:tc>
          <w:tcPr>
            <w:tcW w:w="388" w:type="pct"/>
            <w:vAlign w:val="center"/>
          </w:tcPr>
          <w:p w14:paraId="1EEE6FB8">
            <w:pPr>
              <w:jc w:val="center"/>
              <w:rPr>
                <w:rFonts w:hint="default" w:ascii="Times New Roman" w:hAnsi="Times New Roman" w:cs="Times New Roman"/>
                <w:kern w:val="0"/>
              </w:rPr>
            </w:pPr>
            <w:r>
              <w:rPr>
                <w:rFonts w:hint="default" w:ascii="Times New Roman" w:hAnsi="Times New Roman" w:cs="Times New Roman"/>
                <w:kern w:val="0"/>
              </w:rPr>
              <w:t>区域</w:t>
            </w:r>
          </w:p>
          <w:p w14:paraId="267148E5">
            <w:pPr>
              <w:jc w:val="center"/>
              <w:rPr>
                <w:rFonts w:hint="default" w:ascii="Times New Roman" w:hAnsi="Times New Roman" w:cs="Times New Roman"/>
                <w:kern w:val="0"/>
              </w:rPr>
            </w:pPr>
            <w:r>
              <w:rPr>
                <w:rFonts w:hint="default" w:ascii="Times New Roman" w:hAnsi="Times New Roman" w:cs="Times New Roman"/>
                <w:kern w:val="0"/>
              </w:rPr>
              <w:t>环境</w:t>
            </w:r>
          </w:p>
          <w:p w14:paraId="6367773F">
            <w:pPr>
              <w:jc w:val="center"/>
              <w:rPr>
                <w:rFonts w:hint="default" w:ascii="Times New Roman" w:hAnsi="Times New Roman" w:cs="Times New Roman"/>
                <w:kern w:val="0"/>
              </w:rPr>
            </w:pPr>
            <w:r>
              <w:rPr>
                <w:rFonts w:hint="default" w:ascii="Times New Roman" w:hAnsi="Times New Roman" w:cs="Times New Roman"/>
                <w:kern w:val="0"/>
              </w:rPr>
              <w:t>质量</w:t>
            </w:r>
          </w:p>
          <w:p w14:paraId="7709C44C">
            <w:pPr>
              <w:jc w:val="center"/>
              <w:rPr>
                <w:rFonts w:hint="default" w:ascii="Times New Roman" w:hAnsi="Times New Roman" w:cs="Times New Roman"/>
                <w:kern w:val="0"/>
              </w:rPr>
            </w:pPr>
            <w:r>
              <w:rPr>
                <w:rFonts w:hint="default" w:ascii="Times New Roman" w:hAnsi="Times New Roman" w:cs="Times New Roman"/>
                <w:kern w:val="0"/>
              </w:rPr>
              <w:t>现状</w:t>
            </w:r>
          </w:p>
        </w:tc>
        <w:tc>
          <w:tcPr>
            <w:tcW w:w="4611" w:type="pct"/>
            <w:vAlign w:val="center"/>
          </w:tcPr>
          <w:p w14:paraId="3DB92F77">
            <w:pPr>
              <w:spacing w:line="360" w:lineRule="auto"/>
              <w:ind w:firstLine="482" w:firstLineChars="200"/>
              <w:jc w:val="left"/>
              <w:rPr>
                <w:rFonts w:hint="default" w:ascii="Times New Roman" w:hAnsi="Times New Roman" w:eastAsia="宋体" w:cs="Times New Roman"/>
                <w:b/>
                <w:bCs/>
                <w:color w:val="auto"/>
                <w:sz w:val="24"/>
                <w:u w:val="none" w:color="auto"/>
              </w:rPr>
            </w:pPr>
            <w:r>
              <w:rPr>
                <w:rFonts w:hint="default" w:ascii="Times New Roman" w:hAnsi="Times New Roman" w:eastAsia="宋体" w:cs="Times New Roman"/>
                <w:b/>
                <w:bCs/>
                <w:color w:val="auto"/>
                <w:sz w:val="24"/>
                <w:u w:val="none" w:color="auto"/>
                <w:lang w:val="en-US" w:eastAsia="zh-CN"/>
              </w:rPr>
              <w:t>3.1</w:t>
            </w:r>
            <w:r>
              <w:rPr>
                <w:rFonts w:hint="default" w:ascii="Times New Roman" w:hAnsi="Times New Roman" w:eastAsia="宋体" w:cs="Times New Roman"/>
                <w:b/>
                <w:bCs/>
                <w:color w:val="auto"/>
                <w:sz w:val="24"/>
                <w:u w:val="none" w:color="auto"/>
              </w:rPr>
              <w:t>大气环境</w:t>
            </w:r>
            <w:r>
              <w:rPr>
                <w:rFonts w:hint="default" w:ascii="Times New Roman" w:hAnsi="Times New Roman" w:eastAsia="宋体" w:cs="Times New Roman"/>
                <w:b/>
                <w:sz w:val="24"/>
                <w:szCs w:val="24"/>
                <w:u w:val="none" w:color="auto"/>
              </w:rPr>
              <w:t>质量现状</w:t>
            </w:r>
          </w:p>
          <w:p w14:paraId="27F11859">
            <w:pPr>
              <w:widowControl/>
              <w:spacing w:line="360" w:lineRule="auto"/>
              <w:ind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1、区域环境空气质量达标分析</w:t>
            </w:r>
          </w:p>
          <w:p w14:paraId="77EC715F">
            <w:pPr>
              <w:widowControl/>
              <w:spacing w:line="360" w:lineRule="auto"/>
              <w:ind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根据永州市生态环境局发布的《2023年全市生态环境工作情况》，项目所在区域永州市新田县2023年环境空气质量属于达标区。具体情况详见下表。</w:t>
            </w:r>
          </w:p>
          <w:p w14:paraId="5AC7083C">
            <w:pPr>
              <w:keepNext/>
              <w:keepLines/>
              <w:topLinePunct/>
              <w:adjustRightInd w:val="0"/>
              <w:snapToGrid w:val="0"/>
              <w:spacing w:line="360" w:lineRule="auto"/>
              <w:jc w:val="center"/>
              <w:outlineLvl w:val="4"/>
              <w:rPr>
                <w:rFonts w:hint="default" w:ascii="Times New Roman" w:hAnsi="Times New Roman" w:eastAsia="宋体" w:cs="Times New Roman"/>
                <w:b/>
                <w:bCs/>
                <w:kern w:val="20"/>
                <w:sz w:val="24"/>
                <w:szCs w:val="24"/>
              </w:rPr>
            </w:pPr>
            <w:r>
              <w:rPr>
                <w:rFonts w:hint="default" w:ascii="Times New Roman" w:hAnsi="Times New Roman" w:eastAsia="宋体" w:cs="Times New Roman"/>
                <w:b/>
                <w:bCs/>
                <w:kern w:val="20"/>
                <w:sz w:val="24"/>
                <w:szCs w:val="24"/>
              </w:rPr>
              <w:t>表3-1  环境空气质量现状评价表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163"/>
              <w:gridCol w:w="3393"/>
              <w:gridCol w:w="1290"/>
              <w:gridCol w:w="1266"/>
              <w:gridCol w:w="844"/>
            </w:tblGrid>
            <w:tr w14:paraId="3FFEBE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0" w:type="pct"/>
                  <w:noWrap w:val="0"/>
                  <w:vAlign w:val="center"/>
                </w:tcPr>
                <w:p w14:paraId="63ACA5AE">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市县</w:t>
                  </w:r>
                </w:p>
              </w:tc>
              <w:tc>
                <w:tcPr>
                  <w:tcW w:w="650" w:type="pct"/>
                  <w:noWrap w:val="0"/>
                  <w:vAlign w:val="center"/>
                </w:tcPr>
                <w:p w14:paraId="08DCEB07">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污染物</w:t>
                  </w:r>
                </w:p>
              </w:tc>
              <w:tc>
                <w:tcPr>
                  <w:tcW w:w="1897" w:type="pct"/>
                  <w:noWrap w:val="0"/>
                  <w:vAlign w:val="center"/>
                </w:tcPr>
                <w:p w14:paraId="4DE65F9F">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年评价指标</w:t>
                  </w:r>
                </w:p>
              </w:tc>
              <w:tc>
                <w:tcPr>
                  <w:tcW w:w="721" w:type="pct"/>
                  <w:noWrap w:val="0"/>
                  <w:vAlign w:val="center"/>
                </w:tcPr>
                <w:p w14:paraId="7401A122">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现状浓度/（μg/m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w:t>
                  </w:r>
                </w:p>
              </w:tc>
              <w:tc>
                <w:tcPr>
                  <w:tcW w:w="708" w:type="pct"/>
                  <w:noWrap w:val="0"/>
                  <w:vAlign w:val="center"/>
                </w:tcPr>
                <w:p w14:paraId="797CA8F6">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标准值/（μg/m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w:t>
                  </w:r>
                </w:p>
              </w:tc>
              <w:tc>
                <w:tcPr>
                  <w:tcW w:w="472" w:type="pct"/>
                  <w:noWrap w:val="0"/>
                  <w:vAlign w:val="center"/>
                </w:tcPr>
                <w:p w14:paraId="6E8AC615">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达标情况</w:t>
                  </w:r>
                </w:p>
              </w:tc>
            </w:tr>
            <w:tr w14:paraId="65DA7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0" w:type="pct"/>
                  <w:vMerge w:val="restart"/>
                  <w:noWrap w:val="0"/>
                  <w:vAlign w:val="center"/>
                </w:tcPr>
                <w:p w14:paraId="5E26F063">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永州市新田县</w:t>
                  </w:r>
                </w:p>
              </w:tc>
              <w:tc>
                <w:tcPr>
                  <w:tcW w:w="650" w:type="pct"/>
                  <w:noWrap w:val="0"/>
                  <w:vAlign w:val="center"/>
                </w:tcPr>
                <w:p w14:paraId="108A02B3">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SO</w:t>
                  </w:r>
                  <w:r>
                    <w:rPr>
                      <w:rFonts w:hint="default" w:ascii="Times New Roman" w:hAnsi="Times New Roman" w:eastAsia="宋体" w:cs="Times New Roman"/>
                      <w:szCs w:val="21"/>
                      <w:vertAlign w:val="subscript"/>
                    </w:rPr>
                    <w:t>2</w:t>
                  </w:r>
                </w:p>
              </w:tc>
              <w:tc>
                <w:tcPr>
                  <w:tcW w:w="1897" w:type="pct"/>
                  <w:noWrap w:val="0"/>
                  <w:vAlign w:val="center"/>
                </w:tcPr>
                <w:p w14:paraId="699AEC30">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年平均质量浓度</w:t>
                  </w:r>
                </w:p>
              </w:tc>
              <w:tc>
                <w:tcPr>
                  <w:tcW w:w="721" w:type="pct"/>
                  <w:noWrap w:val="0"/>
                  <w:vAlign w:val="center"/>
                </w:tcPr>
                <w:p w14:paraId="0572D990">
                  <w:pPr>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708" w:type="pct"/>
                  <w:noWrap w:val="0"/>
                  <w:vAlign w:val="center"/>
                </w:tcPr>
                <w:p w14:paraId="778AA968">
                  <w:pPr>
                    <w:jc w:val="center"/>
                    <w:rPr>
                      <w:rFonts w:hint="default" w:ascii="Times New Roman" w:hAnsi="Times New Roman" w:eastAsia="宋体" w:cs="Times New Roman"/>
                      <w:szCs w:val="21"/>
                    </w:rPr>
                  </w:pPr>
                  <w:r>
                    <w:rPr>
                      <w:rFonts w:hint="default" w:ascii="Times New Roman" w:hAnsi="Times New Roman" w:eastAsia="宋体" w:cs="Times New Roman"/>
                      <w:szCs w:val="21"/>
                    </w:rPr>
                    <w:t>60</w:t>
                  </w:r>
                </w:p>
              </w:tc>
              <w:tc>
                <w:tcPr>
                  <w:tcW w:w="472" w:type="pct"/>
                  <w:noWrap w:val="0"/>
                  <w:vAlign w:val="center"/>
                </w:tcPr>
                <w:p w14:paraId="6DB2DB1E">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r>
            <w:tr w14:paraId="0DC4F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0" w:type="pct"/>
                  <w:vMerge w:val="continue"/>
                  <w:noWrap w:val="0"/>
                  <w:vAlign w:val="center"/>
                </w:tcPr>
                <w:p w14:paraId="31A64779">
                  <w:pPr>
                    <w:adjustRightInd w:val="0"/>
                    <w:snapToGrid w:val="0"/>
                    <w:jc w:val="center"/>
                    <w:rPr>
                      <w:rFonts w:hint="default" w:ascii="Times New Roman" w:hAnsi="Times New Roman" w:eastAsia="宋体" w:cs="Times New Roman"/>
                      <w:szCs w:val="21"/>
                    </w:rPr>
                  </w:pPr>
                </w:p>
              </w:tc>
              <w:tc>
                <w:tcPr>
                  <w:tcW w:w="650" w:type="pct"/>
                  <w:noWrap w:val="0"/>
                  <w:vAlign w:val="center"/>
                </w:tcPr>
                <w:p w14:paraId="573F5B6A">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2</w:t>
                  </w:r>
                </w:p>
              </w:tc>
              <w:tc>
                <w:tcPr>
                  <w:tcW w:w="1897" w:type="pct"/>
                  <w:noWrap w:val="0"/>
                  <w:vAlign w:val="center"/>
                </w:tcPr>
                <w:p w14:paraId="56F357C0">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年平均质量浓度</w:t>
                  </w:r>
                </w:p>
              </w:tc>
              <w:tc>
                <w:tcPr>
                  <w:tcW w:w="721" w:type="pct"/>
                  <w:noWrap w:val="0"/>
                  <w:vAlign w:val="center"/>
                </w:tcPr>
                <w:p w14:paraId="5211EC95">
                  <w:pPr>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708" w:type="pct"/>
                  <w:noWrap w:val="0"/>
                  <w:vAlign w:val="center"/>
                </w:tcPr>
                <w:p w14:paraId="6DF0C7E1">
                  <w:pPr>
                    <w:jc w:val="center"/>
                    <w:rPr>
                      <w:rFonts w:hint="default" w:ascii="Times New Roman" w:hAnsi="Times New Roman" w:eastAsia="宋体" w:cs="Times New Roman"/>
                      <w:szCs w:val="21"/>
                    </w:rPr>
                  </w:pPr>
                  <w:r>
                    <w:rPr>
                      <w:rFonts w:hint="default" w:ascii="Times New Roman" w:hAnsi="Times New Roman" w:eastAsia="宋体" w:cs="Times New Roman"/>
                      <w:szCs w:val="21"/>
                    </w:rPr>
                    <w:t>40</w:t>
                  </w:r>
                </w:p>
              </w:tc>
              <w:tc>
                <w:tcPr>
                  <w:tcW w:w="472" w:type="pct"/>
                  <w:noWrap w:val="0"/>
                  <w:vAlign w:val="center"/>
                </w:tcPr>
                <w:p w14:paraId="19251410">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r>
            <w:tr w14:paraId="0E0F2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0" w:type="pct"/>
                  <w:vMerge w:val="continue"/>
                  <w:noWrap w:val="0"/>
                  <w:vAlign w:val="center"/>
                </w:tcPr>
                <w:p w14:paraId="04D04261">
                  <w:pPr>
                    <w:adjustRightInd w:val="0"/>
                    <w:snapToGrid w:val="0"/>
                    <w:jc w:val="center"/>
                    <w:rPr>
                      <w:rFonts w:hint="default" w:ascii="Times New Roman" w:hAnsi="Times New Roman" w:eastAsia="宋体" w:cs="Times New Roman"/>
                      <w:szCs w:val="21"/>
                    </w:rPr>
                  </w:pPr>
                </w:p>
              </w:tc>
              <w:tc>
                <w:tcPr>
                  <w:tcW w:w="650" w:type="pct"/>
                  <w:noWrap w:val="0"/>
                  <w:vAlign w:val="center"/>
                </w:tcPr>
                <w:p w14:paraId="109498DB">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PM</w:t>
                  </w:r>
                  <w:r>
                    <w:rPr>
                      <w:rFonts w:hint="default" w:ascii="Times New Roman" w:hAnsi="Times New Roman" w:eastAsia="宋体" w:cs="Times New Roman"/>
                      <w:szCs w:val="21"/>
                      <w:vertAlign w:val="subscript"/>
                    </w:rPr>
                    <w:t>10</w:t>
                  </w:r>
                </w:p>
              </w:tc>
              <w:tc>
                <w:tcPr>
                  <w:tcW w:w="1897" w:type="pct"/>
                  <w:noWrap w:val="0"/>
                  <w:vAlign w:val="center"/>
                </w:tcPr>
                <w:p w14:paraId="11CB58B5">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年平均质量浓度</w:t>
                  </w:r>
                </w:p>
              </w:tc>
              <w:tc>
                <w:tcPr>
                  <w:tcW w:w="721" w:type="pct"/>
                  <w:noWrap w:val="0"/>
                  <w:vAlign w:val="center"/>
                </w:tcPr>
                <w:p w14:paraId="39F8EEE2">
                  <w:pPr>
                    <w:jc w:val="center"/>
                    <w:rPr>
                      <w:rFonts w:hint="default" w:ascii="Times New Roman" w:hAnsi="Times New Roman" w:eastAsia="宋体" w:cs="Times New Roman"/>
                      <w:szCs w:val="21"/>
                    </w:rPr>
                  </w:pPr>
                  <w:r>
                    <w:rPr>
                      <w:rFonts w:hint="default" w:ascii="Times New Roman" w:hAnsi="Times New Roman" w:eastAsia="宋体" w:cs="Times New Roman"/>
                      <w:szCs w:val="21"/>
                    </w:rPr>
                    <w:t>44</w:t>
                  </w:r>
                </w:p>
              </w:tc>
              <w:tc>
                <w:tcPr>
                  <w:tcW w:w="708" w:type="pct"/>
                  <w:noWrap w:val="0"/>
                  <w:vAlign w:val="center"/>
                </w:tcPr>
                <w:p w14:paraId="390B306A">
                  <w:pPr>
                    <w:jc w:val="center"/>
                    <w:rPr>
                      <w:rFonts w:hint="default" w:ascii="Times New Roman" w:hAnsi="Times New Roman" w:eastAsia="宋体" w:cs="Times New Roman"/>
                      <w:szCs w:val="21"/>
                    </w:rPr>
                  </w:pPr>
                  <w:r>
                    <w:rPr>
                      <w:rFonts w:hint="default" w:ascii="Times New Roman" w:hAnsi="Times New Roman" w:eastAsia="宋体" w:cs="Times New Roman"/>
                      <w:szCs w:val="21"/>
                    </w:rPr>
                    <w:t>70</w:t>
                  </w:r>
                </w:p>
              </w:tc>
              <w:tc>
                <w:tcPr>
                  <w:tcW w:w="472" w:type="pct"/>
                  <w:noWrap w:val="0"/>
                  <w:vAlign w:val="center"/>
                </w:tcPr>
                <w:p w14:paraId="243F9BDA">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r>
            <w:tr w14:paraId="3E23BB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0" w:type="pct"/>
                  <w:vMerge w:val="continue"/>
                  <w:noWrap w:val="0"/>
                  <w:vAlign w:val="center"/>
                </w:tcPr>
                <w:p w14:paraId="473B0F80">
                  <w:pPr>
                    <w:adjustRightInd w:val="0"/>
                    <w:snapToGrid w:val="0"/>
                    <w:jc w:val="center"/>
                    <w:rPr>
                      <w:rFonts w:hint="default" w:ascii="Times New Roman" w:hAnsi="Times New Roman" w:eastAsia="宋体" w:cs="Times New Roman"/>
                      <w:szCs w:val="21"/>
                    </w:rPr>
                  </w:pPr>
                </w:p>
              </w:tc>
              <w:tc>
                <w:tcPr>
                  <w:tcW w:w="650" w:type="pct"/>
                  <w:noWrap w:val="0"/>
                  <w:vAlign w:val="center"/>
                </w:tcPr>
                <w:p w14:paraId="5FC16D8D">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PM</w:t>
                  </w:r>
                  <w:r>
                    <w:rPr>
                      <w:rFonts w:hint="default" w:ascii="Times New Roman" w:hAnsi="Times New Roman" w:eastAsia="宋体" w:cs="Times New Roman"/>
                      <w:szCs w:val="21"/>
                      <w:vertAlign w:val="subscript"/>
                    </w:rPr>
                    <w:t>2.5</w:t>
                  </w:r>
                </w:p>
              </w:tc>
              <w:tc>
                <w:tcPr>
                  <w:tcW w:w="1897" w:type="pct"/>
                  <w:noWrap w:val="0"/>
                  <w:vAlign w:val="center"/>
                </w:tcPr>
                <w:p w14:paraId="0AC50F03">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年平均质量浓度</w:t>
                  </w:r>
                </w:p>
              </w:tc>
              <w:tc>
                <w:tcPr>
                  <w:tcW w:w="721" w:type="pct"/>
                  <w:noWrap w:val="0"/>
                  <w:vAlign w:val="center"/>
                </w:tcPr>
                <w:p w14:paraId="7B512E4A">
                  <w:pPr>
                    <w:jc w:val="center"/>
                    <w:rPr>
                      <w:rFonts w:hint="default" w:ascii="Times New Roman" w:hAnsi="Times New Roman" w:eastAsia="宋体" w:cs="Times New Roman"/>
                      <w:szCs w:val="21"/>
                    </w:rPr>
                  </w:pPr>
                  <w:r>
                    <w:rPr>
                      <w:rFonts w:hint="default" w:ascii="Times New Roman" w:hAnsi="Times New Roman" w:eastAsia="宋体" w:cs="Times New Roman"/>
                      <w:szCs w:val="21"/>
                    </w:rPr>
                    <w:t>30</w:t>
                  </w:r>
                </w:p>
              </w:tc>
              <w:tc>
                <w:tcPr>
                  <w:tcW w:w="708" w:type="pct"/>
                  <w:noWrap w:val="0"/>
                  <w:vAlign w:val="center"/>
                </w:tcPr>
                <w:p w14:paraId="2BE0D8C0">
                  <w:pPr>
                    <w:jc w:val="center"/>
                    <w:rPr>
                      <w:rFonts w:hint="default" w:ascii="Times New Roman" w:hAnsi="Times New Roman" w:eastAsia="宋体" w:cs="Times New Roman"/>
                      <w:szCs w:val="21"/>
                    </w:rPr>
                  </w:pPr>
                  <w:r>
                    <w:rPr>
                      <w:rFonts w:hint="default" w:ascii="Times New Roman" w:hAnsi="Times New Roman" w:eastAsia="宋体" w:cs="Times New Roman"/>
                      <w:szCs w:val="21"/>
                    </w:rPr>
                    <w:t>35</w:t>
                  </w:r>
                </w:p>
              </w:tc>
              <w:tc>
                <w:tcPr>
                  <w:tcW w:w="472" w:type="pct"/>
                  <w:noWrap w:val="0"/>
                  <w:vAlign w:val="center"/>
                </w:tcPr>
                <w:p w14:paraId="1E378922">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r>
            <w:tr w14:paraId="0E7DD4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0" w:type="pct"/>
                  <w:vMerge w:val="continue"/>
                  <w:noWrap w:val="0"/>
                  <w:vAlign w:val="center"/>
                </w:tcPr>
                <w:p w14:paraId="3E077650">
                  <w:pPr>
                    <w:adjustRightInd w:val="0"/>
                    <w:snapToGrid w:val="0"/>
                    <w:jc w:val="center"/>
                    <w:rPr>
                      <w:rFonts w:hint="default" w:ascii="Times New Roman" w:hAnsi="Times New Roman" w:eastAsia="宋体" w:cs="Times New Roman"/>
                      <w:szCs w:val="21"/>
                    </w:rPr>
                  </w:pPr>
                </w:p>
              </w:tc>
              <w:tc>
                <w:tcPr>
                  <w:tcW w:w="650" w:type="pct"/>
                  <w:noWrap w:val="0"/>
                  <w:vAlign w:val="center"/>
                </w:tcPr>
                <w:p w14:paraId="7B13FB1E">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CO</w:t>
                  </w:r>
                </w:p>
              </w:tc>
              <w:tc>
                <w:tcPr>
                  <w:tcW w:w="1897" w:type="pct"/>
                  <w:noWrap w:val="0"/>
                  <w:vAlign w:val="center"/>
                </w:tcPr>
                <w:p w14:paraId="4C4C0F46">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第95百分位数日平均浓度</w:t>
                  </w:r>
                </w:p>
              </w:tc>
              <w:tc>
                <w:tcPr>
                  <w:tcW w:w="721" w:type="pct"/>
                  <w:noWrap w:val="0"/>
                  <w:vAlign w:val="center"/>
                </w:tcPr>
                <w:p w14:paraId="59EB5F92">
                  <w:pPr>
                    <w:jc w:val="center"/>
                    <w:rPr>
                      <w:rFonts w:hint="default" w:ascii="Times New Roman" w:hAnsi="Times New Roman" w:eastAsia="宋体" w:cs="Times New Roman"/>
                      <w:szCs w:val="21"/>
                    </w:rPr>
                  </w:pPr>
                  <w:r>
                    <w:rPr>
                      <w:rFonts w:hint="default" w:ascii="Times New Roman" w:hAnsi="Times New Roman" w:eastAsia="宋体" w:cs="Times New Roman"/>
                      <w:szCs w:val="21"/>
                    </w:rPr>
                    <w:t>680</w:t>
                  </w:r>
                </w:p>
              </w:tc>
              <w:tc>
                <w:tcPr>
                  <w:tcW w:w="708" w:type="pct"/>
                  <w:noWrap w:val="0"/>
                  <w:vAlign w:val="center"/>
                </w:tcPr>
                <w:p w14:paraId="5C5C0B6A">
                  <w:pPr>
                    <w:jc w:val="center"/>
                    <w:rPr>
                      <w:rFonts w:hint="default" w:ascii="Times New Roman" w:hAnsi="Times New Roman" w:eastAsia="宋体" w:cs="Times New Roman"/>
                      <w:szCs w:val="21"/>
                    </w:rPr>
                  </w:pPr>
                  <w:r>
                    <w:rPr>
                      <w:rFonts w:hint="default" w:ascii="Times New Roman" w:hAnsi="Times New Roman" w:eastAsia="宋体" w:cs="Times New Roman"/>
                      <w:szCs w:val="21"/>
                    </w:rPr>
                    <w:t>4000</w:t>
                  </w:r>
                </w:p>
              </w:tc>
              <w:tc>
                <w:tcPr>
                  <w:tcW w:w="472" w:type="pct"/>
                  <w:noWrap w:val="0"/>
                  <w:vAlign w:val="center"/>
                </w:tcPr>
                <w:p w14:paraId="651C1214">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r>
            <w:tr w14:paraId="2902E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0" w:type="pct"/>
                  <w:vMerge w:val="continue"/>
                  <w:noWrap w:val="0"/>
                  <w:vAlign w:val="center"/>
                </w:tcPr>
                <w:p w14:paraId="563BD5AD">
                  <w:pPr>
                    <w:adjustRightInd w:val="0"/>
                    <w:snapToGrid w:val="0"/>
                    <w:jc w:val="center"/>
                    <w:rPr>
                      <w:rFonts w:hint="default" w:ascii="Times New Roman" w:hAnsi="Times New Roman" w:eastAsia="宋体" w:cs="Times New Roman"/>
                      <w:szCs w:val="21"/>
                    </w:rPr>
                  </w:pPr>
                </w:p>
              </w:tc>
              <w:tc>
                <w:tcPr>
                  <w:tcW w:w="650" w:type="pct"/>
                  <w:noWrap w:val="0"/>
                  <w:vAlign w:val="center"/>
                </w:tcPr>
                <w:p w14:paraId="1AE3EEAB">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O</w:t>
                  </w:r>
                  <w:r>
                    <w:rPr>
                      <w:rFonts w:hint="default" w:ascii="Times New Roman" w:hAnsi="Times New Roman" w:eastAsia="宋体" w:cs="Times New Roman"/>
                      <w:szCs w:val="21"/>
                      <w:vertAlign w:val="subscript"/>
                    </w:rPr>
                    <w:t>3</w:t>
                  </w:r>
                </w:p>
              </w:tc>
              <w:tc>
                <w:tcPr>
                  <w:tcW w:w="1897" w:type="pct"/>
                  <w:noWrap w:val="0"/>
                  <w:vAlign w:val="center"/>
                </w:tcPr>
                <w:p w14:paraId="1A2D8139">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第90百分位数日最大8h平均浓度</w:t>
                  </w:r>
                </w:p>
              </w:tc>
              <w:tc>
                <w:tcPr>
                  <w:tcW w:w="721" w:type="pct"/>
                  <w:noWrap w:val="0"/>
                  <w:vAlign w:val="center"/>
                </w:tcPr>
                <w:p w14:paraId="36F60B96">
                  <w:pPr>
                    <w:jc w:val="center"/>
                    <w:rPr>
                      <w:rFonts w:hint="default" w:ascii="Times New Roman" w:hAnsi="Times New Roman" w:eastAsia="宋体" w:cs="Times New Roman"/>
                      <w:szCs w:val="21"/>
                    </w:rPr>
                  </w:pPr>
                  <w:r>
                    <w:rPr>
                      <w:rFonts w:hint="default" w:ascii="Times New Roman" w:hAnsi="Times New Roman" w:eastAsia="宋体" w:cs="Times New Roman"/>
                      <w:szCs w:val="21"/>
                    </w:rPr>
                    <w:t>78</w:t>
                  </w:r>
                </w:p>
              </w:tc>
              <w:tc>
                <w:tcPr>
                  <w:tcW w:w="708" w:type="pct"/>
                  <w:noWrap w:val="0"/>
                  <w:vAlign w:val="center"/>
                </w:tcPr>
                <w:p w14:paraId="107CA622">
                  <w:pPr>
                    <w:jc w:val="center"/>
                    <w:rPr>
                      <w:rFonts w:hint="default" w:ascii="Times New Roman" w:hAnsi="Times New Roman" w:eastAsia="宋体" w:cs="Times New Roman"/>
                      <w:szCs w:val="21"/>
                    </w:rPr>
                  </w:pPr>
                  <w:r>
                    <w:rPr>
                      <w:rFonts w:hint="default" w:ascii="Times New Roman" w:hAnsi="Times New Roman" w:eastAsia="宋体" w:cs="Times New Roman"/>
                      <w:szCs w:val="21"/>
                    </w:rPr>
                    <w:t>160</w:t>
                  </w:r>
                </w:p>
              </w:tc>
              <w:tc>
                <w:tcPr>
                  <w:tcW w:w="472" w:type="pct"/>
                  <w:noWrap w:val="0"/>
                  <w:vAlign w:val="center"/>
                </w:tcPr>
                <w:p w14:paraId="25E2FE5D">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达标</w:t>
                  </w:r>
                </w:p>
              </w:tc>
            </w:tr>
          </w:tbl>
          <w:p w14:paraId="74E12FDD">
            <w:pPr>
              <w:widowControl/>
              <w:spacing w:line="360" w:lineRule="auto"/>
              <w:ind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2、环境质量现状监测</w:t>
            </w:r>
          </w:p>
          <w:p w14:paraId="613C8CC4">
            <w:pPr>
              <w:widowControl/>
              <w:spacing w:line="360" w:lineRule="auto"/>
              <w:ind w:firstLine="480" w:firstLineChars="200"/>
              <w:jc w:val="both"/>
              <w:rPr>
                <w:rFonts w:hint="default" w:ascii="Times New Roman" w:hAnsi="Times New Roman" w:eastAsia="宋体" w:cs="Times New Roman"/>
                <w:kern w:val="0"/>
                <w:sz w:val="24"/>
                <w:szCs w:val="24"/>
                <w:u w:val="single"/>
              </w:rPr>
            </w:pPr>
            <w:r>
              <w:rPr>
                <w:rFonts w:hint="default" w:ascii="Times New Roman" w:hAnsi="Times New Roman" w:eastAsia="宋体" w:cs="Times New Roman"/>
                <w:kern w:val="0"/>
                <w:sz w:val="24"/>
                <w:szCs w:val="24"/>
                <w:u w:val="single"/>
              </w:rPr>
              <w:t>本次评价委托</w:t>
            </w:r>
            <w:r>
              <w:rPr>
                <w:rFonts w:hint="eastAsia" w:ascii="Times New Roman" w:hAnsi="Times New Roman" w:cs="Times New Roman"/>
                <w:kern w:val="0"/>
                <w:sz w:val="24"/>
                <w:szCs w:val="24"/>
                <w:u w:val="single"/>
                <w:lang w:eastAsia="zh-CN"/>
              </w:rPr>
              <w:t>湖南中额环保科技有限公司</w:t>
            </w:r>
            <w:r>
              <w:rPr>
                <w:rFonts w:hint="default" w:ascii="Times New Roman" w:hAnsi="Times New Roman" w:eastAsia="宋体" w:cs="Times New Roman"/>
                <w:kern w:val="0"/>
                <w:sz w:val="24"/>
                <w:szCs w:val="24"/>
                <w:u w:val="single"/>
              </w:rPr>
              <w:t>于202</w:t>
            </w:r>
            <w:r>
              <w:rPr>
                <w:rFonts w:hint="eastAsia" w:ascii="Times New Roman" w:hAnsi="Times New Roman" w:cs="Times New Roman"/>
                <w:kern w:val="0"/>
                <w:sz w:val="24"/>
                <w:szCs w:val="24"/>
                <w:u w:val="single"/>
                <w:lang w:val="en-US" w:eastAsia="zh-CN"/>
              </w:rPr>
              <w:t>4</w:t>
            </w:r>
            <w:r>
              <w:rPr>
                <w:rFonts w:hint="default" w:ascii="Times New Roman" w:hAnsi="Times New Roman" w:eastAsia="宋体" w:cs="Times New Roman"/>
                <w:kern w:val="0"/>
                <w:sz w:val="24"/>
                <w:szCs w:val="24"/>
                <w:u w:val="single"/>
              </w:rPr>
              <w:t>年</w:t>
            </w:r>
            <w:r>
              <w:rPr>
                <w:rFonts w:hint="eastAsia" w:ascii="Times New Roman" w:hAnsi="Times New Roman" w:cs="Times New Roman"/>
                <w:kern w:val="0"/>
                <w:sz w:val="24"/>
                <w:szCs w:val="24"/>
                <w:u w:val="single"/>
                <w:lang w:val="en-US" w:eastAsia="zh-CN"/>
              </w:rPr>
              <w:t>11</w:t>
            </w:r>
            <w:r>
              <w:rPr>
                <w:rFonts w:hint="default" w:ascii="Times New Roman" w:hAnsi="Times New Roman" w:eastAsia="宋体" w:cs="Times New Roman"/>
                <w:kern w:val="0"/>
                <w:sz w:val="24"/>
                <w:szCs w:val="24"/>
                <w:u w:val="single"/>
              </w:rPr>
              <w:t>月</w:t>
            </w:r>
            <w:r>
              <w:rPr>
                <w:rFonts w:hint="eastAsia" w:ascii="Times New Roman" w:hAnsi="Times New Roman" w:cs="Times New Roman"/>
                <w:kern w:val="0"/>
                <w:sz w:val="24"/>
                <w:szCs w:val="24"/>
                <w:u w:val="single"/>
                <w:lang w:val="en-US" w:eastAsia="zh-CN"/>
              </w:rPr>
              <w:t>20</w:t>
            </w:r>
            <w:r>
              <w:rPr>
                <w:rFonts w:hint="default" w:ascii="Times New Roman" w:hAnsi="Times New Roman" w:eastAsia="宋体" w:cs="Times New Roman"/>
                <w:kern w:val="0"/>
                <w:sz w:val="24"/>
                <w:szCs w:val="24"/>
                <w:u w:val="single"/>
              </w:rPr>
              <w:t>日~</w:t>
            </w:r>
            <w:r>
              <w:rPr>
                <w:rFonts w:hint="eastAsia" w:ascii="Times New Roman" w:hAnsi="Times New Roman" w:cs="Times New Roman"/>
                <w:kern w:val="0"/>
                <w:sz w:val="24"/>
                <w:szCs w:val="24"/>
                <w:u w:val="single"/>
                <w:lang w:val="en-US" w:eastAsia="zh-CN"/>
              </w:rPr>
              <w:t>22</w:t>
            </w:r>
            <w:r>
              <w:rPr>
                <w:rFonts w:hint="default" w:ascii="Times New Roman" w:hAnsi="Times New Roman" w:eastAsia="宋体" w:cs="Times New Roman"/>
                <w:kern w:val="0"/>
                <w:sz w:val="24"/>
                <w:szCs w:val="24"/>
                <w:u w:val="single"/>
              </w:rPr>
              <w:t>日</w:t>
            </w:r>
            <w:r>
              <w:rPr>
                <w:rFonts w:hint="default" w:ascii="Times New Roman" w:hAnsi="Times New Roman" w:eastAsia="宋体" w:cs="Times New Roman"/>
                <w:kern w:val="0"/>
                <w:sz w:val="24"/>
                <w:szCs w:val="24"/>
                <w:u w:val="single"/>
                <w:lang w:eastAsia="zh-CN"/>
              </w:rPr>
              <w:t>开展环境空气质量</w:t>
            </w:r>
            <w:r>
              <w:rPr>
                <w:rFonts w:hint="default" w:ascii="Times New Roman" w:hAnsi="Times New Roman" w:eastAsia="宋体" w:cs="Times New Roman"/>
                <w:kern w:val="0"/>
                <w:sz w:val="24"/>
                <w:szCs w:val="24"/>
                <w:u w:val="single"/>
              </w:rPr>
              <w:t>现状监测。</w:t>
            </w:r>
          </w:p>
          <w:p w14:paraId="62DEE3CA">
            <w:pPr>
              <w:widowControl/>
              <w:spacing w:line="360" w:lineRule="auto"/>
              <w:ind w:firstLine="480" w:firstLineChars="200"/>
              <w:jc w:val="left"/>
              <w:rPr>
                <w:rFonts w:hint="default" w:ascii="Times New Roman" w:hAnsi="Times New Roman" w:eastAsia="宋体" w:cs="Times New Roman"/>
                <w:kern w:val="0"/>
                <w:sz w:val="24"/>
                <w:szCs w:val="24"/>
                <w:u w:val="single"/>
              </w:rPr>
            </w:pPr>
            <w:r>
              <w:rPr>
                <w:rFonts w:hint="default" w:ascii="Times New Roman" w:hAnsi="Times New Roman" w:eastAsia="宋体" w:cs="Times New Roman"/>
                <w:kern w:val="0"/>
                <w:sz w:val="24"/>
                <w:szCs w:val="24"/>
                <w:u w:val="single"/>
              </w:rPr>
              <w:t>（1）监测因子及布点</w:t>
            </w:r>
          </w:p>
          <w:p w14:paraId="593F746F">
            <w:pPr>
              <w:widowControl/>
              <w:spacing w:line="360" w:lineRule="auto"/>
              <w:ind w:firstLine="480" w:firstLineChars="200"/>
              <w:jc w:val="left"/>
              <w:rPr>
                <w:rFonts w:hint="default" w:ascii="Times New Roman" w:hAnsi="Times New Roman" w:eastAsia="宋体" w:cs="Times New Roman"/>
                <w:kern w:val="0"/>
                <w:sz w:val="24"/>
                <w:szCs w:val="24"/>
                <w:u w:val="single"/>
              </w:rPr>
            </w:pPr>
            <w:r>
              <w:rPr>
                <w:rFonts w:hint="default" w:ascii="Times New Roman" w:hAnsi="Times New Roman" w:eastAsia="宋体" w:cs="Times New Roman"/>
                <w:kern w:val="0"/>
                <w:sz w:val="24"/>
                <w:szCs w:val="24"/>
                <w:u w:val="single"/>
              </w:rPr>
              <w:t>大气环境质量现状监测点基本情况见下表。</w:t>
            </w:r>
          </w:p>
          <w:p w14:paraId="7FEFF74F">
            <w:pPr>
              <w:keepNext/>
              <w:keepLines/>
              <w:topLinePunct/>
              <w:adjustRightInd w:val="0"/>
              <w:snapToGrid w:val="0"/>
              <w:spacing w:line="360" w:lineRule="auto"/>
              <w:jc w:val="center"/>
              <w:outlineLvl w:val="4"/>
              <w:rPr>
                <w:rFonts w:hint="default" w:ascii="Times New Roman" w:hAnsi="Times New Roman" w:eastAsia="宋体" w:cs="Times New Roman"/>
                <w:b/>
                <w:bCs/>
                <w:kern w:val="20"/>
                <w:sz w:val="24"/>
                <w:szCs w:val="24"/>
                <w:u w:val="single"/>
                <w:lang w:val="en-GB"/>
              </w:rPr>
            </w:pPr>
            <w:r>
              <w:rPr>
                <w:rFonts w:hint="default" w:ascii="Times New Roman" w:hAnsi="Times New Roman" w:eastAsia="宋体" w:cs="Times New Roman"/>
                <w:b/>
                <w:bCs/>
                <w:kern w:val="20"/>
                <w:sz w:val="24"/>
                <w:szCs w:val="24"/>
                <w:u w:val="single"/>
                <w:lang w:val="en-GB"/>
              </w:rPr>
              <w:t>表</w:t>
            </w:r>
            <w:r>
              <w:rPr>
                <w:rFonts w:hint="default" w:ascii="Times New Roman" w:hAnsi="Times New Roman" w:eastAsia="宋体" w:cs="Times New Roman"/>
                <w:b/>
                <w:bCs/>
                <w:kern w:val="20"/>
                <w:sz w:val="24"/>
                <w:szCs w:val="24"/>
                <w:u w:val="single"/>
              </w:rPr>
              <w:t>3</w:t>
            </w:r>
            <w:r>
              <w:rPr>
                <w:rFonts w:hint="default" w:ascii="Times New Roman" w:hAnsi="Times New Roman" w:eastAsia="宋体" w:cs="Times New Roman"/>
                <w:b/>
                <w:bCs/>
                <w:kern w:val="20"/>
                <w:sz w:val="24"/>
                <w:szCs w:val="24"/>
                <w:u w:val="single"/>
                <w:lang w:val="en-GB"/>
              </w:rPr>
              <w:t>-2  项目环境空气现状监测点</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26"/>
              <w:gridCol w:w="2179"/>
              <w:gridCol w:w="1524"/>
              <w:gridCol w:w="1834"/>
              <w:gridCol w:w="1238"/>
              <w:gridCol w:w="1539"/>
            </w:tblGrid>
            <w:tr w14:paraId="73E292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50" w:type="pct"/>
                  <w:vMerge w:val="restart"/>
                  <w:noWrap w:val="0"/>
                  <w:vAlign w:val="center"/>
                </w:tcPr>
                <w:p w14:paraId="10D50705">
                  <w:pPr>
                    <w:widowControl/>
                    <w:snapToGrid w:val="0"/>
                    <w:jc w:val="center"/>
                    <w:rPr>
                      <w:rFonts w:hint="default" w:ascii="Times New Roman" w:hAnsi="Times New Roman" w:eastAsia="宋体" w:cs="Times New Roman"/>
                      <w:bCs/>
                      <w:kern w:val="0"/>
                      <w:szCs w:val="21"/>
                      <w:u w:val="single"/>
                    </w:rPr>
                  </w:pPr>
                  <w:r>
                    <w:rPr>
                      <w:rFonts w:hint="default" w:ascii="Times New Roman" w:hAnsi="Times New Roman" w:eastAsia="宋体" w:cs="Times New Roman"/>
                      <w:bCs/>
                      <w:kern w:val="0"/>
                      <w:szCs w:val="21"/>
                      <w:u w:val="single"/>
                    </w:rPr>
                    <w:t>编号</w:t>
                  </w:r>
                </w:p>
              </w:tc>
              <w:tc>
                <w:tcPr>
                  <w:tcW w:w="1218" w:type="pct"/>
                  <w:vMerge w:val="restart"/>
                  <w:noWrap w:val="0"/>
                  <w:vAlign w:val="center"/>
                </w:tcPr>
                <w:p w14:paraId="23F15E43">
                  <w:pPr>
                    <w:widowControl/>
                    <w:snapToGrid w:val="0"/>
                    <w:jc w:val="center"/>
                    <w:rPr>
                      <w:rFonts w:hint="default" w:ascii="Times New Roman" w:hAnsi="Times New Roman" w:eastAsia="宋体" w:cs="Times New Roman"/>
                      <w:bCs/>
                      <w:kern w:val="0"/>
                      <w:szCs w:val="21"/>
                      <w:u w:val="single"/>
                    </w:rPr>
                  </w:pPr>
                  <w:r>
                    <w:rPr>
                      <w:rFonts w:hint="default" w:ascii="Times New Roman" w:hAnsi="Times New Roman" w:eastAsia="宋体" w:cs="Times New Roman"/>
                      <w:bCs/>
                      <w:kern w:val="0"/>
                      <w:szCs w:val="21"/>
                      <w:u w:val="single"/>
                    </w:rPr>
                    <w:t>监测点名称</w:t>
                  </w:r>
                </w:p>
              </w:tc>
              <w:tc>
                <w:tcPr>
                  <w:tcW w:w="852" w:type="pct"/>
                  <w:vMerge w:val="restart"/>
                  <w:noWrap w:val="0"/>
                  <w:vAlign w:val="center"/>
                </w:tcPr>
                <w:p w14:paraId="7AB14252">
                  <w:pPr>
                    <w:widowControl/>
                    <w:snapToGrid w:val="0"/>
                    <w:jc w:val="center"/>
                    <w:rPr>
                      <w:rFonts w:hint="default" w:ascii="Times New Roman" w:hAnsi="Times New Roman" w:eastAsia="宋体" w:cs="Times New Roman"/>
                      <w:bCs/>
                      <w:kern w:val="0"/>
                      <w:szCs w:val="21"/>
                      <w:u w:val="single"/>
                    </w:rPr>
                  </w:pPr>
                  <w:r>
                    <w:rPr>
                      <w:rFonts w:hint="default" w:ascii="Times New Roman" w:hAnsi="Times New Roman" w:eastAsia="宋体" w:cs="Times New Roman"/>
                      <w:bCs/>
                      <w:kern w:val="0"/>
                      <w:szCs w:val="21"/>
                      <w:u w:val="single"/>
                    </w:rPr>
                    <w:t>监测因子</w:t>
                  </w:r>
                </w:p>
              </w:tc>
              <w:tc>
                <w:tcPr>
                  <w:tcW w:w="1025" w:type="pct"/>
                  <w:vMerge w:val="restart"/>
                  <w:noWrap w:val="0"/>
                  <w:vAlign w:val="center"/>
                </w:tcPr>
                <w:p w14:paraId="5821F303">
                  <w:pPr>
                    <w:widowControl/>
                    <w:snapToGrid w:val="0"/>
                    <w:jc w:val="center"/>
                    <w:rPr>
                      <w:rFonts w:hint="default" w:ascii="Times New Roman" w:hAnsi="Times New Roman" w:eastAsia="宋体" w:cs="Times New Roman"/>
                      <w:bCs/>
                      <w:kern w:val="0"/>
                      <w:szCs w:val="21"/>
                      <w:u w:val="single"/>
                    </w:rPr>
                  </w:pPr>
                  <w:r>
                    <w:rPr>
                      <w:rFonts w:hint="default" w:ascii="Times New Roman" w:hAnsi="Times New Roman" w:eastAsia="宋体" w:cs="Times New Roman"/>
                      <w:bCs/>
                      <w:kern w:val="0"/>
                      <w:szCs w:val="21"/>
                      <w:u w:val="single"/>
                    </w:rPr>
                    <w:t>监测时间</w:t>
                  </w:r>
                </w:p>
              </w:tc>
              <w:tc>
                <w:tcPr>
                  <w:tcW w:w="692" w:type="pct"/>
                  <w:vMerge w:val="restart"/>
                  <w:noWrap w:val="0"/>
                  <w:vAlign w:val="center"/>
                </w:tcPr>
                <w:p w14:paraId="57426139">
                  <w:pPr>
                    <w:widowControl/>
                    <w:snapToGrid w:val="0"/>
                    <w:jc w:val="center"/>
                    <w:rPr>
                      <w:rFonts w:hint="default" w:ascii="Times New Roman" w:hAnsi="Times New Roman" w:eastAsia="宋体" w:cs="Times New Roman"/>
                      <w:bCs/>
                      <w:kern w:val="0"/>
                      <w:szCs w:val="21"/>
                      <w:u w:val="single"/>
                    </w:rPr>
                  </w:pPr>
                  <w:r>
                    <w:rPr>
                      <w:rFonts w:hint="default" w:ascii="Times New Roman" w:hAnsi="Times New Roman" w:eastAsia="宋体" w:cs="Times New Roman"/>
                      <w:bCs/>
                      <w:kern w:val="0"/>
                      <w:szCs w:val="21"/>
                      <w:u w:val="single"/>
                    </w:rPr>
                    <w:t>相对</w:t>
                  </w:r>
                  <w:r>
                    <w:rPr>
                      <w:rFonts w:hint="default" w:ascii="Times New Roman" w:hAnsi="Times New Roman" w:eastAsia="宋体" w:cs="Times New Roman"/>
                      <w:bCs/>
                      <w:kern w:val="0"/>
                      <w:szCs w:val="21"/>
                      <w:u w:val="single"/>
                      <w:lang w:eastAsia="zh-CN"/>
                    </w:rPr>
                    <w:t>本</w:t>
                  </w:r>
                  <w:r>
                    <w:rPr>
                      <w:rFonts w:hint="default" w:ascii="Times New Roman" w:hAnsi="Times New Roman" w:eastAsia="宋体" w:cs="Times New Roman"/>
                      <w:bCs/>
                      <w:kern w:val="0"/>
                      <w:szCs w:val="21"/>
                      <w:u w:val="single"/>
                    </w:rPr>
                    <w:t>厂区方位</w:t>
                  </w:r>
                </w:p>
              </w:tc>
              <w:tc>
                <w:tcPr>
                  <w:tcW w:w="860" w:type="pct"/>
                  <w:vMerge w:val="restart"/>
                  <w:noWrap w:val="0"/>
                  <w:vAlign w:val="center"/>
                </w:tcPr>
                <w:p w14:paraId="07E92E55">
                  <w:pPr>
                    <w:widowControl/>
                    <w:snapToGrid w:val="0"/>
                    <w:jc w:val="center"/>
                    <w:rPr>
                      <w:rFonts w:hint="default" w:ascii="Times New Roman" w:hAnsi="Times New Roman" w:eastAsia="宋体" w:cs="Times New Roman"/>
                      <w:bCs/>
                      <w:kern w:val="0"/>
                      <w:szCs w:val="21"/>
                      <w:u w:val="single"/>
                    </w:rPr>
                  </w:pPr>
                  <w:r>
                    <w:rPr>
                      <w:rFonts w:hint="default" w:ascii="Times New Roman" w:hAnsi="Times New Roman" w:eastAsia="宋体" w:cs="Times New Roman"/>
                      <w:bCs/>
                      <w:kern w:val="0"/>
                      <w:szCs w:val="21"/>
                      <w:u w:val="single"/>
                    </w:rPr>
                    <w:t>相对厂界距离（m）</w:t>
                  </w:r>
                </w:p>
              </w:tc>
            </w:tr>
            <w:tr w14:paraId="6A682D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50" w:type="pct"/>
                  <w:vMerge w:val="continue"/>
                  <w:noWrap w:val="0"/>
                  <w:vAlign w:val="center"/>
                </w:tcPr>
                <w:p w14:paraId="370591A0">
                  <w:pPr>
                    <w:widowControl/>
                    <w:snapToGrid w:val="0"/>
                    <w:ind w:firstLine="420"/>
                    <w:jc w:val="center"/>
                    <w:rPr>
                      <w:rFonts w:hint="default" w:ascii="Times New Roman" w:hAnsi="Times New Roman" w:eastAsia="宋体" w:cs="Times New Roman"/>
                      <w:bCs/>
                      <w:kern w:val="0"/>
                      <w:szCs w:val="21"/>
                      <w:u w:val="single"/>
                    </w:rPr>
                  </w:pPr>
                </w:p>
              </w:tc>
              <w:tc>
                <w:tcPr>
                  <w:tcW w:w="1218" w:type="pct"/>
                  <w:vMerge w:val="continue"/>
                  <w:noWrap w:val="0"/>
                  <w:vAlign w:val="center"/>
                </w:tcPr>
                <w:p w14:paraId="58D84A1B">
                  <w:pPr>
                    <w:widowControl/>
                    <w:snapToGrid w:val="0"/>
                    <w:ind w:firstLine="420"/>
                    <w:jc w:val="center"/>
                    <w:rPr>
                      <w:rFonts w:hint="default" w:ascii="Times New Roman" w:hAnsi="Times New Roman" w:eastAsia="宋体" w:cs="Times New Roman"/>
                      <w:bCs/>
                      <w:kern w:val="0"/>
                      <w:szCs w:val="21"/>
                      <w:u w:val="single"/>
                    </w:rPr>
                  </w:pPr>
                </w:p>
              </w:tc>
              <w:tc>
                <w:tcPr>
                  <w:tcW w:w="852" w:type="pct"/>
                  <w:vMerge w:val="continue"/>
                  <w:noWrap w:val="0"/>
                  <w:vAlign w:val="center"/>
                </w:tcPr>
                <w:p w14:paraId="66C075BF">
                  <w:pPr>
                    <w:widowControl/>
                    <w:snapToGrid w:val="0"/>
                    <w:ind w:firstLine="420"/>
                    <w:jc w:val="center"/>
                    <w:rPr>
                      <w:rFonts w:hint="default" w:ascii="Times New Roman" w:hAnsi="Times New Roman" w:eastAsia="宋体" w:cs="Times New Roman"/>
                      <w:bCs/>
                      <w:kern w:val="0"/>
                      <w:szCs w:val="21"/>
                      <w:u w:val="single"/>
                    </w:rPr>
                  </w:pPr>
                </w:p>
              </w:tc>
              <w:tc>
                <w:tcPr>
                  <w:tcW w:w="1025" w:type="pct"/>
                  <w:vMerge w:val="continue"/>
                  <w:noWrap w:val="0"/>
                  <w:vAlign w:val="center"/>
                </w:tcPr>
                <w:p w14:paraId="01C0AE2E">
                  <w:pPr>
                    <w:widowControl/>
                    <w:snapToGrid w:val="0"/>
                    <w:ind w:firstLine="420"/>
                    <w:jc w:val="center"/>
                    <w:rPr>
                      <w:rFonts w:hint="default" w:ascii="Times New Roman" w:hAnsi="Times New Roman" w:eastAsia="宋体" w:cs="Times New Roman"/>
                      <w:bCs/>
                      <w:kern w:val="0"/>
                      <w:szCs w:val="21"/>
                      <w:u w:val="single"/>
                    </w:rPr>
                  </w:pPr>
                </w:p>
              </w:tc>
              <w:tc>
                <w:tcPr>
                  <w:tcW w:w="692" w:type="pct"/>
                  <w:vMerge w:val="continue"/>
                  <w:noWrap w:val="0"/>
                  <w:vAlign w:val="center"/>
                </w:tcPr>
                <w:p w14:paraId="7E12DDDC">
                  <w:pPr>
                    <w:widowControl/>
                    <w:snapToGrid w:val="0"/>
                    <w:ind w:firstLine="420"/>
                    <w:jc w:val="center"/>
                    <w:rPr>
                      <w:rFonts w:hint="default" w:ascii="Times New Roman" w:hAnsi="Times New Roman" w:eastAsia="宋体" w:cs="Times New Roman"/>
                      <w:bCs/>
                      <w:kern w:val="0"/>
                      <w:szCs w:val="21"/>
                      <w:u w:val="single"/>
                    </w:rPr>
                  </w:pPr>
                </w:p>
              </w:tc>
              <w:tc>
                <w:tcPr>
                  <w:tcW w:w="860" w:type="pct"/>
                  <w:vMerge w:val="continue"/>
                  <w:noWrap w:val="0"/>
                  <w:vAlign w:val="center"/>
                </w:tcPr>
                <w:p w14:paraId="32416A40">
                  <w:pPr>
                    <w:widowControl/>
                    <w:snapToGrid w:val="0"/>
                    <w:ind w:firstLine="420"/>
                    <w:jc w:val="center"/>
                    <w:rPr>
                      <w:rFonts w:hint="default" w:ascii="Times New Roman" w:hAnsi="Times New Roman" w:eastAsia="宋体" w:cs="Times New Roman"/>
                      <w:bCs/>
                      <w:kern w:val="0"/>
                      <w:szCs w:val="21"/>
                      <w:u w:val="single"/>
                    </w:rPr>
                  </w:pPr>
                </w:p>
              </w:tc>
            </w:tr>
            <w:tr w14:paraId="1755A7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0" w:type="pct"/>
                  <w:shd w:val="clear" w:color="auto" w:fill="auto"/>
                  <w:noWrap w:val="0"/>
                  <w:vAlign w:val="center"/>
                </w:tcPr>
                <w:p w14:paraId="20CB3688">
                  <w:pPr>
                    <w:widowControl/>
                    <w:snapToGrid w:val="0"/>
                    <w:jc w:val="center"/>
                    <w:rPr>
                      <w:rFonts w:hint="eastAsia" w:ascii="Times New Roman" w:hAnsi="Times New Roman" w:eastAsia="宋体" w:cs="Times New Roman"/>
                      <w:bCs/>
                      <w:kern w:val="0"/>
                      <w:sz w:val="21"/>
                      <w:szCs w:val="21"/>
                      <w:u w:val="single"/>
                      <w:lang w:val="en-US" w:eastAsia="zh-CN" w:bidi="ar-SA"/>
                    </w:rPr>
                  </w:pPr>
                  <w:r>
                    <w:rPr>
                      <w:rFonts w:hint="default" w:ascii="Times New Roman" w:hAnsi="Times New Roman" w:eastAsia="宋体" w:cs="Times New Roman"/>
                      <w:bCs/>
                      <w:kern w:val="0"/>
                      <w:szCs w:val="21"/>
                      <w:u w:val="single"/>
                    </w:rPr>
                    <w:t>G</w:t>
                  </w:r>
                  <w:r>
                    <w:rPr>
                      <w:rFonts w:hint="eastAsia" w:ascii="Times New Roman" w:hAnsi="Times New Roman" w:cs="Times New Roman"/>
                      <w:bCs/>
                      <w:kern w:val="0"/>
                      <w:szCs w:val="21"/>
                      <w:u w:val="single"/>
                      <w:lang w:val="en-US" w:eastAsia="zh-CN"/>
                    </w:rPr>
                    <w:t>1</w:t>
                  </w:r>
                </w:p>
              </w:tc>
              <w:tc>
                <w:tcPr>
                  <w:tcW w:w="1218" w:type="pct"/>
                  <w:shd w:val="clear" w:color="auto" w:fill="auto"/>
                  <w:noWrap w:val="0"/>
                  <w:vAlign w:val="center"/>
                </w:tcPr>
                <w:p w14:paraId="4D58D53F">
                  <w:pPr>
                    <w:widowControl/>
                    <w:snapToGrid w:val="0"/>
                    <w:jc w:val="center"/>
                    <w:rPr>
                      <w:rFonts w:hint="default" w:ascii="Times New Roman" w:hAnsi="Times New Roman" w:eastAsia="宋体" w:cs="Times New Roman"/>
                      <w:kern w:val="0"/>
                      <w:sz w:val="21"/>
                      <w:szCs w:val="21"/>
                      <w:u w:val="single"/>
                      <w:lang w:val="en-US" w:eastAsia="zh-CN" w:bidi="ar-SA"/>
                    </w:rPr>
                  </w:pPr>
                  <w:r>
                    <w:rPr>
                      <w:rFonts w:hint="default" w:ascii="Times New Roman" w:hAnsi="Times New Roman" w:eastAsia="宋体" w:cs="Times New Roman"/>
                      <w:kern w:val="0"/>
                      <w:sz w:val="21"/>
                      <w:szCs w:val="21"/>
                      <w:u w:val="single"/>
                      <w:lang w:val="en-US" w:eastAsia="zh-CN" w:bidi="ar-SA"/>
                    </w:rPr>
                    <w:t>云梯岭村居民点</w:t>
                  </w:r>
                </w:p>
              </w:tc>
              <w:tc>
                <w:tcPr>
                  <w:tcW w:w="852" w:type="pct"/>
                  <w:noWrap w:val="0"/>
                  <w:vAlign w:val="center"/>
                </w:tcPr>
                <w:p w14:paraId="410EC5BD">
                  <w:pPr>
                    <w:widowControl/>
                    <w:snapToGrid w:val="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TSP</w:t>
                  </w:r>
                </w:p>
              </w:tc>
              <w:tc>
                <w:tcPr>
                  <w:tcW w:w="1025" w:type="pct"/>
                  <w:noWrap w:val="0"/>
                  <w:vAlign w:val="center"/>
                </w:tcPr>
                <w:p w14:paraId="2F7A28E9">
                  <w:pPr>
                    <w:widowControl/>
                    <w:snapToGrid w:val="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202</w:t>
                  </w:r>
                  <w:r>
                    <w:rPr>
                      <w:rFonts w:hint="default" w:ascii="Times New Roman" w:hAnsi="Times New Roman" w:eastAsia="宋体" w:cs="Times New Roman"/>
                      <w:kern w:val="0"/>
                      <w:szCs w:val="21"/>
                      <w:u w:val="single"/>
                      <w:lang w:val="en-US" w:eastAsia="zh-CN"/>
                    </w:rPr>
                    <w:t>4</w:t>
                  </w:r>
                  <w:r>
                    <w:rPr>
                      <w:rFonts w:hint="default" w:ascii="Times New Roman" w:hAnsi="Times New Roman" w:eastAsia="宋体" w:cs="Times New Roman"/>
                      <w:kern w:val="0"/>
                      <w:szCs w:val="21"/>
                      <w:u w:val="single"/>
                    </w:rPr>
                    <w:t>年</w:t>
                  </w:r>
                  <w:r>
                    <w:rPr>
                      <w:rFonts w:hint="default" w:ascii="Times New Roman" w:hAnsi="Times New Roman" w:eastAsia="宋体" w:cs="Times New Roman"/>
                      <w:kern w:val="0"/>
                      <w:szCs w:val="21"/>
                      <w:u w:val="single"/>
                      <w:lang w:val="en-US" w:eastAsia="zh-CN"/>
                    </w:rPr>
                    <w:t>11</w:t>
                  </w:r>
                  <w:r>
                    <w:rPr>
                      <w:rFonts w:hint="default" w:ascii="Times New Roman" w:hAnsi="Times New Roman" w:eastAsia="宋体" w:cs="Times New Roman"/>
                      <w:kern w:val="0"/>
                      <w:szCs w:val="21"/>
                      <w:u w:val="single"/>
                    </w:rPr>
                    <w:t>月</w:t>
                  </w:r>
                  <w:r>
                    <w:rPr>
                      <w:rFonts w:hint="default" w:ascii="Times New Roman" w:hAnsi="Times New Roman" w:eastAsia="宋体" w:cs="Times New Roman"/>
                      <w:kern w:val="0"/>
                      <w:szCs w:val="21"/>
                      <w:u w:val="single"/>
                      <w:lang w:val="en-US" w:eastAsia="zh-CN"/>
                    </w:rPr>
                    <w:t>20</w:t>
                  </w:r>
                  <w:r>
                    <w:rPr>
                      <w:rFonts w:hint="default" w:ascii="Times New Roman" w:hAnsi="Times New Roman" w:eastAsia="宋体" w:cs="Times New Roman"/>
                      <w:kern w:val="0"/>
                      <w:szCs w:val="21"/>
                      <w:u w:val="single"/>
                    </w:rPr>
                    <w:t>日~</w:t>
                  </w:r>
                  <w:r>
                    <w:rPr>
                      <w:rFonts w:hint="default" w:ascii="Times New Roman" w:hAnsi="Times New Roman" w:eastAsia="宋体" w:cs="Times New Roman"/>
                      <w:kern w:val="0"/>
                      <w:szCs w:val="21"/>
                      <w:u w:val="single"/>
                      <w:lang w:val="en-US" w:eastAsia="zh-CN"/>
                    </w:rPr>
                    <w:t>22</w:t>
                  </w:r>
                  <w:r>
                    <w:rPr>
                      <w:rFonts w:hint="default" w:ascii="Times New Roman" w:hAnsi="Times New Roman" w:eastAsia="宋体" w:cs="Times New Roman"/>
                      <w:kern w:val="0"/>
                      <w:szCs w:val="21"/>
                      <w:u w:val="single"/>
                    </w:rPr>
                    <w:t>日</w:t>
                  </w:r>
                </w:p>
              </w:tc>
              <w:tc>
                <w:tcPr>
                  <w:tcW w:w="692" w:type="pct"/>
                  <w:noWrap w:val="0"/>
                  <w:vAlign w:val="center"/>
                </w:tcPr>
                <w:p w14:paraId="1BFA8A7F">
                  <w:pPr>
                    <w:widowControl/>
                    <w:snapToGrid w:val="0"/>
                    <w:jc w:val="center"/>
                    <w:rPr>
                      <w:rFonts w:hint="eastAsia" w:ascii="Times New Roman" w:hAnsi="Times New Roman" w:eastAsia="宋体" w:cs="Times New Roman"/>
                      <w:bCs/>
                      <w:kern w:val="0"/>
                      <w:szCs w:val="21"/>
                      <w:u w:val="single"/>
                      <w:lang w:eastAsia="zh-CN"/>
                    </w:rPr>
                  </w:pPr>
                  <w:r>
                    <w:rPr>
                      <w:rFonts w:hint="eastAsia" w:ascii="Times New Roman" w:hAnsi="Times New Roman" w:cs="Times New Roman"/>
                      <w:bCs/>
                      <w:kern w:val="0"/>
                      <w:szCs w:val="21"/>
                      <w:u w:val="single"/>
                      <w:lang w:eastAsia="zh-CN"/>
                    </w:rPr>
                    <w:t>东南侧</w:t>
                  </w:r>
                </w:p>
              </w:tc>
              <w:tc>
                <w:tcPr>
                  <w:tcW w:w="860" w:type="pct"/>
                  <w:noWrap w:val="0"/>
                  <w:vAlign w:val="center"/>
                </w:tcPr>
                <w:p w14:paraId="54D17659">
                  <w:pPr>
                    <w:widowControl/>
                    <w:snapToGrid w:val="0"/>
                    <w:jc w:val="center"/>
                    <w:rPr>
                      <w:rFonts w:hint="default" w:ascii="Times New Roman" w:hAnsi="Times New Roman" w:eastAsia="宋体" w:cs="Times New Roman"/>
                      <w:kern w:val="0"/>
                      <w:szCs w:val="21"/>
                      <w:u w:val="single"/>
                      <w:lang w:val="en-US" w:eastAsia="zh-CN"/>
                    </w:rPr>
                  </w:pPr>
                  <w:r>
                    <w:rPr>
                      <w:rFonts w:hint="eastAsia" w:ascii="Times New Roman" w:hAnsi="Times New Roman" w:cs="Times New Roman"/>
                      <w:kern w:val="0"/>
                      <w:szCs w:val="21"/>
                      <w:u w:val="single"/>
                      <w:lang w:val="en-US" w:eastAsia="zh-CN"/>
                    </w:rPr>
                    <w:t>45</w:t>
                  </w:r>
                  <w:r>
                    <w:rPr>
                      <w:rFonts w:hint="default" w:ascii="Times New Roman" w:hAnsi="Times New Roman" w:eastAsia="宋体" w:cs="Times New Roman"/>
                      <w:kern w:val="0"/>
                      <w:szCs w:val="21"/>
                      <w:u w:val="single"/>
                      <w:lang w:val="en-US" w:eastAsia="zh-CN"/>
                    </w:rPr>
                    <w:t>-500m</w:t>
                  </w:r>
                </w:p>
              </w:tc>
            </w:tr>
          </w:tbl>
          <w:p w14:paraId="3D40ECC0">
            <w:pPr>
              <w:widowControl/>
              <w:spacing w:line="360" w:lineRule="auto"/>
              <w:ind w:firstLine="480" w:firstLineChars="200"/>
              <w:jc w:val="left"/>
              <w:rPr>
                <w:rFonts w:hint="default" w:ascii="Times New Roman" w:hAnsi="Times New Roman" w:eastAsia="宋体" w:cs="Times New Roman"/>
                <w:kern w:val="0"/>
                <w:sz w:val="24"/>
                <w:szCs w:val="24"/>
                <w:u w:val="single"/>
              </w:rPr>
            </w:pPr>
            <w:r>
              <w:rPr>
                <w:rFonts w:hint="default" w:ascii="Times New Roman" w:hAnsi="Times New Roman" w:eastAsia="宋体" w:cs="Times New Roman"/>
                <w:kern w:val="0"/>
                <w:sz w:val="24"/>
                <w:szCs w:val="24"/>
                <w:u w:val="single"/>
              </w:rPr>
              <w:t>（2）监测采样与监测时间</w:t>
            </w:r>
          </w:p>
          <w:p w14:paraId="71F60A1C">
            <w:pPr>
              <w:widowControl/>
              <w:spacing w:line="360" w:lineRule="auto"/>
              <w:ind w:firstLine="480" w:firstLineChars="200"/>
              <w:jc w:val="left"/>
              <w:rPr>
                <w:rFonts w:hint="default" w:ascii="Times New Roman" w:hAnsi="Times New Roman" w:eastAsia="宋体" w:cs="Times New Roman"/>
                <w:kern w:val="0"/>
                <w:sz w:val="24"/>
                <w:szCs w:val="24"/>
                <w:u w:val="single"/>
              </w:rPr>
            </w:pPr>
            <w:r>
              <w:rPr>
                <w:rFonts w:hint="default" w:ascii="Times New Roman" w:hAnsi="Times New Roman" w:eastAsia="宋体" w:cs="Times New Roman"/>
                <w:kern w:val="0"/>
                <w:sz w:val="24"/>
                <w:szCs w:val="24"/>
                <w:u w:val="single"/>
              </w:rPr>
              <w:t>环境空气监测中的采样点、采样环境、采样高度及采样频率，按HJ664及相关评价标准规定的环境监测技术规范执行。各点位补充监测时间及频次见下表。</w:t>
            </w:r>
          </w:p>
          <w:p w14:paraId="51D2D56C">
            <w:pPr>
              <w:keepNext/>
              <w:keepLines/>
              <w:topLinePunct/>
              <w:adjustRightInd w:val="0"/>
              <w:snapToGrid w:val="0"/>
              <w:spacing w:line="360" w:lineRule="auto"/>
              <w:jc w:val="center"/>
              <w:outlineLvl w:val="4"/>
              <w:rPr>
                <w:rFonts w:hint="default" w:ascii="Times New Roman" w:hAnsi="Times New Roman" w:eastAsia="宋体" w:cs="Times New Roman"/>
                <w:b/>
                <w:bCs/>
                <w:kern w:val="20"/>
                <w:sz w:val="24"/>
                <w:szCs w:val="24"/>
                <w:u w:val="single"/>
                <w:lang w:val="en-GB"/>
              </w:rPr>
            </w:pPr>
            <w:r>
              <w:rPr>
                <w:rFonts w:hint="default" w:ascii="Times New Roman" w:hAnsi="Times New Roman" w:eastAsia="宋体" w:cs="Times New Roman"/>
                <w:b/>
                <w:bCs/>
                <w:kern w:val="20"/>
                <w:sz w:val="24"/>
                <w:szCs w:val="24"/>
                <w:u w:val="single"/>
                <w:lang w:val="en-GB"/>
              </w:rPr>
              <w:t>表3-3  监测时间及频次一览表</w:t>
            </w:r>
          </w:p>
          <w:tbl>
            <w:tblPr>
              <w:tblStyle w:val="39"/>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273"/>
              <w:gridCol w:w="1453"/>
              <w:gridCol w:w="2066"/>
              <w:gridCol w:w="2690"/>
            </w:tblGrid>
            <w:tr w14:paraId="60EF12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3" w:type="pct"/>
                  <w:noWrap w:val="0"/>
                  <w:vAlign w:val="center"/>
                </w:tcPr>
                <w:p w14:paraId="770F1F9F">
                  <w:pPr>
                    <w:pStyle w:val="165"/>
                    <w:ind w:left="0"/>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监测项目</w:t>
                  </w:r>
                </w:p>
              </w:tc>
              <w:tc>
                <w:tcPr>
                  <w:tcW w:w="712" w:type="pct"/>
                  <w:noWrap w:val="0"/>
                  <w:vAlign w:val="center"/>
                </w:tcPr>
                <w:p w14:paraId="33C0E000">
                  <w:pPr>
                    <w:pStyle w:val="165"/>
                    <w:ind w:left="0"/>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监测天数</w:t>
                  </w:r>
                </w:p>
              </w:tc>
              <w:tc>
                <w:tcPr>
                  <w:tcW w:w="813" w:type="pct"/>
                  <w:noWrap w:val="0"/>
                  <w:vAlign w:val="center"/>
                </w:tcPr>
                <w:p w14:paraId="23AB32F8">
                  <w:pPr>
                    <w:pStyle w:val="165"/>
                    <w:ind w:left="0"/>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均值</w:t>
                  </w:r>
                </w:p>
              </w:tc>
              <w:tc>
                <w:tcPr>
                  <w:tcW w:w="1156" w:type="pct"/>
                  <w:noWrap w:val="0"/>
                  <w:vAlign w:val="center"/>
                </w:tcPr>
                <w:p w14:paraId="3F329D0E">
                  <w:pPr>
                    <w:pStyle w:val="165"/>
                    <w:ind w:left="0"/>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标准限值（μg/m</w:t>
                  </w:r>
                  <w:r>
                    <w:rPr>
                      <w:rFonts w:hint="default" w:ascii="Times New Roman" w:hAnsi="Times New Roman" w:eastAsia="宋体" w:cs="Times New Roman"/>
                      <w:b w:val="0"/>
                      <w:bCs w:val="0"/>
                      <w:sz w:val="21"/>
                      <w:szCs w:val="21"/>
                      <w:u w:val="single"/>
                      <w:vertAlign w:val="superscript"/>
                    </w:rPr>
                    <w:t>3</w:t>
                  </w:r>
                  <w:r>
                    <w:rPr>
                      <w:rFonts w:hint="default" w:ascii="Times New Roman" w:hAnsi="Times New Roman" w:eastAsia="宋体" w:cs="Times New Roman"/>
                      <w:b w:val="0"/>
                      <w:bCs w:val="0"/>
                      <w:sz w:val="21"/>
                      <w:szCs w:val="21"/>
                      <w:u w:val="single"/>
                    </w:rPr>
                    <w:t>）</w:t>
                  </w:r>
                </w:p>
              </w:tc>
              <w:tc>
                <w:tcPr>
                  <w:tcW w:w="1505" w:type="pct"/>
                  <w:noWrap w:val="0"/>
                  <w:vAlign w:val="center"/>
                </w:tcPr>
                <w:p w14:paraId="5EEA30A9">
                  <w:pPr>
                    <w:pStyle w:val="165"/>
                    <w:ind w:left="0"/>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评价标准</w:t>
                  </w:r>
                </w:p>
              </w:tc>
            </w:tr>
            <w:tr w14:paraId="082A2D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3" w:type="pct"/>
                  <w:noWrap w:val="0"/>
                  <w:vAlign w:val="center"/>
                </w:tcPr>
                <w:p w14:paraId="576CFA9A">
                  <w:pPr>
                    <w:pStyle w:val="165"/>
                    <w:ind w:left="0"/>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TSP</w:t>
                  </w:r>
                </w:p>
              </w:tc>
              <w:tc>
                <w:tcPr>
                  <w:tcW w:w="712" w:type="pct"/>
                  <w:noWrap w:val="0"/>
                  <w:vAlign w:val="center"/>
                </w:tcPr>
                <w:p w14:paraId="5E5B992C">
                  <w:pPr>
                    <w:pStyle w:val="165"/>
                    <w:ind w:left="0"/>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连续</w:t>
                  </w:r>
                  <w:r>
                    <w:rPr>
                      <w:rFonts w:hint="eastAsia" w:ascii="Times New Roman" w:hAnsi="Times New Roman" w:eastAsia="宋体" w:cs="Times New Roman"/>
                      <w:b w:val="0"/>
                      <w:bCs w:val="0"/>
                      <w:sz w:val="21"/>
                      <w:szCs w:val="21"/>
                      <w:u w:val="single"/>
                      <w:lang w:val="en-US" w:eastAsia="zh-CN"/>
                    </w:rPr>
                    <w:t>3</w:t>
                  </w:r>
                  <w:r>
                    <w:rPr>
                      <w:rFonts w:hint="default" w:ascii="Times New Roman" w:hAnsi="Times New Roman" w:eastAsia="宋体" w:cs="Times New Roman"/>
                      <w:b w:val="0"/>
                      <w:bCs w:val="0"/>
                      <w:sz w:val="21"/>
                      <w:szCs w:val="21"/>
                      <w:u w:val="single"/>
                    </w:rPr>
                    <w:t>天</w:t>
                  </w:r>
                </w:p>
              </w:tc>
              <w:tc>
                <w:tcPr>
                  <w:tcW w:w="813" w:type="pct"/>
                  <w:noWrap w:val="0"/>
                  <w:vAlign w:val="center"/>
                </w:tcPr>
                <w:p w14:paraId="165C6287">
                  <w:pPr>
                    <w:pStyle w:val="165"/>
                    <w:ind w:left="0"/>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24h均值</w:t>
                  </w:r>
                </w:p>
              </w:tc>
              <w:tc>
                <w:tcPr>
                  <w:tcW w:w="1156" w:type="pct"/>
                  <w:noWrap w:val="0"/>
                  <w:vAlign w:val="center"/>
                </w:tcPr>
                <w:p w14:paraId="54BB2E30">
                  <w:pPr>
                    <w:pStyle w:val="165"/>
                    <w:ind w:left="0"/>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300</w:t>
                  </w:r>
                </w:p>
              </w:tc>
              <w:tc>
                <w:tcPr>
                  <w:tcW w:w="1505" w:type="pct"/>
                  <w:noWrap w:val="0"/>
                  <w:vAlign w:val="center"/>
                </w:tcPr>
                <w:p w14:paraId="117EAE91">
                  <w:pPr>
                    <w:pStyle w:val="165"/>
                    <w:ind w:left="0"/>
                    <w:jc w:val="center"/>
                    <w:rPr>
                      <w:rFonts w:hint="default" w:ascii="Times New Roman" w:hAnsi="Times New Roman" w:eastAsia="宋体" w:cs="Times New Roman"/>
                      <w:b w:val="0"/>
                      <w:bCs w:val="0"/>
                      <w:sz w:val="21"/>
                      <w:szCs w:val="21"/>
                      <w:u w:val="single"/>
                    </w:rPr>
                  </w:pPr>
                  <w:r>
                    <w:rPr>
                      <w:rFonts w:hint="default" w:ascii="Times New Roman" w:hAnsi="Times New Roman" w:eastAsia="宋体" w:cs="Times New Roman"/>
                      <w:b w:val="0"/>
                      <w:bCs w:val="0"/>
                      <w:sz w:val="21"/>
                      <w:szCs w:val="21"/>
                      <w:u w:val="single"/>
                    </w:rPr>
                    <w:t>《环境空气质量标准》（GB3095-2012）及其2018年修改单的二级标准</w:t>
                  </w:r>
                </w:p>
              </w:tc>
            </w:tr>
          </w:tbl>
          <w:p w14:paraId="2BB691D1">
            <w:pPr>
              <w:widowControl/>
              <w:spacing w:line="360" w:lineRule="auto"/>
              <w:ind w:firstLine="480" w:firstLineChars="200"/>
              <w:jc w:val="both"/>
              <w:rPr>
                <w:rFonts w:hint="default" w:ascii="Times New Roman" w:hAnsi="Times New Roman" w:eastAsia="宋体" w:cs="Times New Roman"/>
                <w:kern w:val="0"/>
                <w:sz w:val="24"/>
                <w:szCs w:val="24"/>
                <w:u w:val="single"/>
              </w:rPr>
            </w:pPr>
            <w:r>
              <w:rPr>
                <w:rFonts w:hint="default" w:ascii="Times New Roman" w:hAnsi="Times New Roman" w:eastAsia="宋体" w:cs="Times New Roman"/>
                <w:kern w:val="0"/>
                <w:sz w:val="24"/>
                <w:szCs w:val="24"/>
                <w:u w:val="single"/>
              </w:rPr>
              <w:t>（3）评价标准及标准限值</w:t>
            </w:r>
          </w:p>
          <w:p w14:paraId="4D80BE93">
            <w:pPr>
              <w:widowControl/>
              <w:spacing w:line="360" w:lineRule="auto"/>
              <w:ind w:firstLine="480" w:firstLineChars="200"/>
              <w:jc w:val="both"/>
              <w:rPr>
                <w:rFonts w:hint="default" w:ascii="Times New Roman" w:hAnsi="Times New Roman" w:eastAsia="宋体" w:cs="Times New Roman"/>
                <w:kern w:val="0"/>
                <w:sz w:val="24"/>
                <w:szCs w:val="24"/>
                <w:u w:val="single"/>
              </w:rPr>
            </w:pPr>
            <w:r>
              <w:rPr>
                <w:rFonts w:hint="default" w:ascii="Times New Roman" w:hAnsi="Times New Roman" w:eastAsia="宋体" w:cs="Times New Roman"/>
                <w:kern w:val="0"/>
                <w:sz w:val="24"/>
                <w:szCs w:val="24"/>
                <w:u w:val="single"/>
              </w:rPr>
              <w:t>TSP执行《环境空气质量标准》（GB3095-2012）中的二级标准及2018年修改单要求。</w:t>
            </w:r>
          </w:p>
          <w:p w14:paraId="5662CA1C">
            <w:pPr>
              <w:widowControl/>
              <w:spacing w:line="360" w:lineRule="auto"/>
              <w:ind w:firstLine="480" w:firstLineChars="200"/>
              <w:jc w:val="both"/>
              <w:rPr>
                <w:rFonts w:hint="default" w:ascii="Times New Roman" w:hAnsi="Times New Roman" w:eastAsia="宋体" w:cs="Times New Roman"/>
                <w:kern w:val="0"/>
                <w:sz w:val="24"/>
                <w:szCs w:val="24"/>
                <w:u w:val="single"/>
              </w:rPr>
            </w:pPr>
            <w:r>
              <w:rPr>
                <w:rFonts w:hint="default" w:ascii="Times New Roman" w:hAnsi="Times New Roman" w:eastAsia="宋体" w:cs="Times New Roman"/>
                <w:kern w:val="0"/>
                <w:sz w:val="24"/>
                <w:szCs w:val="24"/>
                <w:u w:val="single"/>
              </w:rPr>
              <w:t>（4）监测结果与评价</w:t>
            </w:r>
          </w:p>
          <w:p w14:paraId="7BE3D04C">
            <w:pPr>
              <w:widowControl/>
              <w:spacing w:line="360" w:lineRule="auto"/>
              <w:ind w:firstLine="480" w:firstLineChars="200"/>
              <w:jc w:val="both"/>
              <w:rPr>
                <w:rFonts w:hint="default" w:ascii="Times New Roman" w:hAnsi="Times New Roman" w:eastAsia="宋体" w:cs="Times New Roman"/>
                <w:kern w:val="0"/>
                <w:sz w:val="24"/>
                <w:szCs w:val="24"/>
                <w:u w:val="single"/>
              </w:rPr>
            </w:pPr>
            <w:r>
              <w:rPr>
                <w:rFonts w:hint="default" w:ascii="Times New Roman" w:hAnsi="Times New Roman" w:eastAsia="宋体" w:cs="Times New Roman"/>
                <w:kern w:val="0"/>
                <w:sz w:val="24"/>
                <w:szCs w:val="24"/>
                <w:u w:val="single"/>
              </w:rPr>
              <w:t>本次环境空气质量现状监测结果见下表。</w:t>
            </w:r>
          </w:p>
          <w:p w14:paraId="56367185">
            <w:pPr>
              <w:keepNext/>
              <w:keepLines/>
              <w:topLinePunct/>
              <w:adjustRightInd w:val="0"/>
              <w:snapToGrid w:val="0"/>
              <w:spacing w:line="360" w:lineRule="auto"/>
              <w:jc w:val="center"/>
              <w:outlineLvl w:val="4"/>
              <w:rPr>
                <w:rFonts w:hint="default" w:ascii="Times New Roman" w:hAnsi="Times New Roman" w:eastAsia="宋体" w:cs="Times New Roman"/>
                <w:kern w:val="20"/>
                <w:sz w:val="24"/>
                <w:szCs w:val="24"/>
                <w:u w:val="single"/>
                <w:lang w:val="en-GB"/>
              </w:rPr>
            </w:pPr>
            <w:r>
              <w:rPr>
                <w:rFonts w:hint="default" w:ascii="Times New Roman" w:hAnsi="Times New Roman" w:eastAsia="宋体" w:cs="Times New Roman"/>
                <w:b/>
                <w:bCs/>
                <w:kern w:val="20"/>
                <w:sz w:val="24"/>
                <w:szCs w:val="24"/>
                <w:u w:val="single"/>
                <w:lang w:val="en-GB"/>
              </w:rPr>
              <w:t>表3-4  环境空气质量监测结果（单位：mg/m</w:t>
            </w:r>
            <w:r>
              <w:rPr>
                <w:rFonts w:hint="default" w:ascii="Times New Roman" w:hAnsi="Times New Roman" w:eastAsia="宋体" w:cs="Times New Roman"/>
                <w:b/>
                <w:bCs/>
                <w:kern w:val="20"/>
                <w:sz w:val="24"/>
                <w:szCs w:val="24"/>
                <w:u w:val="single"/>
                <w:vertAlign w:val="superscript"/>
                <w:lang w:val="en-GB"/>
              </w:rPr>
              <w:t>3</w:t>
            </w:r>
            <w:r>
              <w:rPr>
                <w:rFonts w:hint="default" w:ascii="Times New Roman" w:hAnsi="Times New Roman" w:eastAsia="宋体" w:cs="Times New Roman"/>
                <w:b/>
                <w:bCs/>
                <w:kern w:val="20"/>
                <w:sz w:val="24"/>
                <w:szCs w:val="24"/>
                <w:u w:val="single"/>
                <w:lang w:val="en-GB"/>
              </w:rPr>
              <w:t>，臭气浓度无量纲）</w:t>
            </w:r>
          </w:p>
          <w:tbl>
            <w:tblPr>
              <w:tblStyle w:val="3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53"/>
              <w:gridCol w:w="3033"/>
              <w:gridCol w:w="4154"/>
            </w:tblGrid>
            <w:tr w14:paraId="25ACD2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0" w:type="pct"/>
                  <w:vMerge w:val="restart"/>
                  <w:noWrap w:val="0"/>
                  <w:tcMar>
                    <w:left w:w="0" w:type="dxa"/>
                    <w:right w:w="0" w:type="dxa"/>
                  </w:tcMar>
                  <w:vAlign w:val="center"/>
                </w:tcPr>
                <w:p w14:paraId="732B3308">
                  <w:pPr>
                    <w:widowControl/>
                    <w:snapToGrid w:val="0"/>
                    <w:jc w:val="center"/>
                    <w:rPr>
                      <w:rFonts w:hint="default" w:ascii="Times New Roman" w:hAnsi="Times New Roman" w:eastAsia="宋体" w:cs="Times New Roman"/>
                      <w:kern w:val="16"/>
                      <w:szCs w:val="21"/>
                      <w:u w:val="single"/>
                    </w:rPr>
                  </w:pPr>
                  <w:r>
                    <w:rPr>
                      <w:rFonts w:hint="default" w:ascii="Times New Roman" w:hAnsi="Times New Roman" w:eastAsia="宋体" w:cs="Times New Roman"/>
                      <w:kern w:val="16"/>
                      <w:szCs w:val="21"/>
                      <w:u w:val="single"/>
                    </w:rPr>
                    <w:t>监测点位</w:t>
                  </w:r>
                </w:p>
              </w:tc>
              <w:tc>
                <w:tcPr>
                  <w:tcW w:w="1696" w:type="pct"/>
                  <w:vMerge w:val="restart"/>
                  <w:noWrap w:val="0"/>
                  <w:vAlign w:val="center"/>
                </w:tcPr>
                <w:p w14:paraId="197E0095">
                  <w:pPr>
                    <w:widowControl/>
                    <w:snapToGrid w:val="0"/>
                    <w:jc w:val="center"/>
                    <w:rPr>
                      <w:rFonts w:hint="default" w:ascii="Times New Roman" w:hAnsi="Times New Roman" w:eastAsia="宋体" w:cs="Times New Roman"/>
                      <w:kern w:val="16"/>
                      <w:szCs w:val="21"/>
                      <w:u w:val="single"/>
                    </w:rPr>
                  </w:pPr>
                  <w:r>
                    <w:rPr>
                      <w:rFonts w:hint="default" w:ascii="Times New Roman" w:hAnsi="Times New Roman" w:eastAsia="宋体" w:cs="Times New Roman"/>
                      <w:kern w:val="16"/>
                      <w:szCs w:val="21"/>
                      <w:u w:val="single"/>
                    </w:rPr>
                    <w:t>监测项目</w:t>
                  </w:r>
                </w:p>
              </w:tc>
              <w:tc>
                <w:tcPr>
                  <w:tcW w:w="2323" w:type="pct"/>
                  <w:noWrap w:val="0"/>
                  <w:tcMar>
                    <w:left w:w="0" w:type="dxa"/>
                    <w:right w:w="0" w:type="dxa"/>
                  </w:tcMar>
                  <w:vAlign w:val="center"/>
                </w:tcPr>
                <w:p w14:paraId="479D2CE5">
                  <w:pPr>
                    <w:pStyle w:val="166"/>
                    <w:spacing w:line="240" w:lineRule="auto"/>
                    <w:ind w:firstLine="0" w:firstLineChars="0"/>
                    <w:jc w:val="center"/>
                    <w:rPr>
                      <w:rFonts w:hint="default" w:ascii="Times New Roman" w:hAnsi="Times New Roman" w:eastAsia="宋体" w:cs="Times New Roman"/>
                      <w:kern w:val="16"/>
                      <w:sz w:val="21"/>
                      <w:szCs w:val="21"/>
                      <w:u w:val="single"/>
                    </w:rPr>
                  </w:pPr>
                  <w:r>
                    <w:rPr>
                      <w:rFonts w:hint="default" w:ascii="Times New Roman" w:hAnsi="Times New Roman" w:eastAsia="宋体" w:cs="Times New Roman"/>
                      <w:kern w:val="16"/>
                      <w:sz w:val="21"/>
                      <w:szCs w:val="21"/>
                      <w:u w:val="single"/>
                    </w:rPr>
                    <w:t>监测因子</w:t>
                  </w:r>
                </w:p>
              </w:tc>
            </w:tr>
            <w:tr w14:paraId="15256A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0" w:type="pct"/>
                  <w:vMerge w:val="continue"/>
                  <w:noWrap w:val="0"/>
                  <w:tcMar>
                    <w:left w:w="0" w:type="dxa"/>
                    <w:right w:w="0" w:type="dxa"/>
                  </w:tcMar>
                  <w:vAlign w:val="center"/>
                </w:tcPr>
                <w:p w14:paraId="408010B6">
                  <w:pPr>
                    <w:widowControl/>
                    <w:snapToGrid w:val="0"/>
                    <w:jc w:val="center"/>
                    <w:rPr>
                      <w:rFonts w:hint="default" w:ascii="Times New Roman" w:hAnsi="Times New Roman" w:eastAsia="宋体" w:cs="Times New Roman"/>
                      <w:kern w:val="16"/>
                      <w:szCs w:val="21"/>
                      <w:u w:val="single"/>
                    </w:rPr>
                  </w:pPr>
                </w:p>
              </w:tc>
              <w:tc>
                <w:tcPr>
                  <w:tcW w:w="1696" w:type="pct"/>
                  <w:vMerge w:val="continue"/>
                  <w:noWrap w:val="0"/>
                  <w:vAlign w:val="center"/>
                </w:tcPr>
                <w:p w14:paraId="1F64DE22">
                  <w:pPr>
                    <w:widowControl/>
                    <w:snapToGrid w:val="0"/>
                    <w:jc w:val="center"/>
                    <w:rPr>
                      <w:rFonts w:hint="default" w:ascii="Times New Roman" w:hAnsi="Times New Roman" w:eastAsia="宋体" w:cs="Times New Roman"/>
                      <w:kern w:val="16"/>
                      <w:szCs w:val="21"/>
                      <w:u w:val="single"/>
                    </w:rPr>
                  </w:pPr>
                </w:p>
              </w:tc>
              <w:tc>
                <w:tcPr>
                  <w:tcW w:w="2323" w:type="pct"/>
                  <w:noWrap w:val="0"/>
                  <w:vAlign w:val="center"/>
                </w:tcPr>
                <w:p w14:paraId="7EB38E10">
                  <w:pPr>
                    <w:pStyle w:val="166"/>
                    <w:spacing w:line="240" w:lineRule="auto"/>
                    <w:ind w:firstLine="0" w:firstLineChars="0"/>
                    <w:jc w:val="center"/>
                    <w:rPr>
                      <w:rFonts w:hint="default" w:ascii="Times New Roman" w:hAnsi="Times New Roman" w:eastAsia="宋体" w:cs="Times New Roman"/>
                      <w:kern w:val="16"/>
                      <w:sz w:val="21"/>
                      <w:szCs w:val="21"/>
                      <w:u w:val="single"/>
                    </w:rPr>
                  </w:pPr>
                  <w:r>
                    <w:rPr>
                      <w:rFonts w:hint="default" w:ascii="Times New Roman" w:hAnsi="Times New Roman" w:eastAsia="宋体" w:cs="Times New Roman"/>
                      <w:kern w:val="16"/>
                      <w:sz w:val="21"/>
                      <w:szCs w:val="21"/>
                      <w:u w:val="single"/>
                    </w:rPr>
                    <w:t>TSP</w:t>
                  </w:r>
                </w:p>
              </w:tc>
            </w:tr>
            <w:tr w14:paraId="53F41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0" w:type="pct"/>
                  <w:vMerge w:val="restart"/>
                  <w:noWrap w:val="0"/>
                  <w:tcMar>
                    <w:left w:w="0" w:type="dxa"/>
                    <w:right w:w="0" w:type="dxa"/>
                  </w:tcMar>
                  <w:vAlign w:val="center"/>
                </w:tcPr>
                <w:p w14:paraId="680DB524">
                  <w:pPr>
                    <w:widowControl/>
                    <w:snapToGrid w:val="0"/>
                    <w:jc w:val="center"/>
                    <w:rPr>
                      <w:rFonts w:hint="default" w:ascii="Times New Roman" w:hAnsi="Times New Roman" w:eastAsia="宋体" w:cs="Times New Roman"/>
                      <w:kern w:val="16"/>
                      <w:szCs w:val="21"/>
                      <w:u w:val="single"/>
                    </w:rPr>
                  </w:pPr>
                  <w:r>
                    <w:rPr>
                      <w:rFonts w:hint="default" w:ascii="Times New Roman" w:hAnsi="Times New Roman" w:eastAsia="宋体" w:cs="Times New Roman"/>
                      <w:kern w:val="16"/>
                      <w:szCs w:val="21"/>
                      <w:u w:val="single"/>
                    </w:rPr>
                    <w:t>G</w:t>
                  </w:r>
                  <w:r>
                    <w:rPr>
                      <w:rFonts w:hint="eastAsia" w:ascii="Times New Roman" w:hAnsi="Times New Roman" w:cs="Times New Roman"/>
                      <w:kern w:val="16"/>
                      <w:szCs w:val="21"/>
                      <w:u w:val="single"/>
                      <w:lang w:val="en-US" w:eastAsia="zh-CN"/>
                    </w:rPr>
                    <w:t>1</w:t>
                  </w:r>
                  <w:r>
                    <w:rPr>
                      <w:rFonts w:hint="default" w:ascii="Times New Roman" w:hAnsi="Times New Roman" w:eastAsia="宋体" w:cs="Times New Roman"/>
                      <w:kern w:val="16"/>
                      <w:szCs w:val="21"/>
                      <w:u w:val="single"/>
                      <w:lang w:val="en-US" w:eastAsia="zh-CN"/>
                    </w:rPr>
                    <w:t>云梯岭村居民点</w:t>
                  </w:r>
                </w:p>
              </w:tc>
              <w:tc>
                <w:tcPr>
                  <w:tcW w:w="1696" w:type="pct"/>
                  <w:noWrap w:val="0"/>
                  <w:vAlign w:val="center"/>
                </w:tcPr>
                <w:p w14:paraId="1C137D21">
                  <w:pPr>
                    <w:widowControl/>
                    <w:snapToGrid w:val="0"/>
                    <w:jc w:val="center"/>
                    <w:rPr>
                      <w:rFonts w:hint="default" w:ascii="Times New Roman" w:hAnsi="Times New Roman" w:eastAsia="宋体" w:cs="Times New Roman"/>
                      <w:bCs/>
                      <w:szCs w:val="21"/>
                      <w:u w:val="single"/>
                    </w:rPr>
                  </w:pPr>
                  <w:r>
                    <w:rPr>
                      <w:rFonts w:hint="default" w:ascii="Times New Roman" w:hAnsi="Times New Roman" w:eastAsia="宋体" w:cs="Times New Roman"/>
                      <w:bCs/>
                      <w:szCs w:val="21"/>
                      <w:u w:val="single"/>
                    </w:rPr>
                    <w:t>监测值范围</w:t>
                  </w:r>
                </w:p>
              </w:tc>
              <w:tc>
                <w:tcPr>
                  <w:tcW w:w="2323" w:type="pct"/>
                  <w:noWrap w:val="0"/>
                  <w:tcMar>
                    <w:left w:w="0" w:type="dxa"/>
                    <w:right w:w="0" w:type="dxa"/>
                  </w:tcMar>
                  <w:vAlign w:val="center"/>
                </w:tcPr>
                <w:p w14:paraId="40CF15FD">
                  <w:pPr>
                    <w:pStyle w:val="166"/>
                    <w:spacing w:line="240" w:lineRule="auto"/>
                    <w:ind w:firstLine="0" w:firstLineChars="0"/>
                    <w:jc w:val="center"/>
                    <w:rPr>
                      <w:rFonts w:hint="default" w:ascii="Times New Roman" w:hAnsi="Times New Roman" w:eastAsia="宋体" w:cs="Times New Roman"/>
                      <w:kern w:val="16"/>
                      <w:sz w:val="21"/>
                      <w:szCs w:val="21"/>
                      <w:u w:val="single"/>
                      <w:lang w:val="en-US" w:eastAsia="zh-CN"/>
                    </w:rPr>
                  </w:pPr>
                  <w:r>
                    <w:rPr>
                      <w:rFonts w:hint="default" w:ascii="Times New Roman" w:hAnsi="Times New Roman" w:eastAsia="宋体" w:cs="Times New Roman"/>
                      <w:kern w:val="16"/>
                      <w:sz w:val="21"/>
                      <w:szCs w:val="21"/>
                      <w:u w:val="single"/>
                    </w:rPr>
                    <w:t>0.09</w:t>
                  </w:r>
                  <w:r>
                    <w:rPr>
                      <w:rFonts w:hint="eastAsia" w:ascii="Times New Roman" w:hAnsi="Times New Roman" w:cs="Times New Roman"/>
                      <w:kern w:val="16"/>
                      <w:sz w:val="21"/>
                      <w:szCs w:val="21"/>
                      <w:u w:val="single"/>
                      <w:lang w:val="en-US" w:eastAsia="zh-CN"/>
                    </w:rPr>
                    <w:t>5</w:t>
                  </w:r>
                  <w:r>
                    <w:rPr>
                      <w:rFonts w:hint="default" w:ascii="Times New Roman" w:hAnsi="Times New Roman" w:eastAsia="宋体" w:cs="Times New Roman"/>
                      <w:kern w:val="16"/>
                      <w:sz w:val="21"/>
                      <w:szCs w:val="21"/>
                      <w:u w:val="single"/>
                    </w:rPr>
                    <w:t>~0.1</w:t>
                  </w:r>
                  <w:r>
                    <w:rPr>
                      <w:rFonts w:hint="eastAsia" w:ascii="Times New Roman" w:hAnsi="Times New Roman" w:cs="Times New Roman"/>
                      <w:kern w:val="16"/>
                      <w:sz w:val="21"/>
                      <w:szCs w:val="21"/>
                      <w:u w:val="single"/>
                      <w:lang w:val="en-US" w:eastAsia="zh-CN"/>
                    </w:rPr>
                    <w:t>13</w:t>
                  </w:r>
                </w:p>
              </w:tc>
            </w:tr>
            <w:tr w14:paraId="43487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0" w:type="pct"/>
                  <w:vMerge w:val="continue"/>
                  <w:noWrap w:val="0"/>
                  <w:tcMar>
                    <w:left w:w="0" w:type="dxa"/>
                    <w:right w:w="0" w:type="dxa"/>
                  </w:tcMar>
                  <w:vAlign w:val="center"/>
                </w:tcPr>
                <w:p w14:paraId="73CD9D14">
                  <w:pPr>
                    <w:widowControl/>
                    <w:snapToGrid w:val="0"/>
                    <w:jc w:val="center"/>
                    <w:rPr>
                      <w:rFonts w:hint="default" w:ascii="Times New Roman" w:hAnsi="Times New Roman" w:eastAsia="宋体" w:cs="Times New Roman"/>
                      <w:kern w:val="16"/>
                      <w:szCs w:val="21"/>
                      <w:u w:val="single"/>
                    </w:rPr>
                  </w:pPr>
                </w:p>
              </w:tc>
              <w:tc>
                <w:tcPr>
                  <w:tcW w:w="1696" w:type="pct"/>
                  <w:noWrap w:val="0"/>
                  <w:vAlign w:val="center"/>
                </w:tcPr>
                <w:p w14:paraId="66E86CD3">
                  <w:pPr>
                    <w:widowControl/>
                    <w:snapToGrid w:val="0"/>
                    <w:jc w:val="center"/>
                    <w:rPr>
                      <w:rFonts w:hint="default" w:ascii="Times New Roman" w:hAnsi="Times New Roman" w:eastAsia="宋体" w:cs="Times New Roman"/>
                      <w:bCs/>
                      <w:szCs w:val="21"/>
                      <w:u w:val="single"/>
                    </w:rPr>
                  </w:pPr>
                  <w:r>
                    <w:rPr>
                      <w:rFonts w:hint="default" w:ascii="Times New Roman" w:hAnsi="Times New Roman" w:eastAsia="宋体" w:cs="Times New Roman"/>
                      <w:bCs/>
                      <w:szCs w:val="21"/>
                      <w:u w:val="single"/>
                    </w:rPr>
                    <w:t>超标率%</w:t>
                  </w:r>
                </w:p>
              </w:tc>
              <w:tc>
                <w:tcPr>
                  <w:tcW w:w="2323" w:type="pct"/>
                  <w:noWrap w:val="0"/>
                  <w:tcMar>
                    <w:left w:w="0" w:type="dxa"/>
                    <w:right w:w="0" w:type="dxa"/>
                  </w:tcMar>
                  <w:vAlign w:val="center"/>
                </w:tcPr>
                <w:p w14:paraId="3EC37249">
                  <w:pPr>
                    <w:widowControl/>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r>
            <w:tr w14:paraId="06513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0" w:type="pct"/>
                  <w:vMerge w:val="continue"/>
                  <w:noWrap w:val="0"/>
                  <w:tcMar>
                    <w:left w:w="0" w:type="dxa"/>
                    <w:right w:w="0" w:type="dxa"/>
                  </w:tcMar>
                  <w:vAlign w:val="center"/>
                </w:tcPr>
                <w:p w14:paraId="7562342E">
                  <w:pPr>
                    <w:widowControl/>
                    <w:snapToGrid w:val="0"/>
                    <w:jc w:val="center"/>
                    <w:rPr>
                      <w:rFonts w:hint="default" w:ascii="Times New Roman" w:hAnsi="Times New Roman" w:eastAsia="宋体" w:cs="Times New Roman"/>
                      <w:kern w:val="16"/>
                      <w:szCs w:val="21"/>
                      <w:u w:val="single"/>
                    </w:rPr>
                  </w:pPr>
                </w:p>
              </w:tc>
              <w:tc>
                <w:tcPr>
                  <w:tcW w:w="1696" w:type="pct"/>
                  <w:noWrap w:val="0"/>
                  <w:vAlign w:val="center"/>
                </w:tcPr>
                <w:p w14:paraId="69D385AC">
                  <w:pPr>
                    <w:widowControl/>
                    <w:snapToGrid w:val="0"/>
                    <w:jc w:val="center"/>
                    <w:rPr>
                      <w:rFonts w:hint="default" w:ascii="Times New Roman" w:hAnsi="Times New Roman" w:eastAsia="宋体" w:cs="Times New Roman"/>
                      <w:bCs/>
                      <w:szCs w:val="21"/>
                      <w:u w:val="single"/>
                    </w:rPr>
                  </w:pPr>
                  <w:r>
                    <w:rPr>
                      <w:rFonts w:hint="default" w:ascii="Times New Roman" w:hAnsi="Times New Roman" w:eastAsia="宋体" w:cs="Times New Roman"/>
                      <w:bCs/>
                      <w:szCs w:val="21"/>
                      <w:u w:val="single"/>
                    </w:rPr>
                    <w:t>最大超标倍数</w:t>
                  </w:r>
                </w:p>
              </w:tc>
              <w:tc>
                <w:tcPr>
                  <w:tcW w:w="2323" w:type="pct"/>
                  <w:noWrap w:val="0"/>
                  <w:tcMar>
                    <w:left w:w="0" w:type="dxa"/>
                    <w:right w:w="0" w:type="dxa"/>
                  </w:tcMar>
                  <w:vAlign w:val="center"/>
                </w:tcPr>
                <w:p w14:paraId="6E0ADFFB">
                  <w:pPr>
                    <w:widowControl/>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r>
            <w:tr w14:paraId="5908E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0" w:type="pct"/>
                  <w:vMerge w:val="continue"/>
                  <w:noWrap w:val="0"/>
                  <w:tcMar>
                    <w:left w:w="0" w:type="dxa"/>
                    <w:right w:w="0" w:type="dxa"/>
                  </w:tcMar>
                  <w:vAlign w:val="center"/>
                </w:tcPr>
                <w:p w14:paraId="1BAC9B57">
                  <w:pPr>
                    <w:widowControl/>
                    <w:snapToGrid w:val="0"/>
                    <w:jc w:val="center"/>
                    <w:rPr>
                      <w:rFonts w:hint="default" w:ascii="Times New Roman" w:hAnsi="Times New Roman" w:eastAsia="宋体" w:cs="Times New Roman"/>
                      <w:kern w:val="16"/>
                      <w:szCs w:val="21"/>
                      <w:u w:val="single"/>
                    </w:rPr>
                  </w:pPr>
                </w:p>
              </w:tc>
              <w:tc>
                <w:tcPr>
                  <w:tcW w:w="1696" w:type="pct"/>
                  <w:noWrap w:val="0"/>
                  <w:vAlign w:val="center"/>
                </w:tcPr>
                <w:p w14:paraId="64B121DC">
                  <w:pPr>
                    <w:widowControl/>
                    <w:snapToGrid w:val="0"/>
                    <w:jc w:val="center"/>
                    <w:rPr>
                      <w:rFonts w:hint="default" w:ascii="Times New Roman" w:hAnsi="Times New Roman" w:eastAsia="宋体" w:cs="Times New Roman"/>
                      <w:bCs/>
                      <w:szCs w:val="21"/>
                      <w:u w:val="single"/>
                    </w:rPr>
                  </w:pPr>
                  <w:r>
                    <w:rPr>
                      <w:rFonts w:hint="default" w:ascii="Times New Roman" w:hAnsi="Times New Roman" w:eastAsia="宋体" w:cs="Times New Roman"/>
                      <w:bCs/>
                      <w:szCs w:val="21"/>
                      <w:u w:val="single"/>
                    </w:rPr>
                    <w:t>达标情况</w:t>
                  </w:r>
                </w:p>
              </w:tc>
              <w:tc>
                <w:tcPr>
                  <w:tcW w:w="2323" w:type="pct"/>
                  <w:noWrap w:val="0"/>
                  <w:tcMar>
                    <w:left w:w="0" w:type="dxa"/>
                    <w:right w:w="0" w:type="dxa"/>
                  </w:tcMar>
                  <w:vAlign w:val="center"/>
                </w:tcPr>
                <w:p w14:paraId="6F3E132D">
                  <w:pPr>
                    <w:widowControl/>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达标</w:t>
                  </w:r>
                </w:p>
              </w:tc>
            </w:tr>
            <w:tr w14:paraId="68893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76" w:type="pct"/>
                  <w:gridSpan w:val="2"/>
                  <w:noWrap w:val="0"/>
                  <w:tcMar>
                    <w:left w:w="0" w:type="dxa"/>
                    <w:right w:w="0" w:type="dxa"/>
                  </w:tcMar>
                  <w:vAlign w:val="center"/>
                </w:tcPr>
                <w:p w14:paraId="1A7D3558">
                  <w:pPr>
                    <w:widowControl/>
                    <w:snapToGrid w:val="0"/>
                    <w:jc w:val="center"/>
                    <w:rPr>
                      <w:rFonts w:hint="default" w:ascii="Times New Roman" w:hAnsi="Times New Roman" w:eastAsia="宋体" w:cs="Times New Roman"/>
                      <w:bCs/>
                      <w:szCs w:val="21"/>
                      <w:u w:val="single"/>
                    </w:rPr>
                  </w:pPr>
                  <w:r>
                    <w:rPr>
                      <w:rFonts w:hint="default" w:ascii="Times New Roman" w:hAnsi="Times New Roman" w:eastAsia="宋体" w:cs="Times New Roman"/>
                      <w:kern w:val="16"/>
                      <w:szCs w:val="21"/>
                      <w:u w:val="single"/>
                    </w:rPr>
                    <w:t>标准限值</w:t>
                  </w:r>
                </w:p>
              </w:tc>
              <w:tc>
                <w:tcPr>
                  <w:tcW w:w="2323" w:type="pct"/>
                  <w:noWrap w:val="0"/>
                  <w:tcMar>
                    <w:left w:w="0" w:type="dxa"/>
                    <w:right w:w="0" w:type="dxa"/>
                  </w:tcMar>
                  <w:vAlign w:val="center"/>
                </w:tcPr>
                <w:p w14:paraId="51FA3A6D">
                  <w:pPr>
                    <w:pStyle w:val="166"/>
                    <w:spacing w:line="240" w:lineRule="auto"/>
                    <w:ind w:firstLine="0" w:firstLineChars="0"/>
                    <w:jc w:val="center"/>
                    <w:rPr>
                      <w:rFonts w:hint="default" w:ascii="Times New Roman" w:hAnsi="Times New Roman" w:eastAsia="宋体" w:cs="Times New Roman"/>
                      <w:kern w:val="16"/>
                      <w:sz w:val="21"/>
                      <w:szCs w:val="21"/>
                      <w:u w:val="single"/>
                    </w:rPr>
                  </w:pPr>
                  <w:r>
                    <w:rPr>
                      <w:rFonts w:hint="default" w:ascii="Times New Roman" w:hAnsi="Times New Roman" w:eastAsia="宋体" w:cs="Times New Roman"/>
                      <w:kern w:val="16"/>
                      <w:sz w:val="21"/>
                      <w:szCs w:val="21"/>
                      <w:u w:val="single"/>
                    </w:rPr>
                    <w:t>0.3</w:t>
                  </w:r>
                </w:p>
              </w:tc>
            </w:tr>
          </w:tbl>
          <w:p w14:paraId="360AEDF8">
            <w:pPr>
              <w:widowControl/>
              <w:spacing w:line="360" w:lineRule="auto"/>
              <w:ind w:firstLine="480" w:firstLineChars="200"/>
              <w:jc w:val="both"/>
              <w:rPr>
                <w:rFonts w:hint="default" w:ascii="Times New Roman" w:hAnsi="Times New Roman" w:eastAsia="宋体" w:cs="Times New Roman"/>
                <w:kern w:val="0"/>
                <w:sz w:val="24"/>
                <w:szCs w:val="24"/>
                <w:u w:val="single"/>
                <w:lang w:eastAsia="zh-CN"/>
              </w:rPr>
            </w:pPr>
            <w:r>
              <w:rPr>
                <w:rFonts w:hint="default" w:ascii="Times New Roman" w:hAnsi="Times New Roman" w:eastAsia="宋体" w:cs="Times New Roman"/>
                <w:kern w:val="0"/>
                <w:sz w:val="24"/>
                <w:szCs w:val="24"/>
                <w:u w:val="single"/>
              </w:rPr>
              <w:t>根据监测数据分析，TSP满足《环境空气质量标准》（GB3095-2012）中的二级标准</w:t>
            </w:r>
            <w:r>
              <w:rPr>
                <w:rFonts w:hint="default" w:ascii="Times New Roman" w:hAnsi="Times New Roman" w:cs="Times New Roman"/>
                <w:kern w:val="0"/>
                <w:sz w:val="24"/>
                <w:szCs w:val="24"/>
                <w:u w:val="single"/>
                <w:lang w:eastAsia="zh-CN"/>
              </w:rPr>
              <w:t>。</w:t>
            </w:r>
          </w:p>
          <w:p w14:paraId="5CE59598">
            <w:pPr>
              <w:spacing w:line="360" w:lineRule="auto"/>
              <w:ind w:firstLine="482" w:firstLineChars="200"/>
              <w:jc w:val="left"/>
              <w:rPr>
                <w:rFonts w:hint="default" w:ascii="Times New Roman" w:hAnsi="Times New Roman" w:eastAsia="宋体" w:cs="Times New Roman"/>
                <w:b/>
                <w:sz w:val="24"/>
                <w:szCs w:val="24"/>
                <w:u w:val="none" w:color="auto"/>
              </w:rPr>
            </w:pPr>
            <w:r>
              <w:rPr>
                <w:rFonts w:hint="default" w:ascii="Times New Roman" w:hAnsi="Times New Roman" w:eastAsia="宋体" w:cs="Times New Roman"/>
                <w:b/>
                <w:sz w:val="24"/>
                <w:szCs w:val="24"/>
                <w:u w:val="none" w:color="auto"/>
                <w:lang w:val="en-US" w:eastAsia="zh-CN"/>
              </w:rPr>
              <w:t>3.2</w:t>
            </w:r>
            <w:r>
              <w:rPr>
                <w:rFonts w:hint="default" w:ascii="Times New Roman" w:hAnsi="Times New Roman" w:eastAsia="宋体" w:cs="Times New Roman"/>
                <w:b/>
                <w:sz w:val="24"/>
                <w:szCs w:val="24"/>
                <w:u w:val="none" w:color="auto"/>
              </w:rPr>
              <w:t>地表水环境</w:t>
            </w:r>
          </w:p>
          <w:p w14:paraId="51FD9CC9">
            <w:pPr>
              <w:widowControl/>
              <w:spacing w:line="360" w:lineRule="auto"/>
              <w:ind w:firstLine="480" w:firstLineChars="200"/>
              <w:jc w:val="both"/>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1、地表水环境质量达标判定</w:t>
            </w:r>
          </w:p>
          <w:p w14:paraId="22556D26">
            <w:pPr>
              <w:widowControl/>
              <w:spacing w:line="360" w:lineRule="auto"/>
              <w:ind w:firstLine="480" w:firstLineChars="200"/>
              <w:jc w:val="both"/>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根据永州市生态环境局发布的永州市2023年1月~12月环境质量状况，2023年新田河上的大历县村断面、纱帽岭村断面水质均满足《地表水环境质量标准》（GB3838-2002）Ⅲ类水质标准要求。</w:t>
            </w:r>
          </w:p>
          <w:p w14:paraId="68D4C247">
            <w:pPr>
              <w:widowControl/>
              <w:spacing w:line="360" w:lineRule="auto"/>
              <w:ind w:firstLine="480" w:firstLineChars="200"/>
              <w:jc w:val="both"/>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2、地表水环境补充监测</w:t>
            </w:r>
          </w:p>
          <w:p w14:paraId="5A887B95">
            <w:pPr>
              <w:widowControl/>
              <w:spacing w:line="360" w:lineRule="auto"/>
              <w:ind w:firstLine="480" w:firstLineChars="200"/>
              <w:jc w:val="both"/>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根据新田县人民政府发布的《新田产业开发区生态环境管理2023年度自评估报告》，园区在新田产业开发区污水处理厂排污口上游100m、下游1000m设置了2个监测断面。监测结果表明，地表水各监测点位pH、SS、BOD</w:t>
            </w:r>
            <w:r>
              <w:rPr>
                <w:rFonts w:hint="default" w:ascii="Times New Roman" w:hAnsi="Times New Roman" w:eastAsia="宋体" w:cs="Times New Roman"/>
                <w:kern w:val="0"/>
                <w:sz w:val="24"/>
                <w:szCs w:val="24"/>
                <w:vertAlign w:val="subscript"/>
              </w:rPr>
              <w:t>5</w:t>
            </w:r>
            <w:r>
              <w:rPr>
                <w:rFonts w:hint="default" w:ascii="Times New Roman" w:hAnsi="Times New Roman" w:eastAsia="宋体" w:cs="Times New Roman"/>
                <w:kern w:val="0"/>
                <w:sz w:val="24"/>
                <w:szCs w:val="24"/>
              </w:rPr>
              <w:t>、CODCr、CODMn、DO、挥发酚、氨氮、总磷、氟化物、石油类、阴离子表面活性剂、粪大肠菌群、Cu、Pb、Cd、As、Hg、Cr</w:t>
            </w:r>
            <w:r>
              <w:rPr>
                <w:rFonts w:hint="default" w:ascii="Times New Roman" w:hAnsi="Times New Roman" w:eastAsia="宋体" w:cs="Times New Roman"/>
                <w:kern w:val="0"/>
                <w:sz w:val="24"/>
                <w:szCs w:val="24"/>
                <w:vertAlign w:val="superscript"/>
              </w:rPr>
              <w:t>6+</w:t>
            </w:r>
            <w:r>
              <w:rPr>
                <w:rFonts w:hint="default" w:ascii="Times New Roman" w:hAnsi="Times New Roman" w:eastAsia="宋体" w:cs="Times New Roman"/>
                <w:kern w:val="0"/>
                <w:sz w:val="24"/>
                <w:szCs w:val="24"/>
              </w:rPr>
              <w:t>监测值符合《地表水环境质量标准》（GB 3838-2002)中Ⅲ类标准限值。</w:t>
            </w:r>
          </w:p>
          <w:p w14:paraId="30E7F026">
            <w:pPr>
              <w:spacing w:line="360" w:lineRule="auto"/>
              <w:ind w:firstLine="482" w:firstLineChars="200"/>
              <w:jc w:val="left"/>
              <w:rPr>
                <w:rFonts w:hint="default" w:ascii="Times New Roman" w:hAnsi="Times New Roman" w:eastAsia="宋体" w:cs="Times New Roman"/>
                <w:b/>
                <w:sz w:val="24"/>
                <w:szCs w:val="24"/>
                <w:u w:val="single" w:color="auto"/>
              </w:rPr>
            </w:pPr>
            <w:r>
              <w:rPr>
                <w:rFonts w:hint="default" w:ascii="Times New Roman" w:hAnsi="Times New Roman" w:cs="Times New Roman"/>
                <w:b/>
                <w:sz w:val="24"/>
                <w:szCs w:val="24"/>
                <w:u w:val="single" w:color="auto"/>
                <w:lang w:val="en-US" w:eastAsia="zh-CN"/>
              </w:rPr>
              <w:t>3.3</w:t>
            </w:r>
            <w:r>
              <w:rPr>
                <w:rFonts w:hint="default" w:ascii="Times New Roman" w:hAnsi="Times New Roman" w:eastAsia="宋体" w:cs="Times New Roman"/>
                <w:b/>
                <w:sz w:val="24"/>
                <w:szCs w:val="24"/>
                <w:u w:val="single" w:color="auto"/>
              </w:rPr>
              <w:t>声环境</w:t>
            </w:r>
          </w:p>
          <w:p w14:paraId="154F1CDC">
            <w:pPr>
              <w:widowControl/>
              <w:spacing w:line="360" w:lineRule="auto"/>
              <w:ind w:firstLine="480" w:firstLineChars="200"/>
              <w:jc w:val="both"/>
              <w:rPr>
                <w:rFonts w:hint="eastAsia" w:ascii="Times New Roman" w:hAnsi="Times New Roman" w:cs="Times New Roman"/>
                <w:kern w:val="0"/>
                <w:sz w:val="24"/>
                <w:szCs w:val="24"/>
                <w:u w:val="single" w:color="auto"/>
                <w:lang w:val="en-US" w:eastAsia="zh-CN"/>
              </w:rPr>
            </w:pPr>
            <w:r>
              <w:rPr>
                <w:rFonts w:hint="default" w:ascii="Times New Roman" w:hAnsi="Times New Roman" w:eastAsia="宋体" w:cs="Times New Roman"/>
                <w:kern w:val="0"/>
                <w:sz w:val="24"/>
                <w:szCs w:val="24"/>
                <w:u w:val="single" w:color="auto"/>
                <w:lang w:val="en-US" w:eastAsia="zh-CN"/>
              </w:rPr>
              <w:t>根据《建设项目环境影响报告表编制技术指南（污染影响类）（试行）》，需要监测厂界外周边50米范围内存在的声环境保护目标，根据现场勘查，本项目厂界外周边50米范围</w:t>
            </w:r>
            <w:r>
              <w:rPr>
                <w:rFonts w:hint="eastAsia" w:ascii="Times New Roman" w:hAnsi="Times New Roman" w:cs="Times New Roman"/>
                <w:kern w:val="0"/>
                <w:sz w:val="24"/>
                <w:szCs w:val="24"/>
                <w:u w:val="single" w:color="auto"/>
                <w:lang w:val="en-US" w:eastAsia="zh-CN"/>
              </w:rPr>
              <w:t>存在一户居民，位于本项目东侧45m，因此本次委托</w:t>
            </w:r>
            <w:r>
              <w:rPr>
                <w:rFonts w:hint="eastAsia" w:ascii="Times New Roman" w:hAnsi="Times New Roman" w:cs="Times New Roman"/>
                <w:kern w:val="0"/>
                <w:sz w:val="24"/>
                <w:szCs w:val="24"/>
                <w:u w:val="single" w:color="auto"/>
                <w:lang w:eastAsia="zh-CN"/>
              </w:rPr>
              <w:t>湖南中额环保科技有限公司开展噪声现状监测</w:t>
            </w:r>
            <w:r>
              <w:rPr>
                <w:rFonts w:hint="default" w:ascii="Times New Roman" w:hAnsi="Times New Roman" w:eastAsia="宋体" w:cs="Times New Roman"/>
                <w:kern w:val="0"/>
                <w:sz w:val="24"/>
                <w:szCs w:val="24"/>
                <w:u w:val="single" w:color="auto"/>
                <w:lang w:val="en-US" w:eastAsia="zh-CN"/>
              </w:rPr>
              <w:t>。</w:t>
            </w:r>
            <w:r>
              <w:rPr>
                <w:rFonts w:hint="eastAsia" w:ascii="Times New Roman" w:hAnsi="Times New Roman" w:cs="Times New Roman"/>
                <w:kern w:val="0"/>
                <w:sz w:val="24"/>
                <w:szCs w:val="24"/>
                <w:u w:val="single" w:color="auto"/>
                <w:lang w:val="en-US" w:eastAsia="zh-CN"/>
              </w:rPr>
              <w:t>监测结果如下。</w:t>
            </w:r>
          </w:p>
          <w:p w14:paraId="3A45D791">
            <w:pPr>
              <w:pStyle w:val="38"/>
              <w:rPr>
                <w:rFonts w:hint="eastAsia"/>
                <w:lang w:val="en-US" w:eastAsia="zh-CN"/>
              </w:rPr>
            </w:pPr>
          </w:p>
          <w:p w14:paraId="3BACE79F">
            <w:pPr>
              <w:keepNext/>
              <w:keepLines/>
              <w:topLinePunct/>
              <w:adjustRightInd w:val="0"/>
              <w:snapToGrid w:val="0"/>
              <w:spacing w:line="360" w:lineRule="auto"/>
              <w:jc w:val="center"/>
              <w:outlineLvl w:val="4"/>
              <w:rPr>
                <w:rFonts w:hint="default" w:ascii="Times New Roman" w:hAnsi="Times New Roman" w:eastAsia="宋体" w:cs="Times New Roman"/>
                <w:b/>
                <w:bCs/>
                <w:kern w:val="20"/>
                <w:sz w:val="24"/>
                <w:szCs w:val="24"/>
                <w:u w:val="single" w:color="auto"/>
                <w:lang w:val="en-GB"/>
              </w:rPr>
            </w:pPr>
            <w:r>
              <w:rPr>
                <w:rFonts w:hint="default" w:ascii="Times New Roman" w:hAnsi="Times New Roman" w:eastAsia="宋体" w:cs="Times New Roman"/>
                <w:b/>
                <w:bCs/>
                <w:kern w:val="20"/>
                <w:sz w:val="24"/>
                <w:szCs w:val="24"/>
                <w:u w:val="single" w:color="auto"/>
                <w:lang w:val="en-GB"/>
              </w:rPr>
              <w:t>表</w:t>
            </w:r>
            <w:r>
              <w:rPr>
                <w:rFonts w:hint="eastAsia" w:ascii="Times New Roman" w:hAnsi="Times New Roman" w:eastAsia="宋体" w:cs="Times New Roman"/>
                <w:b/>
                <w:bCs/>
                <w:kern w:val="20"/>
                <w:sz w:val="24"/>
                <w:szCs w:val="24"/>
                <w:u w:val="single" w:color="auto"/>
                <w:lang w:val="en-US" w:eastAsia="zh-CN"/>
              </w:rPr>
              <w:t xml:space="preserve">3-5  </w:t>
            </w:r>
            <w:r>
              <w:rPr>
                <w:rFonts w:hint="eastAsia" w:ascii="Times New Roman" w:hAnsi="Times New Roman" w:eastAsia="宋体" w:cs="Times New Roman"/>
                <w:b/>
                <w:bCs/>
                <w:kern w:val="20"/>
                <w:sz w:val="24"/>
                <w:szCs w:val="24"/>
                <w:u w:val="single" w:color="auto"/>
                <w:lang w:val="en-GB"/>
              </w:rPr>
              <w:t>噪声检</w:t>
            </w:r>
            <w:r>
              <w:rPr>
                <w:rFonts w:hint="default" w:ascii="Times New Roman" w:hAnsi="Times New Roman" w:eastAsia="宋体" w:cs="Times New Roman"/>
                <w:b/>
                <w:bCs/>
                <w:kern w:val="20"/>
                <w:sz w:val="24"/>
                <w:szCs w:val="24"/>
                <w:u w:val="single" w:color="auto"/>
                <w:lang w:val="en-GB"/>
              </w:rPr>
              <w:t>测结果</w:t>
            </w:r>
            <w:r>
              <w:rPr>
                <w:rFonts w:hint="eastAsia" w:ascii="Times New Roman" w:hAnsi="Times New Roman" w:eastAsia="宋体" w:cs="Times New Roman"/>
                <w:b/>
                <w:bCs/>
                <w:kern w:val="20"/>
                <w:sz w:val="24"/>
                <w:szCs w:val="24"/>
                <w:u w:val="single" w:color="auto"/>
                <w:lang w:val="en-GB"/>
              </w:rPr>
              <w:t xml:space="preserve">  单位：</w:t>
            </w:r>
            <w:r>
              <w:rPr>
                <w:rFonts w:hint="default" w:ascii="Times New Roman" w:hAnsi="Times New Roman" w:eastAsia="宋体" w:cs="Times New Roman"/>
                <w:b/>
                <w:bCs/>
                <w:kern w:val="20"/>
                <w:sz w:val="24"/>
                <w:szCs w:val="24"/>
                <w:u w:val="single" w:color="auto"/>
                <w:lang w:val="en-GB"/>
              </w:rPr>
              <w:t>dB</w:t>
            </w:r>
            <w:r>
              <w:rPr>
                <w:rFonts w:hint="eastAsia" w:ascii="Times New Roman" w:hAnsi="Times New Roman" w:eastAsia="宋体" w:cs="Times New Roman"/>
                <w:b/>
                <w:bCs/>
                <w:kern w:val="20"/>
                <w:sz w:val="24"/>
                <w:szCs w:val="24"/>
                <w:u w:val="single" w:color="auto"/>
                <w:lang w:val="en-GB"/>
              </w:rPr>
              <w:t>(A)</w:t>
            </w:r>
          </w:p>
          <w:tbl>
            <w:tblPr>
              <w:tblStyle w:val="3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34"/>
              <w:gridCol w:w="1449"/>
              <w:gridCol w:w="1449"/>
              <w:gridCol w:w="1449"/>
              <w:gridCol w:w="1450"/>
            </w:tblGrid>
            <w:tr w14:paraId="6AEC1F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4" w:type="dxa"/>
                  <w:vMerge w:val="restart"/>
                  <w:tcBorders>
                    <w:tl2br w:val="nil"/>
                    <w:tr2bl w:val="nil"/>
                  </w:tcBorders>
                  <w:noWrap w:val="0"/>
                  <w:vAlign w:val="center"/>
                </w:tcPr>
                <w:p w14:paraId="74D87F23">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u w:val="single" w:color="auto"/>
                      <w:lang w:eastAsia="zh-CN"/>
                    </w:rPr>
                  </w:pPr>
                  <w:r>
                    <w:rPr>
                      <w:rFonts w:hint="default" w:ascii="Times New Roman" w:hAnsi="Times New Roman" w:eastAsia="宋体" w:cs="Times New Roman"/>
                      <w:sz w:val="21"/>
                      <w:szCs w:val="21"/>
                      <w:u w:val="single" w:color="auto"/>
                      <w:lang w:eastAsia="zh-CN"/>
                    </w:rPr>
                    <w:t>检测点位</w:t>
                  </w:r>
                </w:p>
              </w:tc>
              <w:tc>
                <w:tcPr>
                  <w:tcW w:w="5797" w:type="dxa"/>
                  <w:gridSpan w:val="4"/>
                  <w:tcBorders>
                    <w:tl2br w:val="nil"/>
                    <w:tr2bl w:val="nil"/>
                  </w:tcBorders>
                  <w:noWrap w:val="0"/>
                  <w:vAlign w:val="center"/>
                </w:tcPr>
                <w:p w14:paraId="39148158">
                  <w:pPr>
                    <w:pStyle w:val="15"/>
                    <w:keepNext w:val="0"/>
                    <w:keepLines w:val="0"/>
                    <w:pageBreakBefore w:val="0"/>
                    <w:widowControl/>
                    <w:kinsoku/>
                    <w:wordWrap/>
                    <w:overflowPunct/>
                    <w:topLinePunct w:val="0"/>
                    <w:autoSpaceDE/>
                    <w:autoSpaceDN/>
                    <w:bidi w:val="0"/>
                    <w:adjustRightInd/>
                    <w:snapToGrid/>
                    <w:spacing w:after="0"/>
                    <w:ind w:firstLine="0" w:firstLineChars="0"/>
                    <w:jc w:val="center"/>
                    <w:textAlignment w:val="center"/>
                    <w:rPr>
                      <w:rFonts w:hint="default" w:ascii="Times New Roman" w:hAnsi="Times New Roman" w:eastAsia="宋体" w:cs="Times New Roman"/>
                      <w:sz w:val="21"/>
                      <w:szCs w:val="21"/>
                      <w:u w:val="single" w:color="auto"/>
                      <w:lang w:eastAsia="zh-CN"/>
                    </w:rPr>
                  </w:pPr>
                  <w:r>
                    <w:rPr>
                      <w:rFonts w:hint="default" w:ascii="Times New Roman" w:hAnsi="Times New Roman" w:eastAsia="宋体" w:cs="Times New Roman"/>
                      <w:sz w:val="21"/>
                      <w:szCs w:val="21"/>
                      <w:u w:val="single" w:color="auto"/>
                      <w:lang w:eastAsia="zh-CN"/>
                    </w:rPr>
                    <w:t>检测结果（单位：dB(A)）</w:t>
                  </w:r>
                </w:p>
              </w:tc>
            </w:tr>
            <w:tr w14:paraId="0FD8A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4" w:type="dxa"/>
                  <w:vMerge w:val="continue"/>
                  <w:tcBorders>
                    <w:tl2br w:val="nil"/>
                    <w:tr2bl w:val="nil"/>
                  </w:tcBorders>
                  <w:noWrap w:val="0"/>
                  <w:vAlign w:val="center"/>
                </w:tcPr>
                <w:p w14:paraId="5F9A5C12">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center"/>
                    <w:rPr>
                      <w:rFonts w:hint="default" w:ascii="Times New Roman" w:hAnsi="Times New Roman" w:eastAsia="宋体" w:cs="Times New Roman"/>
                      <w:sz w:val="21"/>
                      <w:szCs w:val="21"/>
                      <w:u w:val="single" w:color="auto"/>
                      <w:lang w:eastAsia="zh-CN"/>
                    </w:rPr>
                  </w:pPr>
                </w:p>
              </w:tc>
              <w:tc>
                <w:tcPr>
                  <w:tcW w:w="2898" w:type="dxa"/>
                  <w:gridSpan w:val="2"/>
                  <w:tcBorders>
                    <w:tl2br w:val="nil"/>
                    <w:tr2bl w:val="nil"/>
                  </w:tcBorders>
                  <w:noWrap w:val="0"/>
                  <w:vAlign w:val="center"/>
                </w:tcPr>
                <w:p w14:paraId="331D32E0">
                  <w:pPr>
                    <w:jc w:val="center"/>
                    <w:rPr>
                      <w:rFonts w:hint="default" w:ascii="Times New Roman" w:hAnsi="Times New Roman" w:eastAsia="宋体" w:cs="Times New Roman"/>
                      <w:sz w:val="21"/>
                      <w:szCs w:val="21"/>
                      <w:u w:val="single" w:color="auto"/>
                      <w:lang w:val="en-US" w:eastAsia="zh-CN"/>
                    </w:rPr>
                  </w:pPr>
                  <w:r>
                    <w:rPr>
                      <w:rFonts w:hint="eastAsia" w:ascii="Times New Roman" w:hAnsi="Times New Roman" w:eastAsia="宋体" w:cs="Times New Roman"/>
                      <w:sz w:val="21"/>
                      <w:szCs w:val="21"/>
                      <w:u w:val="single" w:color="auto"/>
                      <w:lang w:val="en-US" w:eastAsia="zh-CN"/>
                    </w:rPr>
                    <w:t>2024</w:t>
                  </w:r>
                  <w:r>
                    <w:rPr>
                      <w:rFonts w:hint="default" w:ascii="Times New Roman" w:hAnsi="Times New Roman" w:eastAsia="宋体" w:cs="Times New Roman"/>
                      <w:sz w:val="21"/>
                      <w:szCs w:val="21"/>
                      <w:u w:val="single" w:color="auto"/>
                      <w:lang w:val="en-US" w:eastAsia="zh-CN"/>
                    </w:rPr>
                    <w:t>.</w:t>
                  </w:r>
                  <w:r>
                    <w:rPr>
                      <w:rFonts w:hint="eastAsia" w:ascii="Times New Roman" w:hAnsi="Times New Roman" w:eastAsia="宋体" w:cs="Times New Roman"/>
                      <w:sz w:val="21"/>
                      <w:szCs w:val="21"/>
                      <w:u w:val="single" w:color="auto"/>
                      <w:lang w:val="en-US" w:eastAsia="zh-CN"/>
                    </w:rPr>
                    <w:t>11.20</w:t>
                  </w:r>
                </w:p>
              </w:tc>
              <w:tc>
                <w:tcPr>
                  <w:tcW w:w="2899" w:type="dxa"/>
                  <w:gridSpan w:val="2"/>
                  <w:tcBorders>
                    <w:tl2br w:val="nil"/>
                    <w:tr2bl w:val="nil"/>
                  </w:tcBorders>
                  <w:noWrap w:val="0"/>
                  <w:vAlign w:val="center"/>
                </w:tcPr>
                <w:p w14:paraId="0DE3345A">
                  <w:pPr>
                    <w:jc w:val="center"/>
                    <w:rPr>
                      <w:rFonts w:hint="default" w:ascii="Times New Roman" w:hAnsi="Times New Roman" w:eastAsia="宋体" w:cs="Times New Roman"/>
                      <w:sz w:val="21"/>
                      <w:szCs w:val="21"/>
                      <w:u w:val="single" w:color="auto"/>
                      <w:lang w:val="en-US" w:eastAsia="zh-CN"/>
                    </w:rPr>
                  </w:pPr>
                  <w:r>
                    <w:rPr>
                      <w:rFonts w:hint="eastAsia" w:ascii="Times New Roman" w:hAnsi="Times New Roman" w:eastAsia="宋体" w:cs="Times New Roman"/>
                      <w:sz w:val="21"/>
                      <w:szCs w:val="21"/>
                      <w:u w:val="single" w:color="auto"/>
                      <w:lang w:val="en-US" w:eastAsia="zh-CN"/>
                    </w:rPr>
                    <w:t>2024</w:t>
                  </w:r>
                  <w:r>
                    <w:rPr>
                      <w:rFonts w:hint="default" w:ascii="Times New Roman" w:hAnsi="Times New Roman" w:eastAsia="宋体" w:cs="Times New Roman"/>
                      <w:sz w:val="21"/>
                      <w:szCs w:val="21"/>
                      <w:u w:val="single" w:color="auto"/>
                      <w:lang w:val="en-US" w:eastAsia="zh-CN"/>
                    </w:rPr>
                    <w:t>.</w:t>
                  </w:r>
                  <w:r>
                    <w:rPr>
                      <w:rFonts w:hint="eastAsia" w:ascii="Times New Roman" w:hAnsi="Times New Roman" w:eastAsia="宋体" w:cs="Times New Roman"/>
                      <w:sz w:val="21"/>
                      <w:szCs w:val="21"/>
                      <w:u w:val="single" w:color="auto"/>
                      <w:lang w:val="en-US" w:eastAsia="zh-CN"/>
                    </w:rPr>
                    <w:t>11.21</w:t>
                  </w:r>
                </w:p>
              </w:tc>
            </w:tr>
            <w:tr w14:paraId="40C12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4" w:type="dxa"/>
                  <w:vMerge w:val="continue"/>
                  <w:tcBorders>
                    <w:tl2br w:val="nil"/>
                    <w:tr2bl w:val="nil"/>
                  </w:tcBorders>
                  <w:noWrap w:val="0"/>
                  <w:vAlign w:val="center"/>
                </w:tcPr>
                <w:p w14:paraId="099C6988">
                  <w:pPr>
                    <w:pStyle w:val="38"/>
                    <w:keepNext w:val="0"/>
                    <w:keepLines w:val="0"/>
                    <w:pageBreakBefore w:val="0"/>
                    <w:widowControl/>
                    <w:kinsoku/>
                    <w:wordWrap/>
                    <w:overflowPunct/>
                    <w:topLinePunct w:val="0"/>
                    <w:autoSpaceDE/>
                    <w:autoSpaceDN/>
                    <w:bidi w:val="0"/>
                    <w:adjustRightInd/>
                    <w:snapToGrid/>
                    <w:spacing w:after="0"/>
                    <w:ind w:left="0" w:leftChars="0" w:firstLine="0" w:firstLineChars="0"/>
                    <w:jc w:val="center"/>
                    <w:textAlignment w:val="center"/>
                    <w:rPr>
                      <w:rFonts w:hint="default" w:ascii="Times New Roman" w:hAnsi="Times New Roman" w:eastAsia="宋体" w:cs="Times New Roman"/>
                      <w:sz w:val="21"/>
                      <w:szCs w:val="21"/>
                      <w:u w:val="single" w:color="auto"/>
                      <w:lang w:eastAsia="zh-CN"/>
                    </w:rPr>
                  </w:pPr>
                </w:p>
              </w:tc>
              <w:tc>
                <w:tcPr>
                  <w:tcW w:w="1449" w:type="dxa"/>
                  <w:tcBorders>
                    <w:tl2br w:val="nil"/>
                    <w:tr2bl w:val="nil"/>
                  </w:tcBorders>
                  <w:noWrap w:val="0"/>
                  <w:vAlign w:val="center"/>
                </w:tcPr>
                <w:p w14:paraId="6A34EB8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u w:val="single" w:color="auto"/>
                      <w:lang w:val="en-US" w:eastAsia="zh-CN" w:bidi="ar-SA"/>
                    </w:rPr>
                  </w:pPr>
                  <w:r>
                    <w:rPr>
                      <w:rFonts w:hint="default" w:ascii="Times New Roman" w:hAnsi="Times New Roman" w:eastAsia="宋体" w:cs="Times New Roman"/>
                      <w:sz w:val="21"/>
                      <w:szCs w:val="21"/>
                      <w:u w:val="single" w:color="auto"/>
                      <w:lang w:val="en-US" w:eastAsia="zh-CN" w:bidi="ar-SA"/>
                    </w:rPr>
                    <w:t>昼间</w:t>
                  </w:r>
                </w:p>
              </w:tc>
              <w:tc>
                <w:tcPr>
                  <w:tcW w:w="1449" w:type="dxa"/>
                  <w:tcBorders>
                    <w:tl2br w:val="nil"/>
                    <w:tr2bl w:val="nil"/>
                  </w:tcBorders>
                  <w:noWrap w:val="0"/>
                  <w:vAlign w:val="center"/>
                </w:tcPr>
                <w:p w14:paraId="43318456">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u w:val="single" w:color="auto"/>
                      <w:lang w:val="en-US" w:eastAsia="zh-CN" w:bidi="ar-SA"/>
                    </w:rPr>
                  </w:pPr>
                  <w:r>
                    <w:rPr>
                      <w:rFonts w:hint="default" w:ascii="Times New Roman" w:hAnsi="Times New Roman" w:eastAsia="宋体" w:cs="Times New Roman"/>
                      <w:sz w:val="21"/>
                      <w:szCs w:val="21"/>
                      <w:u w:val="single" w:color="auto"/>
                      <w:lang w:val="en-US" w:eastAsia="zh-CN" w:bidi="ar-SA"/>
                    </w:rPr>
                    <w:t>夜间</w:t>
                  </w:r>
                </w:p>
              </w:tc>
              <w:tc>
                <w:tcPr>
                  <w:tcW w:w="1449" w:type="dxa"/>
                  <w:tcBorders>
                    <w:tl2br w:val="nil"/>
                    <w:tr2bl w:val="nil"/>
                  </w:tcBorders>
                  <w:noWrap w:val="0"/>
                  <w:vAlign w:val="center"/>
                </w:tcPr>
                <w:p w14:paraId="6FD636EE">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u w:val="single" w:color="auto"/>
                      <w:lang w:val="en-US" w:eastAsia="zh-CN" w:bidi="ar-SA"/>
                    </w:rPr>
                  </w:pPr>
                  <w:r>
                    <w:rPr>
                      <w:rFonts w:hint="default" w:ascii="Times New Roman" w:hAnsi="Times New Roman" w:eastAsia="宋体" w:cs="Times New Roman"/>
                      <w:sz w:val="21"/>
                      <w:szCs w:val="21"/>
                      <w:u w:val="single" w:color="auto"/>
                      <w:lang w:val="en-US" w:eastAsia="zh-CN" w:bidi="ar-SA"/>
                    </w:rPr>
                    <w:t>昼间</w:t>
                  </w:r>
                </w:p>
              </w:tc>
              <w:tc>
                <w:tcPr>
                  <w:tcW w:w="1450" w:type="dxa"/>
                  <w:tcBorders>
                    <w:tl2br w:val="nil"/>
                    <w:tr2bl w:val="nil"/>
                  </w:tcBorders>
                  <w:noWrap w:val="0"/>
                  <w:vAlign w:val="center"/>
                </w:tcPr>
                <w:p w14:paraId="46802AB5">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u w:val="single" w:color="auto"/>
                      <w:lang w:val="en-US" w:eastAsia="zh-CN" w:bidi="ar-SA"/>
                    </w:rPr>
                  </w:pPr>
                  <w:r>
                    <w:rPr>
                      <w:rFonts w:hint="default" w:ascii="Times New Roman" w:hAnsi="Times New Roman" w:eastAsia="宋体" w:cs="Times New Roman"/>
                      <w:sz w:val="21"/>
                      <w:szCs w:val="21"/>
                      <w:u w:val="single" w:color="auto"/>
                      <w:lang w:val="en-US" w:eastAsia="zh-CN" w:bidi="ar-SA"/>
                    </w:rPr>
                    <w:t>夜间</w:t>
                  </w:r>
                </w:p>
              </w:tc>
            </w:tr>
            <w:tr w14:paraId="58D1D7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4" w:type="dxa"/>
                  <w:tcBorders>
                    <w:tl2br w:val="nil"/>
                    <w:tr2bl w:val="nil"/>
                  </w:tcBorders>
                  <w:noWrap w:val="0"/>
                  <w:vAlign w:val="center"/>
                </w:tcPr>
                <w:p w14:paraId="7E82BC47">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u w:val="single" w:color="auto"/>
                      <w:lang w:val="en-US" w:eastAsia="zh-CN" w:bidi="ar-SA"/>
                    </w:rPr>
                  </w:pPr>
                  <w:r>
                    <w:rPr>
                      <w:rFonts w:hint="eastAsia" w:ascii="Times New Roman" w:hAnsi="Times New Roman" w:eastAsia="宋体" w:cs="Times New Roman"/>
                      <w:sz w:val="21"/>
                      <w:szCs w:val="21"/>
                      <w:u w:val="single" w:color="auto"/>
                      <w:lang w:val="en-US" w:eastAsia="zh-CN" w:bidi="ar-SA"/>
                    </w:rPr>
                    <w:t>N1云梯岭村居民点</w:t>
                  </w:r>
                </w:p>
              </w:tc>
              <w:tc>
                <w:tcPr>
                  <w:tcW w:w="1449" w:type="dxa"/>
                  <w:tcBorders>
                    <w:tl2br w:val="nil"/>
                    <w:tr2bl w:val="nil"/>
                  </w:tcBorders>
                  <w:noWrap w:val="0"/>
                  <w:vAlign w:val="center"/>
                </w:tcPr>
                <w:p w14:paraId="01AE3DC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u w:val="single" w:color="auto"/>
                      <w:lang w:val="en-US" w:eastAsia="zh-CN" w:bidi="ar-SA"/>
                    </w:rPr>
                  </w:pPr>
                  <w:r>
                    <w:rPr>
                      <w:rFonts w:hint="eastAsia" w:ascii="Times New Roman" w:hAnsi="Times New Roman" w:eastAsia="宋体" w:cs="Times New Roman"/>
                      <w:sz w:val="21"/>
                      <w:szCs w:val="21"/>
                      <w:u w:val="single" w:color="auto"/>
                      <w:lang w:val="en-US" w:eastAsia="zh-CN" w:bidi="ar-SA"/>
                    </w:rPr>
                    <w:t>53</w:t>
                  </w:r>
                </w:p>
              </w:tc>
              <w:tc>
                <w:tcPr>
                  <w:tcW w:w="1449" w:type="dxa"/>
                  <w:tcBorders>
                    <w:tl2br w:val="nil"/>
                    <w:tr2bl w:val="nil"/>
                  </w:tcBorders>
                  <w:noWrap w:val="0"/>
                  <w:vAlign w:val="center"/>
                </w:tcPr>
                <w:p w14:paraId="66CAC064">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u w:val="single" w:color="auto"/>
                      <w:lang w:val="en-US" w:eastAsia="zh-CN" w:bidi="ar-SA"/>
                    </w:rPr>
                  </w:pPr>
                  <w:r>
                    <w:rPr>
                      <w:rFonts w:hint="eastAsia" w:ascii="Times New Roman" w:hAnsi="Times New Roman" w:eastAsia="宋体" w:cs="Times New Roman"/>
                      <w:sz w:val="21"/>
                      <w:szCs w:val="21"/>
                      <w:u w:val="single" w:color="auto"/>
                      <w:lang w:val="en-US" w:eastAsia="zh-CN" w:bidi="ar-SA"/>
                    </w:rPr>
                    <w:t>42</w:t>
                  </w:r>
                </w:p>
              </w:tc>
              <w:tc>
                <w:tcPr>
                  <w:tcW w:w="1449" w:type="dxa"/>
                  <w:tcBorders>
                    <w:tl2br w:val="nil"/>
                    <w:tr2bl w:val="nil"/>
                  </w:tcBorders>
                  <w:noWrap w:val="0"/>
                  <w:vAlign w:val="center"/>
                </w:tcPr>
                <w:p w14:paraId="537D3828">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u w:val="single" w:color="auto"/>
                      <w:lang w:val="en-US" w:eastAsia="zh-CN" w:bidi="ar-SA"/>
                    </w:rPr>
                  </w:pPr>
                  <w:r>
                    <w:rPr>
                      <w:rFonts w:hint="eastAsia" w:ascii="Times New Roman" w:hAnsi="Times New Roman" w:eastAsia="宋体" w:cs="Times New Roman"/>
                      <w:sz w:val="21"/>
                      <w:szCs w:val="21"/>
                      <w:u w:val="single" w:color="auto"/>
                      <w:lang w:val="en-US" w:eastAsia="zh-CN" w:bidi="ar-SA"/>
                    </w:rPr>
                    <w:t>51</w:t>
                  </w:r>
                </w:p>
              </w:tc>
              <w:tc>
                <w:tcPr>
                  <w:tcW w:w="1450" w:type="dxa"/>
                  <w:tcBorders>
                    <w:tl2br w:val="nil"/>
                    <w:tr2bl w:val="nil"/>
                  </w:tcBorders>
                  <w:noWrap w:val="0"/>
                  <w:vAlign w:val="center"/>
                </w:tcPr>
                <w:p w14:paraId="6DA5D5D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u w:val="single" w:color="auto"/>
                      <w:lang w:val="en-US" w:eastAsia="zh-CN" w:bidi="ar-SA"/>
                    </w:rPr>
                  </w:pPr>
                  <w:r>
                    <w:rPr>
                      <w:rFonts w:hint="eastAsia" w:ascii="Times New Roman" w:hAnsi="Times New Roman" w:eastAsia="宋体" w:cs="Times New Roman"/>
                      <w:sz w:val="21"/>
                      <w:szCs w:val="21"/>
                      <w:u w:val="single" w:color="auto"/>
                      <w:lang w:val="en-US" w:eastAsia="zh-CN" w:bidi="ar-SA"/>
                    </w:rPr>
                    <w:t>41</w:t>
                  </w:r>
                </w:p>
              </w:tc>
            </w:tr>
            <w:tr w14:paraId="2B0F8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4" w:type="dxa"/>
                  <w:tcBorders>
                    <w:tl2br w:val="nil"/>
                    <w:tr2bl w:val="nil"/>
                  </w:tcBorders>
                  <w:noWrap w:val="0"/>
                  <w:vAlign w:val="center"/>
                </w:tcPr>
                <w:p w14:paraId="42FCF6F9">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sz w:val="21"/>
                      <w:szCs w:val="21"/>
                      <w:u w:val="single" w:color="auto"/>
                      <w:lang w:val="en-US" w:eastAsia="zh-CN" w:bidi="ar-SA"/>
                    </w:rPr>
                  </w:pPr>
                  <w:r>
                    <w:rPr>
                      <w:rFonts w:hint="eastAsia" w:ascii="Times New Roman" w:hAnsi="Times New Roman" w:eastAsia="宋体" w:cs="Times New Roman"/>
                      <w:sz w:val="21"/>
                      <w:szCs w:val="21"/>
                      <w:u w:val="single" w:color="auto"/>
                      <w:lang w:val="en-US" w:eastAsia="zh-CN" w:bidi="ar-SA"/>
                    </w:rPr>
                    <w:t>限值</w:t>
                  </w:r>
                </w:p>
              </w:tc>
              <w:tc>
                <w:tcPr>
                  <w:tcW w:w="1449" w:type="dxa"/>
                  <w:tcBorders>
                    <w:tl2br w:val="nil"/>
                    <w:tr2bl w:val="nil"/>
                  </w:tcBorders>
                  <w:noWrap w:val="0"/>
                  <w:vAlign w:val="center"/>
                </w:tcPr>
                <w:p w14:paraId="08E92946">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u w:val="single" w:color="auto"/>
                      <w:lang w:val="en-US" w:eastAsia="zh-CN" w:bidi="ar-SA"/>
                    </w:rPr>
                  </w:pPr>
                  <w:r>
                    <w:rPr>
                      <w:rFonts w:hint="eastAsia" w:ascii="Times New Roman" w:hAnsi="Times New Roman" w:eastAsia="宋体" w:cs="Times New Roman"/>
                      <w:sz w:val="21"/>
                      <w:szCs w:val="21"/>
                      <w:u w:val="single" w:color="auto"/>
                      <w:lang w:val="en-US" w:eastAsia="zh-CN" w:bidi="ar-SA"/>
                    </w:rPr>
                    <w:t>60</w:t>
                  </w:r>
                </w:p>
              </w:tc>
              <w:tc>
                <w:tcPr>
                  <w:tcW w:w="1449" w:type="dxa"/>
                  <w:tcBorders>
                    <w:tl2br w:val="nil"/>
                    <w:tr2bl w:val="nil"/>
                  </w:tcBorders>
                  <w:noWrap w:val="0"/>
                  <w:vAlign w:val="center"/>
                </w:tcPr>
                <w:p w14:paraId="0740F4D7">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u w:val="single" w:color="auto"/>
                      <w:lang w:val="en-US" w:eastAsia="zh-CN" w:bidi="ar-SA"/>
                    </w:rPr>
                  </w:pPr>
                  <w:r>
                    <w:rPr>
                      <w:rFonts w:hint="eastAsia" w:ascii="Times New Roman" w:hAnsi="Times New Roman" w:eastAsia="宋体" w:cs="Times New Roman"/>
                      <w:sz w:val="21"/>
                      <w:szCs w:val="21"/>
                      <w:u w:val="single" w:color="auto"/>
                      <w:lang w:val="en-US" w:eastAsia="zh-CN" w:bidi="ar-SA"/>
                    </w:rPr>
                    <w:t>50</w:t>
                  </w:r>
                </w:p>
              </w:tc>
              <w:tc>
                <w:tcPr>
                  <w:tcW w:w="1449" w:type="dxa"/>
                  <w:tcBorders>
                    <w:tl2br w:val="nil"/>
                    <w:tr2bl w:val="nil"/>
                  </w:tcBorders>
                  <w:noWrap w:val="0"/>
                  <w:vAlign w:val="center"/>
                </w:tcPr>
                <w:p w14:paraId="20466DB1">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u w:val="single" w:color="auto"/>
                      <w:lang w:val="en-US" w:eastAsia="zh-CN" w:bidi="ar-SA"/>
                    </w:rPr>
                  </w:pPr>
                  <w:r>
                    <w:rPr>
                      <w:rFonts w:hint="eastAsia" w:ascii="Times New Roman" w:hAnsi="Times New Roman" w:eastAsia="宋体" w:cs="Times New Roman"/>
                      <w:sz w:val="21"/>
                      <w:szCs w:val="21"/>
                      <w:u w:val="single" w:color="auto"/>
                      <w:lang w:val="en-US" w:eastAsia="zh-CN" w:bidi="ar-SA"/>
                    </w:rPr>
                    <w:t>60</w:t>
                  </w:r>
                </w:p>
              </w:tc>
              <w:tc>
                <w:tcPr>
                  <w:tcW w:w="1450" w:type="dxa"/>
                  <w:tcBorders>
                    <w:tl2br w:val="nil"/>
                    <w:tr2bl w:val="nil"/>
                  </w:tcBorders>
                  <w:noWrap w:val="0"/>
                  <w:vAlign w:val="center"/>
                </w:tcPr>
                <w:p w14:paraId="40EA823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sz w:val="21"/>
                      <w:szCs w:val="21"/>
                      <w:u w:val="single" w:color="auto"/>
                      <w:lang w:val="en-US" w:eastAsia="zh-CN" w:bidi="ar-SA"/>
                    </w:rPr>
                  </w:pPr>
                  <w:r>
                    <w:rPr>
                      <w:rFonts w:hint="eastAsia" w:ascii="Times New Roman" w:hAnsi="Times New Roman" w:eastAsia="宋体" w:cs="Times New Roman"/>
                      <w:sz w:val="21"/>
                      <w:szCs w:val="21"/>
                      <w:u w:val="single" w:color="auto"/>
                      <w:lang w:val="en-US" w:eastAsia="zh-CN" w:bidi="ar-SA"/>
                    </w:rPr>
                    <w:t>50</w:t>
                  </w:r>
                </w:p>
              </w:tc>
            </w:tr>
            <w:tr w14:paraId="1EB25B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34" w:type="dxa"/>
                  <w:tcBorders>
                    <w:tl2br w:val="nil"/>
                    <w:tr2bl w:val="nil"/>
                  </w:tcBorders>
                  <w:noWrap w:val="0"/>
                  <w:vAlign w:val="center"/>
                </w:tcPr>
                <w:p w14:paraId="36C461BF">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sz w:val="21"/>
                      <w:szCs w:val="21"/>
                      <w:u w:val="single" w:color="auto"/>
                      <w:lang w:val="en-US" w:eastAsia="zh-CN" w:bidi="ar-SA"/>
                    </w:rPr>
                  </w:pPr>
                  <w:r>
                    <w:rPr>
                      <w:rFonts w:hint="eastAsia" w:ascii="Times New Roman" w:hAnsi="Times New Roman" w:eastAsia="宋体" w:cs="Times New Roman"/>
                      <w:sz w:val="21"/>
                      <w:szCs w:val="21"/>
                      <w:u w:val="single" w:color="auto"/>
                      <w:lang w:val="en-US" w:eastAsia="zh-CN" w:bidi="ar-SA"/>
                    </w:rPr>
                    <w:t>备注</w:t>
                  </w:r>
                </w:p>
              </w:tc>
              <w:tc>
                <w:tcPr>
                  <w:tcW w:w="5797" w:type="dxa"/>
                  <w:gridSpan w:val="4"/>
                  <w:tcBorders>
                    <w:tl2br w:val="nil"/>
                    <w:tr2bl w:val="nil"/>
                  </w:tcBorders>
                  <w:noWrap w:val="0"/>
                  <w:vAlign w:val="center"/>
                </w:tcPr>
                <w:p w14:paraId="4E84462C">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sz w:val="21"/>
                      <w:szCs w:val="21"/>
                      <w:u w:val="single" w:color="auto"/>
                      <w:lang w:val="en-US" w:eastAsia="zh-CN" w:bidi="ar-SA"/>
                    </w:rPr>
                  </w:pPr>
                  <w:r>
                    <w:rPr>
                      <w:rFonts w:hint="eastAsia" w:ascii="Times New Roman" w:hAnsi="Times New Roman" w:eastAsia="宋体" w:cs="Times New Roman"/>
                      <w:sz w:val="21"/>
                      <w:szCs w:val="21"/>
                      <w:u w:val="single" w:color="auto"/>
                      <w:lang w:val="en-US" w:eastAsia="zh-CN" w:bidi="ar-SA"/>
                    </w:rPr>
                    <w:t>执行</w:t>
                  </w:r>
                  <w:r>
                    <w:rPr>
                      <w:rFonts w:hint="default" w:ascii="Times New Roman" w:hAnsi="Times New Roman" w:eastAsia="宋体" w:cs="Times New Roman"/>
                      <w:sz w:val="21"/>
                      <w:szCs w:val="21"/>
                      <w:u w:val="single" w:color="auto"/>
                      <w:vertAlign w:val="baseline"/>
                    </w:rPr>
                    <w:t>《声环境质量标准》（GB3096-2008）中2类</w:t>
                  </w:r>
                </w:p>
              </w:tc>
            </w:tr>
          </w:tbl>
          <w:p w14:paraId="1A162FA7">
            <w:pPr>
              <w:widowControl/>
              <w:spacing w:line="360" w:lineRule="auto"/>
              <w:ind w:firstLine="480" w:firstLineChars="200"/>
              <w:jc w:val="both"/>
              <w:rPr>
                <w:rFonts w:hint="default" w:ascii="Times New Roman" w:hAnsi="Times New Roman" w:eastAsia="宋体" w:cs="Times New Roman"/>
                <w:kern w:val="0"/>
                <w:sz w:val="24"/>
                <w:u w:val="single" w:color="auto"/>
                <w:lang w:val="en-US" w:eastAsia="zh-CN"/>
              </w:rPr>
            </w:pPr>
            <w:r>
              <w:rPr>
                <w:rFonts w:hint="eastAsia" w:ascii="Times New Roman" w:hAnsi="Times New Roman" w:eastAsia="宋体" w:cs="Times New Roman"/>
                <w:kern w:val="0"/>
                <w:sz w:val="24"/>
                <w:u w:val="single" w:color="auto"/>
                <w:lang w:eastAsia="zh-CN"/>
              </w:rPr>
              <w:t>根据监测结果可知，本项目周边环境敏感点声环境可满足《声环境质量标准》（GB3096-2008）中2类标准要求。</w:t>
            </w:r>
          </w:p>
          <w:p w14:paraId="242238FB">
            <w:pPr>
              <w:spacing w:line="360" w:lineRule="auto"/>
              <w:ind w:firstLine="482" w:firstLineChars="200"/>
              <w:jc w:val="left"/>
              <w:rPr>
                <w:rFonts w:hint="default" w:ascii="Times New Roman" w:hAnsi="Times New Roman" w:eastAsia="宋体" w:cs="Times New Roman"/>
                <w:b/>
                <w:sz w:val="24"/>
                <w:szCs w:val="24"/>
                <w:u w:val="none" w:color="auto"/>
              </w:rPr>
            </w:pPr>
            <w:r>
              <w:rPr>
                <w:rFonts w:hint="default" w:ascii="Times New Roman" w:hAnsi="Times New Roman" w:eastAsia="宋体" w:cs="Times New Roman"/>
                <w:b/>
                <w:sz w:val="24"/>
                <w:szCs w:val="24"/>
                <w:u w:val="none" w:color="auto"/>
                <w:lang w:val="en-US" w:eastAsia="zh-CN"/>
              </w:rPr>
              <w:t>3.4</w:t>
            </w:r>
            <w:r>
              <w:rPr>
                <w:rFonts w:hint="default" w:ascii="Times New Roman" w:hAnsi="Times New Roman" w:eastAsia="宋体" w:cs="Times New Roman"/>
                <w:b/>
                <w:sz w:val="24"/>
                <w:szCs w:val="24"/>
                <w:u w:val="none" w:color="auto"/>
              </w:rPr>
              <w:t>生态环境</w:t>
            </w:r>
          </w:p>
          <w:p w14:paraId="41D2F05F">
            <w:pPr>
              <w:widowControl/>
              <w:spacing w:line="360" w:lineRule="auto"/>
              <w:ind w:firstLine="480" w:firstLineChars="200"/>
              <w:jc w:val="both"/>
              <w:rPr>
                <w:rFonts w:hint="default" w:ascii="Times New Roman" w:hAnsi="Times New Roman" w:eastAsia="宋体" w:cs="Times New Roman"/>
                <w:kern w:val="0"/>
                <w:szCs w:val="21"/>
              </w:rPr>
            </w:pPr>
            <w:r>
              <w:rPr>
                <w:rFonts w:hint="default" w:ascii="Times New Roman" w:hAnsi="Times New Roman" w:cs="Times New Roman"/>
                <w:kern w:val="0"/>
                <w:sz w:val="24"/>
              </w:rPr>
              <w:t>区域地带性植物类型为亚热带常绿阔叶林，受人类活动和项目区立地条件影响，项目</w:t>
            </w:r>
            <w:r>
              <w:rPr>
                <w:rFonts w:hint="eastAsia" w:ascii="Times New Roman" w:hAnsi="Times New Roman" w:cs="Times New Roman"/>
                <w:kern w:val="0"/>
                <w:sz w:val="24"/>
                <w:lang w:eastAsia="zh-CN"/>
              </w:rPr>
              <w:t>属于改扩建</w:t>
            </w:r>
            <w:r>
              <w:rPr>
                <w:rFonts w:hint="default" w:ascii="Times New Roman" w:hAnsi="Times New Roman" w:cs="Times New Roman"/>
                <w:kern w:val="0"/>
                <w:sz w:val="24"/>
              </w:rPr>
              <w:t>，周边存在少量的人工林地，无生态环境保护目标。</w:t>
            </w:r>
          </w:p>
          <w:p w14:paraId="08E58929">
            <w:pPr>
              <w:spacing w:line="360" w:lineRule="auto"/>
              <w:ind w:firstLine="482" w:firstLineChars="200"/>
              <w:jc w:val="left"/>
              <w:rPr>
                <w:rFonts w:hint="default" w:ascii="Times New Roman" w:hAnsi="Times New Roman" w:eastAsia="宋体" w:cs="Times New Roman"/>
                <w:b/>
                <w:sz w:val="24"/>
                <w:szCs w:val="24"/>
                <w:u w:val="none" w:color="auto"/>
                <w:lang w:eastAsia="zh-CN"/>
              </w:rPr>
            </w:pPr>
            <w:r>
              <w:rPr>
                <w:rFonts w:hint="default" w:ascii="Times New Roman" w:hAnsi="Times New Roman" w:eastAsia="宋体" w:cs="Times New Roman"/>
                <w:b/>
                <w:sz w:val="24"/>
                <w:szCs w:val="24"/>
                <w:u w:val="none" w:color="auto"/>
                <w:lang w:val="en-US" w:eastAsia="zh-CN"/>
              </w:rPr>
              <w:t>3.5</w:t>
            </w:r>
            <w:r>
              <w:rPr>
                <w:rFonts w:hint="default" w:ascii="Times New Roman" w:hAnsi="Times New Roman" w:eastAsia="宋体" w:cs="Times New Roman"/>
                <w:b/>
                <w:sz w:val="24"/>
                <w:szCs w:val="24"/>
                <w:u w:val="none" w:color="auto"/>
              </w:rPr>
              <w:t>地下水</w:t>
            </w:r>
            <w:r>
              <w:rPr>
                <w:rFonts w:hint="default" w:ascii="Times New Roman" w:hAnsi="Times New Roman" w:eastAsia="宋体" w:cs="Times New Roman"/>
                <w:b/>
                <w:sz w:val="24"/>
                <w:szCs w:val="24"/>
                <w:u w:val="none" w:color="auto"/>
                <w:lang w:eastAsia="zh-CN"/>
              </w:rPr>
              <w:t>与土壤环境</w:t>
            </w:r>
          </w:p>
          <w:p w14:paraId="3F68AE12">
            <w:pPr>
              <w:pStyle w:val="95"/>
              <w:rPr>
                <w:rFonts w:hint="default" w:ascii="Times New Roman" w:hAnsi="Times New Roman" w:cs="Times New Roman"/>
                <w:bCs/>
                <w:u w:val="none" w:color="auto"/>
              </w:rPr>
            </w:pPr>
            <w:r>
              <w:rPr>
                <w:rFonts w:hint="default" w:ascii="Times New Roman" w:hAnsi="Times New Roman" w:eastAsia="宋体" w:cs="Times New Roman"/>
                <w:sz w:val="24"/>
                <w:szCs w:val="28"/>
                <w:u w:val="none" w:color="auto"/>
              </w:rPr>
              <w:t>根据《建设项目环境影响报告表编制技术指南（污染影响类）（试行）》，原则上本项目可不开展土壤、地下水环境现状调查。</w:t>
            </w:r>
          </w:p>
        </w:tc>
      </w:tr>
      <w:tr w14:paraId="4706EE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68" w:hRule="atLeast"/>
          <w:jc w:val="center"/>
        </w:trPr>
        <w:tc>
          <w:tcPr>
            <w:tcW w:w="388" w:type="pct"/>
            <w:vAlign w:val="center"/>
          </w:tcPr>
          <w:p w14:paraId="2E8EB94C">
            <w:pPr>
              <w:jc w:val="center"/>
              <w:rPr>
                <w:rFonts w:hint="default" w:ascii="Times New Roman" w:hAnsi="Times New Roman" w:cs="Times New Roman"/>
                <w:kern w:val="0"/>
              </w:rPr>
            </w:pPr>
            <w:r>
              <w:rPr>
                <w:rFonts w:hint="default" w:ascii="Times New Roman" w:hAnsi="Times New Roman" w:cs="Times New Roman"/>
                <w:kern w:val="0"/>
              </w:rPr>
              <w:t>环境</w:t>
            </w:r>
          </w:p>
          <w:p w14:paraId="041E7D8E">
            <w:pPr>
              <w:jc w:val="center"/>
              <w:rPr>
                <w:rFonts w:hint="default" w:ascii="Times New Roman" w:hAnsi="Times New Roman" w:cs="Times New Roman"/>
                <w:kern w:val="0"/>
              </w:rPr>
            </w:pPr>
            <w:r>
              <w:rPr>
                <w:rFonts w:hint="default" w:ascii="Times New Roman" w:hAnsi="Times New Roman" w:cs="Times New Roman"/>
                <w:kern w:val="0"/>
              </w:rPr>
              <w:t>保护</w:t>
            </w:r>
          </w:p>
          <w:p w14:paraId="46DF351B">
            <w:pPr>
              <w:jc w:val="center"/>
              <w:rPr>
                <w:rFonts w:hint="default" w:ascii="Times New Roman" w:hAnsi="Times New Roman" w:cs="Times New Roman"/>
                <w:kern w:val="0"/>
              </w:rPr>
            </w:pPr>
            <w:r>
              <w:rPr>
                <w:rFonts w:hint="default" w:ascii="Times New Roman" w:hAnsi="Times New Roman" w:cs="Times New Roman"/>
                <w:kern w:val="0"/>
              </w:rPr>
              <w:t>目标</w:t>
            </w:r>
          </w:p>
        </w:tc>
        <w:tc>
          <w:tcPr>
            <w:tcW w:w="4611" w:type="pct"/>
            <w:vAlign w:val="center"/>
          </w:tcPr>
          <w:p w14:paraId="378CEA2A">
            <w:pPr>
              <w:spacing w:line="360" w:lineRule="auto"/>
              <w:ind w:firstLine="482" w:firstLineChars="200"/>
              <w:jc w:val="left"/>
              <w:rPr>
                <w:rFonts w:hint="default" w:ascii="Times New Roman" w:hAnsi="Times New Roman" w:eastAsia="宋体" w:cs="Times New Roman"/>
                <w:b/>
                <w:sz w:val="24"/>
                <w:szCs w:val="24"/>
                <w:u w:val="none" w:color="auto"/>
                <w:lang w:val="en-US" w:eastAsia="zh-CN"/>
              </w:rPr>
            </w:pPr>
            <w:r>
              <w:rPr>
                <w:rFonts w:hint="default" w:ascii="Times New Roman" w:hAnsi="Times New Roman" w:eastAsia="宋体" w:cs="Times New Roman"/>
                <w:b/>
                <w:sz w:val="24"/>
                <w:szCs w:val="24"/>
                <w:u w:val="none" w:color="auto"/>
                <w:lang w:val="en-US" w:eastAsia="zh-CN"/>
              </w:rPr>
              <w:t>3.6主要环境保护目标（列出名单及保护级别）</w:t>
            </w:r>
          </w:p>
          <w:p w14:paraId="65348107">
            <w:pPr>
              <w:pStyle w:val="20"/>
              <w:spacing w:line="360" w:lineRule="auto"/>
              <w:rPr>
                <w:rFonts w:hint="default" w:ascii="Times New Roman" w:hAnsi="Times New Roman" w:eastAsia="宋体" w:cs="Times New Roman"/>
                <w:b/>
                <w:bCs/>
                <w:sz w:val="24"/>
                <w:szCs w:val="24"/>
                <w:u w:val="none"/>
              </w:rPr>
            </w:pPr>
            <w:r>
              <w:rPr>
                <w:rFonts w:hint="default" w:ascii="Times New Roman" w:hAnsi="Times New Roman" w:eastAsia="宋体" w:cs="Times New Roman"/>
                <w:b/>
                <w:bCs/>
                <w:sz w:val="24"/>
                <w:szCs w:val="24"/>
                <w:u w:val="none"/>
              </w:rPr>
              <w:t>表3.5  环境保护目标</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206"/>
              <w:gridCol w:w="2"/>
              <w:gridCol w:w="1107"/>
              <w:gridCol w:w="2"/>
              <w:gridCol w:w="1195"/>
              <w:gridCol w:w="896"/>
              <w:gridCol w:w="751"/>
              <w:gridCol w:w="2"/>
              <w:gridCol w:w="928"/>
              <w:gridCol w:w="1909"/>
            </w:tblGrid>
            <w:tr w14:paraId="770F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Merge w:val="restart"/>
                  <w:vAlign w:val="center"/>
                </w:tcPr>
                <w:p w14:paraId="35EACCE0">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环境要素</w:t>
                  </w:r>
                </w:p>
              </w:tc>
              <w:tc>
                <w:tcPr>
                  <w:tcW w:w="1293" w:type="pct"/>
                  <w:gridSpan w:val="4"/>
                  <w:vAlign w:val="center"/>
                </w:tcPr>
                <w:p w14:paraId="6A8BA4DF">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坐标</w:t>
                  </w:r>
                </w:p>
              </w:tc>
              <w:tc>
                <w:tcPr>
                  <w:tcW w:w="667" w:type="pct"/>
                  <w:vMerge w:val="restart"/>
                  <w:vAlign w:val="center"/>
                </w:tcPr>
                <w:p w14:paraId="2A06F0EC">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环境保护目标</w:t>
                  </w:r>
                </w:p>
              </w:tc>
              <w:tc>
                <w:tcPr>
                  <w:tcW w:w="500" w:type="pct"/>
                  <w:vMerge w:val="restart"/>
                  <w:vAlign w:val="center"/>
                </w:tcPr>
                <w:p w14:paraId="44EB3AB0">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保护内容</w:t>
                  </w:r>
                </w:p>
              </w:tc>
              <w:tc>
                <w:tcPr>
                  <w:tcW w:w="420" w:type="pct"/>
                  <w:gridSpan w:val="2"/>
                  <w:vMerge w:val="restart"/>
                  <w:vAlign w:val="center"/>
                </w:tcPr>
                <w:p w14:paraId="2BC84333">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相对方位</w:t>
                  </w:r>
                </w:p>
              </w:tc>
              <w:tc>
                <w:tcPr>
                  <w:tcW w:w="518" w:type="pct"/>
                  <w:vMerge w:val="restart"/>
                  <w:vAlign w:val="center"/>
                </w:tcPr>
                <w:p w14:paraId="00A0C505">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相对厂界距离/m</w:t>
                  </w:r>
                </w:p>
              </w:tc>
              <w:tc>
                <w:tcPr>
                  <w:tcW w:w="1065" w:type="pct"/>
                  <w:vMerge w:val="restart"/>
                  <w:vAlign w:val="center"/>
                </w:tcPr>
                <w:p w14:paraId="3E8A2F71">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保护级别或要求</w:t>
                  </w:r>
                </w:p>
              </w:tc>
            </w:tr>
            <w:tr w14:paraId="38CC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Merge w:val="continue"/>
                  <w:vAlign w:val="center"/>
                </w:tcPr>
                <w:p w14:paraId="3AD6C986">
                  <w:pPr>
                    <w:pStyle w:val="100"/>
                    <w:spacing w:after="0" w:line="240" w:lineRule="auto"/>
                    <w:ind w:firstLine="0" w:firstLineChars="0"/>
                    <w:jc w:val="center"/>
                    <w:rPr>
                      <w:rFonts w:hint="default" w:ascii="Times New Roman" w:hAnsi="Times New Roman" w:cs="Times New Roman"/>
                      <w:sz w:val="21"/>
                      <w:szCs w:val="21"/>
                      <w:u w:val="single" w:color="auto"/>
                    </w:rPr>
                  </w:pPr>
                </w:p>
              </w:tc>
              <w:tc>
                <w:tcPr>
                  <w:tcW w:w="674" w:type="pct"/>
                  <w:gridSpan w:val="2"/>
                  <w:vAlign w:val="center"/>
                </w:tcPr>
                <w:p w14:paraId="452A180B">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经度</w:t>
                  </w:r>
                </w:p>
              </w:tc>
              <w:tc>
                <w:tcPr>
                  <w:tcW w:w="619" w:type="pct"/>
                  <w:gridSpan w:val="2"/>
                  <w:vAlign w:val="center"/>
                </w:tcPr>
                <w:p w14:paraId="1440C853">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纬度</w:t>
                  </w:r>
                </w:p>
              </w:tc>
              <w:tc>
                <w:tcPr>
                  <w:tcW w:w="667" w:type="pct"/>
                  <w:vMerge w:val="continue"/>
                  <w:vAlign w:val="center"/>
                </w:tcPr>
                <w:p w14:paraId="01EA47F9">
                  <w:pPr>
                    <w:pStyle w:val="100"/>
                    <w:spacing w:after="0" w:line="240" w:lineRule="auto"/>
                    <w:ind w:firstLine="0" w:firstLineChars="0"/>
                    <w:jc w:val="center"/>
                    <w:rPr>
                      <w:rFonts w:hint="default" w:ascii="Times New Roman" w:hAnsi="Times New Roman" w:cs="Times New Roman"/>
                      <w:sz w:val="21"/>
                      <w:szCs w:val="21"/>
                      <w:u w:val="single" w:color="auto"/>
                    </w:rPr>
                  </w:pPr>
                </w:p>
              </w:tc>
              <w:tc>
                <w:tcPr>
                  <w:tcW w:w="500" w:type="pct"/>
                  <w:vMerge w:val="continue"/>
                  <w:vAlign w:val="center"/>
                </w:tcPr>
                <w:p w14:paraId="00DFBFFC">
                  <w:pPr>
                    <w:pStyle w:val="100"/>
                    <w:spacing w:after="0" w:line="240" w:lineRule="auto"/>
                    <w:ind w:firstLine="0" w:firstLineChars="0"/>
                    <w:jc w:val="center"/>
                    <w:rPr>
                      <w:rFonts w:hint="default" w:ascii="Times New Roman" w:hAnsi="Times New Roman" w:cs="Times New Roman"/>
                      <w:sz w:val="21"/>
                      <w:szCs w:val="21"/>
                      <w:u w:val="single" w:color="auto"/>
                    </w:rPr>
                  </w:pPr>
                </w:p>
              </w:tc>
              <w:tc>
                <w:tcPr>
                  <w:tcW w:w="420" w:type="pct"/>
                  <w:gridSpan w:val="2"/>
                  <w:vMerge w:val="continue"/>
                  <w:vAlign w:val="center"/>
                </w:tcPr>
                <w:p w14:paraId="4F295639">
                  <w:pPr>
                    <w:pStyle w:val="100"/>
                    <w:spacing w:after="0" w:line="240" w:lineRule="auto"/>
                    <w:ind w:firstLine="0" w:firstLineChars="0"/>
                    <w:jc w:val="center"/>
                    <w:rPr>
                      <w:rFonts w:hint="default" w:ascii="Times New Roman" w:hAnsi="Times New Roman" w:cs="Times New Roman"/>
                      <w:sz w:val="21"/>
                      <w:szCs w:val="21"/>
                      <w:u w:val="single" w:color="auto"/>
                    </w:rPr>
                  </w:pPr>
                </w:p>
              </w:tc>
              <w:tc>
                <w:tcPr>
                  <w:tcW w:w="518" w:type="pct"/>
                  <w:vMerge w:val="continue"/>
                  <w:vAlign w:val="center"/>
                </w:tcPr>
                <w:p w14:paraId="34377F72">
                  <w:pPr>
                    <w:pStyle w:val="100"/>
                    <w:spacing w:after="0" w:line="240" w:lineRule="auto"/>
                    <w:ind w:firstLine="0" w:firstLineChars="0"/>
                    <w:jc w:val="center"/>
                    <w:rPr>
                      <w:rFonts w:hint="default" w:ascii="Times New Roman" w:hAnsi="Times New Roman" w:cs="Times New Roman"/>
                      <w:sz w:val="21"/>
                      <w:szCs w:val="21"/>
                      <w:u w:val="single" w:color="auto"/>
                    </w:rPr>
                  </w:pPr>
                </w:p>
              </w:tc>
              <w:tc>
                <w:tcPr>
                  <w:tcW w:w="1065" w:type="pct"/>
                  <w:vMerge w:val="continue"/>
                  <w:vAlign w:val="center"/>
                </w:tcPr>
                <w:p w14:paraId="2BC868B2">
                  <w:pPr>
                    <w:pStyle w:val="100"/>
                    <w:spacing w:after="0" w:line="240" w:lineRule="auto"/>
                    <w:ind w:firstLine="0" w:firstLineChars="0"/>
                    <w:jc w:val="center"/>
                    <w:rPr>
                      <w:rFonts w:hint="default" w:ascii="Times New Roman" w:hAnsi="Times New Roman" w:cs="Times New Roman"/>
                      <w:sz w:val="21"/>
                      <w:szCs w:val="21"/>
                      <w:u w:val="single" w:color="auto"/>
                    </w:rPr>
                  </w:pPr>
                </w:p>
              </w:tc>
            </w:tr>
            <w:tr w14:paraId="7A25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Merge w:val="restart"/>
                  <w:vAlign w:val="center"/>
                </w:tcPr>
                <w:p w14:paraId="590DD143">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大气环境</w:t>
                  </w:r>
                </w:p>
              </w:tc>
              <w:tc>
                <w:tcPr>
                  <w:tcW w:w="674" w:type="pct"/>
                  <w:gridSpan w:val="2"/>
                  <w:vAlign w:val="center"/>
                </w:tcPr>
                <w:p w14:paraId="6FAC027E">
                  <w:pPr>
                    <w:spacing w:after="0" w:line="240" w:lineRule="auto"/>
                    <w:ind w:firstLine="0" w:firstLineChars="0"/>
                    <w:jc w:val="center"/>
                    <w:rPr>
                      <w:rFonts w:hint="default" w:ascii="Times New Roman" w:hAnsi="Times New Roman" w:eastAsia="宋体" w:cs="Times New Roman"/>
                      <w:sz w:val="21"/>
                      <w:szCs w:val="21"/>
                      <w:u w:val="single" w:color="auto"/>
                      <w:lang w:val="en-US" w:eastAsia="zh-CN"/>
                    </w:rPr>
                  </w:pPr>
                  <w:r>
                    <w:rPr>
                      <w:rFonts w:hint="default" w:ascii="Times New Roman" w:hAnsi="Times New Roman" w:cs="Times New Roman"/>
                      <w:u w:val="single" w:color="auto"/>
                    </w:rPr>
                    <w:t>112.23789</w:t>
                  </w:r>
                  <w:r>
                    <w:rPr>
                      <w:rFonts w:hint="default" w:ascii="Times New Roman" w:hAnsi="Times New Roman" w:cs="Times New Roman"/>
                      <w:u w:val="single" w:color="auto"/>
                      <w:lang w:val="en-US" w:eastAsia="zh-CN"/>
                    </w:rPr>
                    <w:t>4</w:t>
                  </w:r>
                </w:p>
              </w:tc>
              <w:tc>
                <w:tcPr>
                  <w:tcW w:w="619" w:type="pct"/>
                  <w:gridSpan w:val="2"/>
                  <w:vAlign w:val="center"/>
                </w:tcPr>
                <w:p w14:paraId="6FF93DCE">
                  <w:pPr>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u w:val="single" w:color="auto"/>
                    </w:rPr>
                    <w:t>25.879695</w:t>
                  </w:r>
                </w:p>
              </w:tc>
              <w:tc>
                <w:tcPr>
                  <w:tcW w:w="667" w:type="pct"/>
                  <w:vAlign w:val="center"/>
                </w:tcPr>
                <w:p w14:paraId="69C4C50B">
                  <w:pPr>
                    <w:pStyle w:val="100"/>
                    <w:spacing w:after="0" w:line="240" w:lineRule="auto"/>
                    <w:ind w:firstLine="0" w:firstLineChars="0"/>
                    <w:jc w:val="center"/>
                    <w:rPr>
                      <w:rFonts w:hint="default" w:ascii="Times New Roman" w:hAnsi="Times New Roman" w:eastAsia="宋体" w:cs="Times New Roman"/>
                      <w:sz w:val="21"/>
                      <w:szCs w:val="21"/>
                      <w:u w:val="single" w:color="auto"/>
                      <w:lang w:eastAsia="zh-CN"/>
                    </w:rPr>
                  </w:pPr>
                  <w:r>
                    <w:rPr>
                      <w:rFonts w:hint="default" w:ascii="Times New Roman" w:hAnsi="Times New Roman" w:cs="Times New Roman"/>
                      <w:sz w:val="21"/>
                      <w:szCs w:val="21"/>
                      <w:u w:val="single" w:color="auto"/>
                      <w:lang w:eastAsia="zh-CN"/>
                    </w:rPr>
                    <w:t>云梯岭村</w:t>
                  </w:r>
                </w:p>
              </w:tc>
              <w:tc>
                <w:tcPr>
                  <w:tcW w:w="500" w:type="pct"/>
                  <w:vAlign w:val="center"/>
                </w:tcPr>
                <w:p w14:paraId="012BB05C">
                  <w:pPr>
                    <w:adjustRightInd w:val="0"/>
                    <w:snapToGrid w:val="0"/>
                    <w:jc w:val="center"/>
                    <w:rPr>
                      <w:rFonts w:hint="default" w:ascii="Times New Roman" w:hAnsi="Times New Roman" w:cs="Times New Roman"/>
                      <w:sz w:val="21"/>
                      <w:szCs w:val="21"/>
                      <w:u w:val="single" w:color="auto"/>
                    </w:rPr>
                  </w:pPr>
                  <w:r>
                    <w:rPr>
                      <w:rFonts w:hint="default" w:ascii="Times New Roman" w:hAnsi="Times New Roman" w:cs="Times New Roman"/>
                      <w:szCs w:val="21"/>
                      <w:u w:val="single" w:color="auto"/>
                    </w:rPr>
                    <w:t>约</w:t>
                  </w:r>
                  <w:r>
                    <w:rPr>
                      <w:rFonts w:hint="default" w:ascii="Times New Roman" w:hAnsi="Times New Roman" w:cs="Times New Roman"/>
                      <w:szCs w:val="21"/>
                      <w:u w:val="single" w:color="auto"/>
                      <w:lang w:val="en-US" w:eastAsia="zh-CN"/>
                    </w:rPr>
                    <w:t>600</w:t>
                  </w:r>
                  <w:r>
                    <w:rPr>
                      <w:rFonts w:hint="default" w:ascii="Times New Roman" w:hAnsi="Times New Roman" w:cs="Times New Roman"/>
                      <w:szCs w:val="21"/>
                      <w:u w:val="single" w:color="auto"/>
                    </w:rPr>
                    <w:t>人</w:t>
                  </w:r>
                </w:p>
              </w:tc>
              <w:tc>
                <w:tcPr>
                  <w:tcW w:w="420" w:type="pct"/>
                  <w:gridSpan w:val="2"/>
                  <w:shd w:val="clear" w:color="auto" w:fill="auto"/>
                  <w:vAlign w:val="center"/>
                </w:tcPr>
                <w:p w14:paraId="4A639082">
                  <w:pPr>
                    <w:pStyle w:val="100"/>
                    <w:spacing w:after="0" w:line="240" w:lineRule="auto"/>
                    <w:ind w:firstLine="0" w:firstLineChars="0"/>
                    <w:jc w:val="center"/>
                    <w:rPr>
                      <w:rFonts w:hint="default" w:ascii="Times New Roman" w:hAnsi="Times New Roman" w:eastAsia="宋体" w:cs="Times New Roman"/>
                      <w:color w:val="000000" w:themeColor="text1"/>
                      <w:kern w:val="0"/>
                      <w:sz w:val="21"/>
                      <w:szCs w:val="21"/>
                      <w:u w:val="single" w:color="auto"/>
                      <w:lang w:val="en-US" w:eastAsia="zh-CN" w:bidi="ar-SA"/>
                      <w14:textFill>
                        <w14:solidFill>
                          <w14:schemeClr w14:val="tx1"/>
                        </w14:solidFill>
                      </w14:textFill>
                    </w:rPr>
                  </w:pPr>
                  <w:r>
                    <w:rPr>
                      <w:rFonts w:hint="default" w:ascii="Times New Roman" w:hAnsi="Times New Roman" w:cs="Times New Roman"/>
                      <w:sz w:val="21"/>
                      <w:szCs w:val="21"/>
                      <w:u w:val="single" w:color="auto"/>
                    </w:rPr>
                    <w:t>东侧</w:t>
                  </w:r>
                </w:p>
              </w:tc>
              <w:tc>
                <w:tcPr>
                  <w:tcW w:w="518" w:type="pct"/>
                  <w:shd w:val="clear" w:color="auto" w:fill="auto"/>
                  <w:vAlign w:val="center"/>
                </w:tcPr>
                <w:p w14:paraId="00115195">
                  <w:pPr>
                    <w:pStyle w:val="100"/>
                    <w:spacing w:after="0" w:line="240" w:lineRule="auto"/>
                    <w:ind w:firstLine="0" w:firstLineChars="0"/>
                    <w:jc w:val="center"/>
                    <w:rPr>
                      <w:rFonts w:hint="default" w:ascii="Times New Roman" w:hAnsi="Times New Roman" w:eastAsia="宋体" w:cs="Times New Roman"/>
                      <w:color w:val="000000" w:themeColor="text1"/>
                      <w:kern w:val="0"/>
                      <w:sz w:val="21"/>
                      <w:szCs w:val="21"/>
                      <w:u w:val="single" w:color="auto"/>
                      <w:lang w:val="en-US" w:eastAsia="zh-CN" w:bidi="ar-SA"/>
                      <w14:textFill>
                        <w14:solidFill>
                          <w14:schemeClr w14:val="tx1"/>
                        </w14:solidFill>
                      </w14:textFill>
                    </w:rPr>
                  </w:pPr>
                  <w:r>
                    <w:rPr>
                      <w:rFonts w:hint="eastAsia" w:cs="Times New Roman"/>
                      <w:sz w:val="21"/>
                      <w:szCs w:val="21"/>
                      <w:u w:val="single" w:color="auto"/>
                      <w:lang w:val="en-US" w:eastAsia="zh-CN"/>
                    </w:rPr>
                    <w:t>45</w:t>
                  </w:r>
                  <w:r>
                    <w:rPr>
                      <w:rFonts w:hint="default" w:ascii="Times New Roman" w:hAnsi="Times New Roman" w:cs="Times New Roman"/>
                      <w:sz w:val="21"/>
                      <w:szCs w:val="21"/>
                      <w:u w:val="single" w:color="auto"/>
                      <w:lang w:val="en-US" w:eastAsia="zh-CN"/>
                    </w:rPr>
                    <w:t>-500</w:t>
                  </w:r>
                </w:p>
              </w:tc>
              <w:tc>
                <w:tcPr>
                  <w:tcW w:w="1065" w:type="pct"/>
                  <w:vMerge w:val="restart"/>
                  <w:vAlign w:val="center"/>
                </w:tcPr>
                <w:p w14:paraId="391BD159">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《环境空气质量标准》（GB3095-2012）二级</w:t>
                  </w:r>
                </w:p>
              </w:tc>
            </w:tr>
            <w:tr w14:paraId="5A89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Merge w:val="continue"/>
                  <w:vAlign w:val="center"/>
                </w:tcPr>
                <w:p w14:paraId="5DCBBB98">
                  <w:pPr>
                    <w:pStyle w:val="100"/>
                    <w:spacing w:after="0" w:line="240" w:lineRule="auto"/>
                    <w:ind w:firstLine="0" w:firstLineChars="0"/>
                    <w:jc w:val="center"/>
                    <w:rPr>
                      <w:rFonts w:hint="default" w:ascii="Times New Roman" w:hAnsi="Times New Roman" w:cs="Times New Roman"/>
                      <w:sz w:val="21"/>
                      <w:szCs w:val="21"/>
                      <w:u w:val="single" w:color="auto"/>
                    </w:rPr>
                  </w:pPr>
                </w:p>
              </w:tc>
              <w:tc>
                <w:tcPr>
                  <w:tcW w:w="674" w:type="pct"/>
                  <w:gridSpan w:val="2"/>
                  <w:vAlign w:val="center"/>
                </w:tcPr>
                <w:p w14:paraId="1897058B">
                  <w:pPr>
                    <w:spacing w:after="0" w:line="240" w:lineRule="auto"/>
                    <w:ind w:firstLine="0" w:firstLineChars="0"/>
                    <w:jc w:val="center"/>
                    <w:rPr>
                      <w:rFonts w:hint="default" w:ascii="Times New Roman" w:hAnsi="Times New Roman" w:eastAsia="宋体" w:cs="Times New Roman"/>
                      <w:sz w:val="21"/>
                      <w:szCs w:val="21"/>
                      <w:u w:val="single" w:color="auto"/>
                      <w:lang w:val="en-US" w:eastAsia="zh-CN"/>
                    </w:rPr>
                  </w:pPr>
                  <w:r>
                    <w:rPr>
                      <w:rFonts w:hint="default" w:ascii="Times New Roman" w:hAnsi="Times New Roman" w:cs="Times New Roman"/>
                      <w:u w:val="single" w:color="auto"/>
                    </w:rPr>
                    <w:t>112.2340</w:t>
                  </w:r>
                  <w:r>
                    <w:rPr>
                      <w:rFonts w:hint="default" w:ascii="Times New Roman" w:hAnsi="Times New Roman" w:cs="Times New Roman"/>
                      <w:u w:val="single" w:color="auto"/>
                      <w:lang w:val="en-US" w:eastAsia="zh-CN"/>
                    </w:rPr>
                    <w:t>10</w:t>
                  </w:r>
                </w:p>
              </w:tc>
              <w:tc>
                <w:tcPr>
                  <w:tcW w:w="619" w:type="pct"/>
                  <w:gridSpan w:val="2"/>
                  <w:vAlign w:val="center"/>
                </w:tcPr>
                <w:p w14:paraId="61A830E1">
                  <w:pPr>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u w:val="single" w:color="auto"/>
                    </w:rPr>
                    <w:t>25.882034</w:t>
                  </w:r>
                </w:p>
              </w:tc>
              <w:tc>
                <w:tcPr>
                  <w:tcW w:w="667" w:type="pct"/>
                  <w:vAlign w:val="center"/>
                </w:tcPr>
                <w:p w14:paraId="39BA127A">
                  <w:pPr>
                    <w:pStyle w:val="100"/>
                    <w:spacing w:after="0" w:line="240" w:lineRule="auto"/>
                    <w:ind w:firstLine="0" w:firstLineChars="0"/>
                    <w:jc w:val="center"/>
                    <w:rPr>
                      <w:rFonts w:hint="default" w:ascii="Times New Roman" w:hAnsi="Times New Roman" w:eastAsia="宋体" w:cs="Times New Roman"/>
                      <w:sz w:val="21"/>
                      <w:szCs w:val="21"/>
                      <w:u w:val="single" w:color="auto"/>
                      <w:lang w:eastAsia="zh-CN"/>
                    </w:rPr>
                  </w:pPr>
                  <w:r>
                    <w:rPr>
                      <w:rFonts w:hint="default" w:ascii="Times New Roman" w:hAnsi="Times New Roman" w:cs="Times New Roman"/>
                      <w:sz w:val="21"/>
                      <w:szCs w:val="21"/>
                      <w:u w:val="single" w:color="auto"/>
                      <w:lang w:eastAsia="zh-CN"/>
                    </w:rPr>
                    <w:t>上车村</w:t>
                  </w:r>
                </w:p>
              </w:tc>
              <w:tc>
                <w:tcPr>
                  <w:tcW w:w="500" w:type="pct"/>
                  <w:vAlign w:val="center"/>
                </w:tcPr>
                <w:p w14:paraId="1879DC80">
                  <w:pPr>
                    <w:adjustRightInd w:val="0"/>
                    <w:snapToGrid w:val="0"/>
                    <w:jc w:val="center"/>
                    <w:rPr>
                      <w:rFonts w:hint="default" w:ascii="Times New Roman" w:hAnsi="Times New Roman" w:cs="Times New Roman"/>
                      <w:sz w:val="21"/>
                      <w:szCs w:val="21"/>
                      <w:u w:val="single" w:color="auto"/>
                    </w:rPr>
                  </w:pPr>
                  <w:r>
                    <w:rPr>
                      <w:rFonts w:hint="default" w:ascii="Times New Roman" w:hAnsi="Times New Roman" w:cs="Times New Roman"/>
                      <w:szCs w:val="21"/>
                      <w:u w:val="single" w:color="auto"/>
                    </w:rPr>
                    <w:t>约</w:t>
                  </w:r>
                  <w:r>
                    <w:rPr>
                      <w:rFonts w:hint="default" w:ascii="Times New Roman" w:hAnsi="Times New Roman" w:cs="Times New Roman"/>
                      <w:szCs w:val="21"/>
                      <w:u w:val="single" w:color="auto"/>
                      <w:lang w:val="en-US" w:eastAsia="zh-CN"/>
                    </w:rPr>
                    <w:t>120</w:t>
                  </w:r>
                  <w:r>
                    <w:rPr>
                      <w:rFonts w:hint="default" w:ascii="Times New Roman" w:hAnsi="Times New Roman" w:cs="Times New Roman"/>
                      <w:szCs w:val="21"/>
                      <w:u w:val="single" w:color="auto"/>
                    </w:rPr>
                    <w:t>人</w:t>
                  </w:r>
                </w:p>
              </w:tc>
              <w:tc>
                <w:tcPr>
                  <w:tcW w:w="420" w:type="pct"/>
                  <w:gridSpan w:val="2"/>
                  <w:vAlign w:val="center"/>
                </w:tcPr>
                <w:p w14:paraId="35F78F71">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eastAsia" w:ascii="Times New Roman" w:hAnsi="Times New Roman" w:cs="Times New Roman"/>
                      <w:sz w:val="21"/>
                      <w:szCs w:val="21"/>
                      <w:u w:val="single" w:color="auto"/>
                      <w:lang w:eastAsia="zh-CN"/>
                    </w:rPr>
                    <w:t>西北</w:t>
                  </w:r>
                  <w:r>
                    <w:rPr>
                      <w:rFonts w:hint="default" w:ascii="Times New Roman" w:hAnsi="Times New Roman" w:cs="Times New Roman"/>
                      <w:sz w:val="21"/>
                      <w:szCs w:val="21"/>
                      <w:u w:val="single" w:color="auto"/>
                    </w:rPr>
                    <w:t>侧</w:t>
                  </w:r>
                </w:p>
              </w:tc>
              <w:tc>
                <w:tcPr>
                  <w:tcW w:w="518" w:type="pct"/>
                  <w:vAlign w:val="center"/>
                </w:tcPr>
                <w:p w14:paraId="17249317">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lang w:val="en-US" w:eastAsia="zh-CN"/>
                    </w:rPr>
                    <w:t>1</w:t>
                  </w:r>
                  <w:r>
                    <w:rPr>
                      <w:rFonts w:hint="eastAsia" w:cs="Times New Roman"/>
                      <w:sz w:val="21"/>
                      <w:szCs w:val="21"/>
                      <w:u w:val="single" w:color="auto"/>
                      <w:lang w:val="en-US" w:eastAsia="zh-CN"/>
                    </w:rPr>
                    <w:t>15</w:t>
                  </w:r>
                  <w:r>
                    <w:rPr>
                      <w:rFonts w:hint="default" w:ascii="Times New Roman" w:hAnsi="Times New Roman" w:cs="Times New Roman"/>
                      <w:sz w:val="21"/>
                      <w:szCs w:val="21"/>
                      <w:u w:val="single" w:color="auto"/>
                      <w:lang w:val="en-US" w:eastAsia="zh-CN"/>
                    </w:rPr>
                    <w:t>-500</w:t>
                  </w:r>
                </w:p>
              </w:tc>
              <w:tc>
                <w:tcPr>
                  <w:tcW w:w="1065" w:type="pct"/>
                  <w:vMerge w:val="continue"/>
                  <w:vAlign w:val="center"/>
                </w:tcPr>
                <w:p w14:paraId="2287CA6D">
                  <w:pPr>
                    <w:pStyle w:val="100"/>
                    <w:spacing w:after="0" w:line="240" w:lineRule="auto"/>
                    <w:ind w:firstLine="0" w:firstLineChars="0"/>
                    <w:jc w:val="center"/>
                    <w:rPr>
                      <w:rFonts w:hint="default" w:ascii="Times New Roman" w:hAnsi="Times New Roman" w:cs="Times New Roman"/>
                      <w:sz w:val="21"/>
                      <w:szCs w:val="21"/>
                      <w:u w:val="single" w:color="auto"/>
                    </w:rPr>
                  </w:pPr>
                </w:p>
              </w:tc>
            </w:tr>
            <w:tr w14:paraId="6350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Merge w:val="restart"/>
                  <w:vAlign w:val="center"/>
                </w:tcPr>
                <w:p w14:paraId="208EC231">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地表水</w:t>
                  </w:r>
                </w:p>
              </w:tc>
              <w:tc>
                <w:tcPr>
                  <w:tcW w:w="673" w:type="pct"/>
                  <w:vAlign w:val="center"/>
                </w:tcPr>
                <w:p w14:paraId="0DAF826C">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w:t>
                  </w:r>
                </w:p>
              </w:tc>
              <w:tc>
                <w:tcPr>
                  <w:tcW w:w="619" w:type="pct"/>
                  <w:gridSpan w:val="2"/>
                  <w:vAlign w:val="center"/>
                </w:tcPr>
                <w:p w14:paraId="046DA59E">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w:t>
                  </w:r>
                </w:p>
              </w:tc>
              <w:tc>
                <w:tcPr>
                  <w:tcW w:w="668" w:type="pct"/>
                  <w:gridSpan w:val="2"/>
                  <w:vAlign w:val="center"/>
                </w:tcPr>
                <w:p w14:paraId="6B916172">
                  <w:pPr>
                    <w:pStyle w:val="100"/>
                    <w:spacing w:after="0" w:line="240" w:lineRule="auto"/>
                    <w:ind w:firstLine="0" w:firstLineChars="0"/>
                    <w:jc w:val="center"/>
                    <w:rPr>
                      <w:rFonts w:hint="default" w:ascii="Times New Roman" w:hAnsi="Times New Roman" w:eastAsia="宋体" w:cs="Times New Roman"/>
                      <w:sz w:val="21"/>
                      <w:szCs w:val="21"/>
                      <w:u w:val="single" w:color="auto"/>
                      <w:lang w:eastAsia="zh-CN"/>
                    </w:rPr>
                  </w:pPr>
                  <w:r>
                    <w:rPr>
                      <w:rFonts w:hint="default" w:ascii="Times New Roman" w:hAnsi="Times New Roman" w:cs="Times New Roman"/>
                      <w:sz w:val="21"/>
                      <w:szCs w:val="21"/>
                      <w:u w:val="single" w:color="auto"/>
                      <w:lang w:eastAsia="zh-CN"/>
                    </w:rPr>
                    <w:t>无名小河</w:t>
                  </w:r>
                </w:p>
              </w:tc>
              <w:tc>
                <w:tcPr>
                  <w:tcW w:w="500" w:type="pct"/>
                  <w:vMerge w:val="restart"/>
                  <w:vAlign w:val="center"/>
                </w:tcPr>
                <w:p w14:paraId="028EE43C">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农业用水</w:t>
                  </w:r>
                </w:p>
              </w:tc>
              <w:tc>
                <w:tcPr>
                  <w:tcW w:w="419" w:type="pct"/>
                  <w:vAlign w:val="center"/>
                </w:tcPr>
                <w:p w14:paraId="3C344F82">
                  <w:pPr>
                    <w:pStyle w:val="100"/>
                    <w:spacing w:after="0" w:line="240" w:lineRule="auto"/>
                    <w:ind w:firstLine="0" w:firstLineChars="0"/>
                    <w:jc w:val="center"/>
                    <w:rPr>
                      <w:rFonts w:hint="default" w:ascii="Times New Roman" w:hAnsi="Times New Roman" w:eastAsia="宋体" w:cs="Times New Roman"/>
                      <w:sz w:val="21"/>
                      <w:szCs w:val="21"/>
                      <w:u w:val="single" w:color="auto"/>
                      <w:lang w:eastAsia="zh-CN"/>
                    </w:rPr>
                  </w:pPr>
                  <w:r>
                    <w:rPr>
                      <w:rFonts w:hint="default" w:ascii="Times New Roman" w:hAnsi="Times New Roman" w:cs="Times New Roman"/>
                      <w:sz w:val="21"/>
                      <w:szCs w:val="21"/>
                      <w:u w:val="single" w:color="auto"/>
                      <w:lang w:eastAsia="zh-CN"/>
                    </w:rPr>
                    <w:t>东侧</w:t>
                  </w:r>
                </w:p>
              </w:tc>
              <w:tc>
                <w:tcPr>
                  <w:tcW w:w="519" w:type="pct"/>
                  <w:gridSpan w:val="2"/>
                  <w:vAlign w:val="center"/>
                </w:tcPr>
                <w:p w14:paraId="0A806D35">
                  <w:pPr>
                    <w:pStyle w:val="100"/>
                    <w:spacing w:after="0" w:line="240" w:lineRule="auto"/>
                    <w:ind w:firstLine="0" w:firstLineChars="0"/>
                    <w:jc w:val="center"/>
                    <w:rPr>
                      <w:rFonts w:hint="default" w:ascii="Times New Roman" w:hAnsi="Times New Roman" w:eastAsia="宋体" w:cs="Times New Roman"/>
                      <w:sz w:val="21"/>
                      <w:szCs w:val="21"/>
                      <w:u w:val="single" w:color="auto"/>
                      <w:lang w:val="en-US" w:eastAsia="zh-CN"/>
                    </w:rPr>
                  </w:pPr>
                  <w:r>
                    <w:rPr>
                      <w:rFonts w:hint="default" w:ascii="Times New Roman" w:hAnsi="Times New Roman" w:cs="Times New Roman"/>
                      <w:sz w:val="21"/>
                      <w:szCs w:val="21"/>
                      <w:u w:val="single" w:color="auto"/>
                      <w:lang w:val="en-US" w:eastAsia="zh-CN"/>
                    </w:rPr>
                    <w:t>20</w:t>
                  </w:r>
                </w:p>
              </w:tc>
              <w:tc>
                <w:tcPr>
                  <w:tcW w:w="1065" w:type="pct"/>
                  <w:vMerge w:val="restart"/>
                  <w:vAlign w:val="center"/>
                </w:tcPr>
                <w:p w14:paraId="025F7514">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《地表水环境质量标准》（GB3838-2002）中Ⅲ类标准</w:t>
                  </w:r>
                </w:p>
              </w:tc>
            </w:tr>
            <w:tr w14:paraId="7211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Merge w:val="continue"/>
                  <w:vAlign w:val="center"/>
                </w:tcPr>
                <w:p w14:paraId="562952A3">
                  <w:pPr>
                    <w:pStyle w:val="100"/>
                    <w:spacing w:after="0" w:line="240" w:lineRule="auto"/>
                    <w:ind w:firstLine="0" w:firstLineChars="0"/>
                    <w:jc w:val="center"/>
                    <w:rPr>
                      <w:rFonts w:hint="default" w:ascii="Times New Roman" w:hAnsi="Times New Roman" w:cs="Times New Roman"/>
                      <w:sz w:val="21"/>
                      <w:szCs w:val="21"/>
                      <w:u w:val="single" w:color="auto"/>
                    </w:rPr>
                  </w:pPr>
                </w:p>
              </w:tc>
              <w:tc>
                <w:tcPr>
                  <w:tcW w:w="673" w:type="pct"/>
                  <w:vAlign w:val="center"/>
                </w:tcPr>
                <w:p w14:paraId="1533E12A">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w:t>
                  </w:r>
                </w:p>
              </w:tc>
              <w:tc>
                <w:tcPr>
                  <w:tcW w:w="619" w:type="pct"/>
                  <w:gridSpan w:val="2"/>
                  <w:vAlign w:val="center"/>
                </w:tcPr>
                <w:p w14:paraId="3E9A7905">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w:t>
                  </w:r>
                </w:p>
              </w:tc>
              <w:tc>
                <w:tcPr>
                  <w:tcW w:w="668" w:type="pct"/>
                  <w:gridSpan w:val="2"/>
                  <w:vAlign w:val="center"/>
                </w:tcPr>
                <w:p w14:paraId="44290EB4">
                  <w:pPr>
                    <w:pStyle w:val="100"/>
                    <w:spacing w:after="0" w:line="240" w:lineRule="auto"/>
                    <w:ind w:firstLine="0" w:firstLineChars="0"/>
                    <w:jc w:val="center"/>
                    <w:rPr>
                      <w:rFonts w:hint="default" w:ascii="Times New Roman" w:hAnsi="Times New Roman" w:cs="Times New Roman"/>
                      <w:sz w:val="21"/>
                      <w:szCs w:val="21"/>
                      <w:u w:val="single" w:color="auto"/>
                      <w:lang w:eastAsia="zh-CN"/>
                    </w:rPr>
                  </w:pPr>
                  <w:r>
                    <w:rPr>
                      <w:rFonts w:hint="eastAsia" w:ascii="Times New Roman" w:hAnsi="Times New Roman" w:cs="Times New Roman"/>
                      <w:sz w:val="21"/>
                      <w:szCs w:val="21"/>
                      <w:u w:val="single" w:color="auto"/>
                      <w:lang w:eastAsia="zh-CN"/>
                    </w:rPr>
                    <w:t>木田埂水库</w:t>
                  </w:r>
                </w:p>
              </w:tc>
              <w:tc>
                <w:tcPr>
                  <w:tcW w:w="500" w:type="pct"/>
                  <w:vMerge w:val="continue"/>
                  <w:vAlign w:val="center"/>
                </w:tcPr>
                <w:p w14:paraId="0E9D2B8F">
                  <w:pPr>
                    <w:pStyle w:val="100"/>
                    <w:spacing w:after="0" w:line="240" w:lineRule="auto"/>
                    <w:ind w:firstLine="0" w:firstLineChars="0"/>
                    <w:jc w:val="center"/>
                    <w:rPr>
                      <w:rFonts w:hint="default" w:ascii="Times New Roman" w:hAnsi="Times New Roman" w:cs="Times New Roman"/>
                      <w:sz w:val="21"/>
                      <w:szCs w:val="21"/>
                      <w:u w:val="single" w:color="auto"/>
                    </w:rPr>
                  </w:pPr>
                </w:p>
              </w:tc>
              <w:tc>
                <w:tcPr>
                  <w:tcW w:w="419" w:type="pct"/>
                  <w:vAlign w:val="center"/>
                </w:tcPr>
                <w:p w14:paraId="4A6E2F38">
                  <w:pPr>
                    <w:pStyle w:val="100"/>
                    <w:spacing w:after="0" w:line="240" w:lineRule="auto"/>
                    <w:ind w:firstLine="0" w:firstLineChars="0"/>
                    <w:jc w:val="center"/>
                    <w:rPr>
                      <w:rFonts w:hint="default" w:ascii="Times New Roman" w:hAnsi="Times New Roman" w:cs="Times New Roman"/>
                      <w:sz w:val="21"/>
                      <w:szCs w:val="21"/>
                      <w:u w:val="single" w:color="auto"/>
                      <w:lang w:eastAsia="zh-CN"/>
                    </w:rPr>
                  </w:pPr>
                  <w:r>
                    <w:rPr>
                      <w:rFonts w:hint="eastAsia" w:ascii="Times New Roman" w:hAnsi="Times New Roman" w:cs="Times New Roman"/>
                      <w:sz w:val="21"/>
                      <w:szCs w:val="21"/>
                      <w:u w:val="single" w:color="auto"/>
                      <w:lang w:eastAsia="zh-CN"/>
                    </w:rPr>
                    <w:t>东北侧</w:t>
                  </w:r>
                </w:p>
              </w:tc>
              <w:tc>
                <w:tcPr>
                  <w:tcW w:w="519" w:type="pct"/>
                  <w:gridSpan w:val="2"/>
                  <w:vAlign w:val="center"/>
                </w:tcPr>
                <w:p w14:paraId="617FBB9B">
                  <w:pPr>
                    <w:pStyle w:val="100"/>
                    <w:spacing w:after="0" w:line="240" w:lineRule="auto"/>
                    <w:ind w:firstLine="0" w:firstLineChars="0"/>
                    <w:jc w:val="center"/>
                    <w:rPr>
                      <w:rFonts w:hint="default" w:ascii="Times New Roman" w:hAnsi="Times New Roman" w:eastAsia="宋体"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540</w:t>
                  </w:r>
                </w:p>
              </w:tc>
              <w:tc>
                <w:tcPr>
                  <w:tcW w:w="1065" w:type="pct"/>
                  <w:vMerge w:val="continue"/>
                  <w:vAlign w:val="center"/>
                </w:tcPr>
                <w:p w14:paraId="6B348305">
                  <w:pPr>
                    <w:pStyle w:val="100"/>
                    <w:spacing w:after="0" w:line="240" w:lineRule="auto"/>
                    <w:ind w:firstLine="0" w:firstLineChars="0"/>
                    <w:jc w:val="center"/>
                    <w:rPr>
                      <w:rFonts w:hint="default" w:ascii="Times New Roman" w:hAnsi="Times New Roman" w:cs="Times New Roman"/>
                      <w:sz w:val="21"/>
                      <w:szCs w:val="21"/>
                      <w:u w:val="single" w:color="auto"/>
                    </w:rPr>
                  </w:pPr>
                </w:p>
              </w:tc>
            </w:tr>
            <w:tr w14:paraId="682E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Merge w:val="continue"/>
                  <w:vAlign w:val="center"/>
                </w:tcPr>
                <w:p w14:paraId="65563541">
                  <w:pPr>
                    <w:pStyle w:val="100"/>
                    <w:spacing w:after="0" w:line="240" w:lineRule="auto"/>
                    <w:ind w:firstLine="0" w:firstLineChars="0"/>
                    <w:jc w:val="center"/>
                    <w:rPr>
                      <w:rFonts w:hint="default" w:ascii="Times New Roman" w:hAnsi="Times New Roman" w:cs="Times New Roman"/>
                      <w:sz w:val="21"/>
                      <w:szCs w:val="21"/>
                      <w:u w:val="single" w:color="auto"/>
                    </w:rPr>
                  </w:pPr>
                </w:p>
              </w:tc>
              <w:tc>
                <w:tcPr>
                  <w:tcW w:w="673" w:type="pct"/>
                  <w:vAlign w:val="center"/>
                </w:tcPr>
                <w:p w14:paraId="3D5BC67E">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w:t>
                  </w:r>
                </w:p>
              </w:tc>
              <w:tc>
                <w:tcPr>
                  <w:tcW w:w="619" w:type="pct"/>
                  <w:gridSpan w:val="2"/>
                  <w:vAlign w:val="center"/>
                </w:tcPr>
                <w:p w14:paraId="749C528E">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w:t>
                  </w:r>
                </w:p>
              </w:tc>
              <w:tc>
                <w:tcPr>
                  <w:tcW w:w="668" w:type="pct"/>
                  <w:gridSpan w:val="2"/>
                  <w:vAlign w:val="center"/>
                </w:tcPr>
                <w:p w14:paraId="43E461F0">
                  <w:pPr>
                    <w:pStyle w:val="100"/>
                    <w:spacing w:after="0" w:line="240" w:lineRule="auto"/>
                    <w:ind w:firstLine="0" w:firstLineChars="0"/>
                    <w:jc w:val="center"/>
                    <w:rPr>
                      <w:rFonts w:hint="default" w:ascii="Times New Roman" w:hAnsi="Times New Roman" w:cs="Times New Roman"/>
                      <w:sz w:val="21"/>
                      <w:szCs w:val="21"/>
                      <w:u w:val="single" w:color="auto"/>
                      <w:lang w:eastAsia="zh-CN"/>
                    </w:rPr>
                  </w:pPr>
                  <w:r>
                    <w:rPr>
                      <w:rFonts w:hint="eastAsia" w:ascii="Times New Roman" w:hAnsi="Times New Roman" w:cs="Times New Roman"/>
                      <w:sz w:val="21"/>
                      <w:szCs w:val="21"/>
                      <w:u w:val="single" w:color="auto"/>
                      <w:lang w:eastAsia="zh-CN"/>
                    </w:rPr>
                    <w:t>新田河</w:t>
                  </w:r>
                </w:p>
              </w:tc>
              <w:tc>
                <w:tcPr>
                  <w:tcW w:w="500" w:type="pct"/>
                  <w:vMerge w:val="continue"/>
                  <w:vAlign w:val="center"/>
                </w:tcPr>
                <w:p w14:paraId="61CC79DA">
                  <w:pPr>
                    <w:pStyle w:val="100"/>
                    <w:spacing w:after="0" w:line="240" w:lineRule="auto"/>
                    <w:ind w:firstLine="0" w:firstLineChars="0"/>
                    <w:jc w:val="center"/>
                    <w:rPr>
                      <w:rFonts w:hint="default" w:ascii="Times New Roman" w:hAnsi="Times New Roman" w:cs="Times New Roman"/>
                      <w:sz w:val="21"/>
                      <w:szCs w:val="21"/>
                      <w:u w:val="single" w:color="auto"/>
                    </w:rPr>
                  </w:pPr>
                </w:p>
              </w:tc>
              <w:tc>
                <w:tcPr>
                  <w:tcW w:w="419" w:type="pct"/>
                  <w:vAlign w:val="center"/>
                </w:tcPr>
                <w:p w14:paraId="050EC8B6">
                  <w:pPr>
                    <w:pStyle w:val="100"/>
                    <w:spacing w:after="0" w:line="240" w:lineRule="auto"/>
                    <w:ind w:firstLine="0" w:firstLineChars="0"/>
                    <w:jc w:val="center"/>
                    <w:rPr>
                      <w:rFonts w:hint="default" w:ascii="Times New Roman" w:hAnsi="Times New Roman" w:cs="Times New Roman"/>
                      <w:sz w:val="21"/>
                      <w:szCs w:val="21"/>
                      <w:u w:val="single" w:color="auto"/>
                      <w:lang w:eastAsia="zh-CN"/>
                    </w:rPr>
                  </w:pPr>
                  <w:r>
                    <w:rPr>
                      <w:rFonts w:hint="eastAsia" w:ascii="Times New Roman" w:hAnsi="Times New Roman" w:cs="Times New Roman"/>
                      <w:sz w:val="21"/>
                      <w:szCs w:val="21"/>
                      <w:u w:val="single" w:color="auto"/>
                      <w:lang w:eastAsia="zh-CN"/>
                    </w:rPr>
                    <w:t>西南侧</w:t>
                  </w:r>
                </w:p>
              </w:tc>
              <w:tc>
                <w:tcPr>
                  <w:tcW w:w="519" w:type="pct"/>
                  <w:gridSpan w:val="2"/>
                  <w:vAlign w:val="center"/>
                </w:tcPr>
                <w:p w14:paraId="170E8E7E">
                  <w:pPr>
                    <w:pStyle w:val="100"/>
                    <w:spacing w:after="0" w:line="240" w:lineRule="auto"/>
                    <w:ind w:firstLine="0" w:firstLineChars="0"/>
                    <w:jc w:val="center"/>
                    <w:rPr>
                      <w:rFonts w:hint="default" w:ascii="Times New Roman" w:hAnsi="Times New Roman" w:eastAsia="宋体"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750</w:t>
                  </w:r>
                </w:p>
              </w:tc>
              <w:tc>
                <w:tcPr>
                  <w:tcW w:w="1065" w:type="pct"/>
                  <w:vMerge w:val="continue"/>
                  <w:vAlign w:val="center"/>
                </w:tcPr>
                <w:p w14:paraId="067885E6">
                  <w:pPr>
                    <w:pStyle w:val="100"/>
                    <w:spacing w:after="0" w:line="240" w:lineRule="auto"/>
                    <w:ind w:firstLine="0" w:firstLineChars="0"/>
                    <w:jc w:val="center"/>
                    <w:rPr>
                      <w:rFonts w:hint="default" w:ascii="Times New Roman" w:hAnsi="Times New Roman" w:cs="Times New Roman"/>
                      <w:sz w:val="21"/>
                      <w:szCs w:val="21"/>
                      <w:u w:val="single" w:color="auto"/>
                    </w:rPr>
                  </w:pPr>
                </w:p>
              </w:tc>
            </w:tr>
            <w:tr w14:paraId="7D71A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 w:type="pct"/>
                  <w:vAlign w:val="center"/>
                </w:tcPr>
                <w:p w14:paraId="77EFA0F3">
                  <w:pPr>
                    <w:pStyle w:val="100"/>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sz w:val="21"/>
                      <w:szCs w:val="21"/>
                      <w:u w:val="single" w:color="auto"/>
                    </w:rPr>
                    <w:t>声环境</w:t>
                  </w:r>
                </w:p>
              </w:tc>
              <w:tc>
                <w:tcPr>
                  <w:tcW w:w="673" w:type="pct"/>
                  <w:vAlign w:val="center"/>
                </w:tcPr>
                <w:p w14:paraId="760DB307">
                  <w:pPr>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u w:val="single" w:color="auto"/>
                    </w:rPr>
                    <w:t>112.23789</w:t>
                  </w:r>
                  <w:r>
                    <w:rPr>
                      <w:rFonts w:hint="default" w:ascii="Times New Roman" w:hAnsi="Times New Roman" w:cs="Times New Roman"/>
                      <w:u w:val="single" w:color="auto"/>
                      <w:lang w:val="en-US" w:eastAsia="zh-CN"/>
                    </w:rPr>
                    <w:t>4</w:t>
                  </w:r>
                </w:p>
              </w:tc>
              <w:tc>
                <w:tcPr>
                  <w:tcW w:w="619" w:type="pct"/>
                  <w:gridSpan w:val="2"/>
                  <w:vAlign w:val="center"/>
                </w:tcPr>
                <w:p w14:paraId="00C6D1C9">
                  <w:pPr>
                    <w:spacing w:after="0" w:line="240" w:lineRule="auto"/>
                    <w:ind w:firstLine="0" w:firstLineChars="0"/>
                    <w:jc w:val="center"/>
                    <w:rPr>
                      <w:rFonts w:hint="default" w:ascii="Times New Roman" w:hAnsi="Times New Roman" w:cs="Times New Roman"/>
                      <w:sz w:val="21"/>
                      <w:szCs w:val="21"/>
                      <w:u w:val="single" w:color="auto"/>
                    </w:rPr>
                  </w:pPr>
                  <w:r>
                    <w:rPr>
                      <w:rFonts w:hint="default" w:ascii="Times New Roman" w:hAnsi="Times New Roman" w:cs="Times New Roman"/>
                      <w:u w:val="single" w:color="auto"/>
                    </w:rPr>
                    <w:t>25.879695</w:t>
                  </w:r>
                </w:p>
              </w:tc>
              <w:tc>
                <w:tcPr>
                  <w:tcW w:w="668" w:type="pct"/>
                  <w:gridSpan w:val="2"/>
                  <w:vAlign w:val="center"/>
                </w:tcPr>
                <w:p w14:paraId="45464D2F">
                  <w:pPr>
                    <w:pStyle w:val="100"/>
                    <w:spacing w:after="0" w:line="240" w:lineRule="auto"/>
                    <w:ind w:firstLine="0" w:firstLineChars="0"/>
                    <w:jc w:val="center"/>
                    <w:rPr>
                      <w:rFonts w:hint="eastAsia" w:ascii="Times New Roman" w:hAnsi="Times New Roman" w:cs="Times New Roman"/>
                      <w:sz w:val="21"/>
                      <w:szCs w:val="21"/>
                      <w:u w:val="single" w:color="auto"/>
                      <w:lang w:eastAsia="zh-CN"/>
                    </w:rPr>
                  </w:pPr>
                  <w:r>
                    <w:rPr>
                      <w:rFonts w:hint="default" w:ascii="Times New Roman" w:hAnsi="Times New Roman" w:cs="Times New Roman"/>
                      <w:sz w:val="21"/>
                      <w:szCs w:val="21"/>
                      <w:u w:val="single" w:color="auto"/>
                      <w:lang w:eastAsia="zh-CN"/>
                    </w:rPr>
                    <w:t>云梯岭村</w:t>
                  </w:r>
                </w:p>
              </w:tc>
              <w:tc>
                <w:tcPr>
                  <w:tcW w:w="500" w:type="pct"/>
                  <w:vAlign w:val="center"/>
                </w:tcPr>
                <w:p w14:paraId="463BEE45">
                  <w:pPr>
                    <w:pStyle w:val="100"/>
                    <w:spacing w:after="0" w:line="240" w:lineRule="auto"/>
                    <w:ind w:firstLine="0" w:firstLineChars="0"/>
                    <w:jc w:val="center"/>
                    <w:rPr>
                      <w:rFonts w:hint="default" w:ascii="Times New Roman" w:hAnsi="Times New Roman" w:eastAsia="宋体" w:cs="Times New Roman"/>
                      <w:sz w:val="21"/>
                      <w:szCs w:val="21"/>
                      <w:u w:val="single" w:color="auto"/>
                      <w:lang w:val="en-US" w:eastAsia="zh-CN"/>
                    </w:rPr>
                  </w:pPr>
                  <w:r>
                    <w:rPr>
                      <w:rFonts w:hint="eastAsia" w:ascii="Times New Roman" w:hAnsi="Times New Roman" w:cs="Times New Roman"/>
                      <w:szCs w:val="21"/>
                      <w:u w:val="single" w:color="auto"/>
                      <w:lang w:val="en-US" w:eastAsia="zh-CN"/>
                    </w:rPr>
                    <w:t>1户</w:t>
                  </w:r>
                </w:p>
              </w:tc>
              <w:tc>
                <w:tcPr>
                  <w:tcW w:w="419" w:type="pct"/>
                  <w:vAlign w:val="center"/>
                </w:tcPr>
                <w:p w14:paraId="49D61FDA">
                  <w:pPr>
                    <w:pStyle w:val="100"/>
                    <w:spacing w:after="0" w:line="240" w:lineRule="auto"/>
                    <w:ind w:firstLine="0" w:firstLineChars="0"/>
                    <w:jc w:val="center"/>
                    <w:rPr>
                      <w:rFonts w:hint="eastAsia" w:ascii="Times New Roman" w:hAnsi="Times New Roman" w:cs="Times New Roman"/>
                      <w:sz w:val="21"/>
                      <w:szCs w:val="21"/>
                      <w:u w:val="single" w:color="auto"/>
                      <w:lang w:eastAsia="zh-CN"/>
                    </w:rPr>
                  </w:pPr>
                  <w:r>
                    <w:rPr>
                      <w:rFonts w:hint="eastAsia" w:cs="Times New Roman"/>
                      <w:sz w:val="21"/>
                      <w:szCs w:val="21"/>
                      <w:u w:val="single" w:color="auto"/>
                      <w:lang w:eastAsia="zh-CN"/>
                    </w:rPr>
                    <w:t>东侧</w:t>
                  </w:r>
                </w:p>
              </w:tc>
              <w:tc>
                <w:tcPr>
                  <w:tcW w:w="519" w:type="pct"/>
                  <w:gridSpan w:val="2"/>
                  <w:vAlign w:val="center"/>
                </w:tcPr>
                <w:p w14:paraId="172553C3">
                  <w:pPr>
                    <w:pStyle w:val="100"/>
                    <w:spacing w:after="0" w:line="240" w:lineRule="auto"/>
                    <w:ind w:firstLine="0" w:firstLineChars="0"/>
                    <w:jc w:val="center"/>
                    <w:rPr>
                      <w:rFonts w:hint="default" w:ascii="Times New Roman" w:hAnsi="Times New Roman" w:cs="Times New Roman"/>
                      <w:sz w:val="21"/>
                      <w:szCs w:val="21"/>
                      <w:u w:val="single" w:color="auto"/>
                      <w:lang w:val="en-US" w:eastAsia="zh-CN"/>
                    </w:rPr>
                  </w:pPr>
                  <w:r>
                    <w:rPr>
                      <w:rFonts w:hint="eastAsia" w:cs="Times New Roman"/>
                      <w:sz w:val="21"/>
                      <w:szCs w:val="21"/>
                      <w:u w:val="single" w:color="auto"/>
                      <w:lang w:val="en-US" w:eastAsia="zh-CN"/>
                    </w:rPr>
                    <w:t>45</w:t>
                  </w:r>
                </w:p>
              </w:tc>
              <w:tc>
                <w:tcPr>
                  <w:tcW w:w="1065" w:type="pct"/>
                  <w:vAlign w:val="center"/>
                </w:tcPr>
                <w:p w14:paraId="0D9D5E65">
                  <w:pPr>
                    <w:pStyle w:val="100"/>
                    <w:spacing w:after="0" w:line="240" w:lineRule="auto"/>
                    <w:ind w:firstLine="0" w:firstLineChars="0"/>
                    <w:jc w:val="center"/>
                    <w:rPr>
                      <w:rFonts w:hint="eastAsia" w:ascii="Times New Roman" w:hAnsi="Times New Roman" w:eastAsia="宋体" w:cs="Times New Roman"/>
                      <w:sz w:val="21"/>
                      <w:szCs w:val="21"/>
                      <w:u w:val="single" w:color="auto"/>
                      <w:lang w:eastAsia="zh-CN"/>
                    </w:rPr>
                  </w:pPr>
                  <w:r>
                    <w:rPr>
                      <w:rFonts w:hint="eastAsia" w:cs="Times New Roman"/>
                      <w:sz w:val="21"/>
                      <w:szCs w:val="21"/>
                      <w:u w:val="single" w:color="auto"/>
                      <w:lang w:eastAsia="zh-CN"/>
                    </w:rPr>
                    <w:t>声环境质量标准（</w:t>
                  </w:r>
                  <w:r>
                    <w:rPr>
                      <w:rFonts w:hint="eastAsia" w:cs="Times New Roman"/>
                      <w:sz w:val="21"/>
                      <w:szCs w:val="21"/>
                      <w:u w:val="single" w:color="auto"/>
                      <w:lang w:val="en-US" w:eastAsia="zh-CN"/>
                    </w:rPr>
                    <w:t>GB3096-2008</w:t>
                  </w:r>
                  <w:r>
                    <w:rPr>
                      <w:rFonts w:hint="eastAsia" w:cs="Times New Roman"/>
                      <w:sz w:val="21"/>
                      <w:szCs w:val="21"/>
                      <w:u w:val="single" w:color="auto"/>
                      <w:lang w:eastAsia="zh-CN"/>
                    </w:rPr>
                    <w:t>）</w:t>
                  </w:r>
                </w:p>
              </w:tc>
            </w:tr>
          </w:tbl>
          <w:p w14:paraId="25D92995">
            <w:pPr>
              <w:rPr>
                <w:rFonts w:hint="default" w:ascii="Times New Roman" w:hAnsi="Times New Roman" w:cs="Times New Roman"/>
                <w:kern w:val="0"/>
              </w:rPr>
            </w:pPr>
          </w:p>
        </w:tc>
      </w:tr>
      <w:tr w14:paraId="19C559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388" w:type="pct"/>
            <w:tcMar>
              <w:left w:w="28" w:type="dxa"/>
              <w:right w:w="28" w:type="dxa"/>
            </w:tcMar>
            <w:vAlign w:val="center"/>
          </w:tcPr>
          <w:p w14:paraId="71F1961E">
            <w:pPr>
              <w:jc w:val="center"/>
              <w:rPr>
                <w:rFonts w:hint="default" w:ascii="Times New Roman" w:hAnsi="Times New Roman" w:cs="Times New Roman"/>
                <w:kern w:val="0"/>
              </w:rPr>
            </w:pPr>
            <w:r>
              <w:rPr>
                <w:rFonts w:hint="default" w:ascii="Times New Roman" w:hAnsi="Times New Roman" w:cs="Times New Roman"/>
                <w:kern w:val="0"/>
              </w:rPr>
              <w:t>污染</w:t>
            </w:r>
          </w:p>
          <w:p w14:paraId="44366BF1">
            <w:pPr>
              <w:jc w:val="center"/>
              <w:rPr>
                <w:rFonts w:hint="default" w:ascii="Times New Roman" w:hAnsi="Times New Roman" w:cs="Times New Roman"/>
                <w:kern w:val="0"/>
              </w:rPr>
            </w:pPr>
            <w:r>
              <w:rPr>
                <w:rFonts w:hint="default" w:ascii="Times New Roman" w:hAnsi="Times New Roman" w:cs="Times New Roman"/>
                <w:kern w:val="0"/>
              </w:rPr>
              <w:t>物排</w:t>
            </w:r>
          </w:p>
          <w:p w14:paraId="3D1A9DB1">
            <w:pPr>
              <w:jc w:val="center"/>
              <w:rPr>
                <w:rFonts w:hint="default" w:ascii="Times New Roman" w:hAnsi="Times New Roman" w:cs="Times New Roman"/>
                <w:kern w:val="0"/>
              </w:rPr>
            </w:pPr>
            <w:r>
              <w:rPr>
                <w:rFonts w:hint="default" w:ascii="Times New Roman" w:hAnsi="Times New Roman" w:cs="Times New Roman"/>
                <w:kern w:val="0"/>
              </w:rPr>
              <w:t>放控</w:t>
            </w:r>
          </w:p>
          <w:p w14:paraId="0E5ED0EF">
            <w:pPr>
              <w:jc w:val="center"/>
              <w:rPr>
                <w:rFonts w:hint="default" w:ascii="Times New Roman" w:hAnsi="Times New Roman" w:cs="Times New Roman"/>
                <w:kern w:val="0"/>
              </w:rPr>
            </w:pPr>
            <w:r>
              <w:rPr>
                <w:rFonts w:hint="default" w:ascii="Times New Roman" w:hAnsi="Times New Roman" w:cs="Times New Roman"/>
                <w:kern w:val="0"/>
              </w:rPr>
              <w:t>制标</w:t>
            </w:r>
          </w:p>
          <w:p w14:paraId="1D17B6A2">
            <w:pPr>
              <w:jc w:val="center"/>
              <w:rPr>
                <w:rFonts w:hint="default" w:ascii="Times New Roman" w:hAnsi="Times New Roman" w:cs="Times New Roman"/>
                <w:kern w:val="0"/>
              </w:rPr>
            </w:pPr>
            <w:r>
              <w:rPr>
                <w:rFonts w:hint="default" w:ascii="Times New Roman" w:hAnsi="Times New Roman" w:cs="Times New Roman"/>
                <w:kern w:val="0"/>
              </w:rPr>
              <w:t>准</w:t>
            </w:r>
          </w:p>
        </w:tc>
        <w:tc>
          <w:tcPr>
            <w:tcW w:w="4611" w:type="pct"/>
            <w:vAlign w:val="center"/>
          </w:tcPr>
          <w:p w14:paraId="3760DB72">
            <w:pPr>
              <w:spacing w:line="360" w:lineRule="auto"/>
              <w:ind w:firstLine="482" w:firstLineChars="200"/>
              <w:jc w:val="left"/>
              <w:rPr>
                <w:rFonts w:hint="default" w:ascii="Times New Roman" w:hAnsi="Times New Roman" w:eastAsia="宋体" w:cs="Times New Roman"/>
                <w:b/>
                <w:sz w:val="24"/>
                <w:szCs w:val="24"/>
                <w:u w:val="none" w:color="auto"/>
                <w:lang w:val="en-US" w:eastAsia="zh-CN"/>
              </w:rPr>
            </w:pPr>
            <w:r>
              <w:rPr>
                <w:rFonts w:hint="default" w:ascii="Times New Roman" w:hAnsi="Times New Roman" w:eastAsia="宋体" w:cs="Times New Roman"/>
                <w:b/>
                <w:sz w:val="24"/>
                <w:szCs w:val="24"/>
                <w:u w:val="none" w:color="auto"/>
                <w:lang w:val="en-US" w:eastAsia="zh-CN"/>
              </w:rPr>
              <w:t>3.7废气</w:t>
            </w:r>
          </w:p>
          <w:p w14:paraId="0811528A">
            <w:pPr>
              <w:widowControl/>
              <w:spacing w:line="360" w:lineRule="auto"/>
              <w:ind w:firstLine="480" w:firstLineChars="200"/>
              <w:jc w:val="both"/>
              <w:rPr>
                <w:rFonts w:hint="default" w:ascii="Times New Roman" w:hAnsi="Times New Roman" w:eastAsia="宋体" w:cs="Times New Roman"/>
                <w:kern w:val="0"/>
                <w:sz w:val="24"/>
                <w:lang w:val="en-US" w:eastAsia="zh-CN"/>
              </w:rPr>
            </w:pPr>
            <w:r>
              <w:rPr>
                <w:rFonts w:hint="default" w:ascii="Times New Roman" w:hAnsi="Times New Roman" w:eastAsia="宋体" w:cs="Times New Roman"/>
                <w:kern w:val="0"/>
                <w:sz w:val="24"/>
              </w:rPr>
              <w:t>输送粉尘、石子、沙子堆放区扬尘、筒仓粉尘、搅拌粉尘执行《水泥工业大气污染物排放标准》（GB 4915-2013）表3无组织排放限值要求。汽车运输扬尘</w:t>
            </w:r>
            <w:r>
              <w:rPr>
                <w:rFonts w:hint="default" w:ascii="Times New Roman" w:hAnsi="Times New Roman" w:eastAsia="宋体" w:cs="Times New Roman"/>
                <w:kern w:val="0"/>
                <w:sz w:val="24"/>
                <w:lang w:eastAsia="zh-CN"/>
              </w:rPr>
              <w:t>、</w:t>
            </w:r>
            <w:r>
              <w:rPr>
                <w:rFonts w:hint="default" w:ascii="Times New Roman" w:hAnsi="Times New Roman" w:eastAsia="宋体" w:cs="Times New Roman"/>
                <w:kern w:val="0"/>
                <w:sz w:val="24"/>
              </w:rPr>
              <w:t>焊接烟尘</w:t>
            </w:r>
            <w:r>
              <w:rPr>
                <w:rFonts w:hint="default" w:ascii="Times New Roman" w:hAnsi="Times New Roman" w:eastAsia="宋体" w:cs="Times New Roman"/>
                <w:kern w:val="0"/>
                <w:sz w:val="24"/>
                <w:lang w:val="en-US" w:eastAsia="zh-CN"/>
              </w:rPr>
              <w:t>执行《大气污染物综合排放标准》（GB 16297-1996）表2浓度限值。</w:t>
            </w:r>
            <w:r>
              <w:rPr>
                <w:rFonts w:hint="eastAsia" w:ascii="Times New Roman" w:hAnsi="Times New Roman" w:eastAsia="宋体" w:cs="Times New Roman"/>
                <w:kern w:val="0"/>
                <w:sz w:val="24"/>
                <w:lang w:val="en-US" w:eastAsia="zh-CN"/>
              </w:rPr>
              <w:t>生物质燃料蒸汽发生器燃烧废气执行《湖南省工业炉窑大气污染综合治理实施方案》附件1中相关排放限值。</w:t>
            </w:r>
          </w:p>
          <w:p w14:paraId="4B8587EA">
            <w:pPr>
              <w:spacing w:line="360" w:lineRule="auto"/>
              <w:jc w:val="center"/>
              <w:rPr>
                <w:rFonts w:hint="default" w:ascii="Times New Roman" w:hAnsi="Times New Roman" w:cs="Times New Roman"/>
                <w:b/>
                <w:bCs/>
              </w:rPr>
            </w:pPr>
            <w:r>
              <w:rPr>
                <w:rFonts w:hint="default" w:ascii="Times New Roman" w:hAnsi="Times New Roman" w:cs="Times New Roman"/>
                <w:b/>
                <w:bCs/>
              </w:rPr>
              <w:t>表3.6   本项目废气排放标准</w:t>
            </w:r>
          </w:p>
          <w:tbl>
            <w:tblPr>
              <w:tblStyle w:val="4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18"/>
              <w:gridCol w:w="1215"/>
              <w:gridCol w:w="2155"/>
              <w:gridCol w:w="3612"/>
            </w:tblGrid>
            <w:tr w14:paraId="6D83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vAlign w:val="center"/>
                </w:tcPr>
                <w:p w14:paraId="7F4762BF">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cs="Times New Roman"/>
                      <w:sz w:val="21"/>
                      <w:szCs w:val="21"/>
                      <w:u w:val="none"/>
                      <w:lang w:eastAsia="zh-CN"/>
                    </w:rPr>
                  </w:pPr>
                  <w:r>
                    <w:rPr>
                      <w:rFonts w:hint="eastAsia" w:ascii="Times New Roman" w:hAnsi="Times New Roman" w:cs="Times New Roman"/>
                      <w:sz w:val="21"/>
                      <w:szCs w:val="21"/>
                      <w:u w:val="none"/>
                      <w:lang w:eastAsia="zh-CN"/>
                    </w:rPr>
                    <w:t>产污</w:t>
                  </w:r>
                </w:p>
                <w:p w14:paraId="5154391D">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节点</w:t>
                  </w:r>
                </w:p>
              </w:tc>
              <w:tc>
                <w:tcPr>
                  <w:tcW w:w="624" w:type="pct"/>
                  <w:vAlign w:val="center"/>
                </w:tcPr>
                <w:p w14:paraId="53E83AA0">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污染物</w:t>
                  </w:r>
                </w:p>
              </w:tc>
              <w:tc>
                <w:tcPr>
                  <w:tcW w:w="678" w:type="pct"/>
                  <w:vAlign w:val="center"/>
                </w:tcPr>
                <w:p w14:paraId="265A9399">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浓度限值（mg/m</w:t>
                  </w:r>
                  <w:r>
                    <w:rPr>
                      <w:rFonts w:hint="default" w:ascii="Times New Roman" w:hAnsi="Times New Roman" w:cs="Times New Roman"/>
                      <w:sz w:val="21"/>
                      <w:szCs w:val="21"/>
                      <w:u w:val="none"/>
                      <w:vertAlign w:val="superscript"/>
                    </w:rPr>
                    <w:t>3</w:t>
                  </w:r>
                  <w:r>
                    <w:rPr>
                      <w:rFonts w:hint="default" w:ascii="Times New Roman" w:hAnsi="Times New Roman" w:cs="Times New Roman"/>
                      <w:sz w:val="21"/>
                      <w:szCs w:val="21"/>
                      <w:u w:val="none"/>
                    </w:rPr>
                    <w:t>）</w:t>
                  </w:r>
                </w:p>
              </w:tc>
              <w:tc>
                <w:tcPr>
                  <w:tcW w:w="1203" w:type="pct"/>
                  <w:vAlign w:val="center"/>
                </w:tcPr>
                <w:p w14:paraId="6429A067">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监控点</w:t>
                  </w:r>
                </w:p>
              </w:tc>
              <w:tc>
                <w:tcPr>
                  <w:tcW w:w="2016" w:type="pct"/>
                  <w:vAlign w:val="center"/>
                </w:tcPr>
                <w:p w14:paraId="585E698F">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执行标准</w:t>
                  </w:r>
                </w:p>
              </w:tc>
            </w:tr>
            <w:tr w14:paraId="671E1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vMerge w:val="restart"/>
                  <w:vAlign w:val="center"/>
                </w:tcPr>
                <w:p w14:paraId="026EF4A0">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搅拌、堆存、输送、焊接等</w:t>
                  </w:r>
                </w:p>
              </w:tc>
              <w:tc>
                <w:tcPr>
                  <w:tcW w:w="624" w:type="pct"/>
                  <w:vMerge w:val="restart"/>
                  <w:vAlign w:val="center"/>
                </w:tcPr>
                <w:p w14:paraId="5E911BBD">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颗粒物</w:t>
                  </w:r>
                </w:p>
              </w:tc>
              <w:tc>
                <w:tcPr>
                  <w:tcW w:w="678" w:type="pct"/>
                  <w:vAlign w:val="center"/>
                </w:tcPr>
                <w:p w14:paraId="53824CBA">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0.5</w:t>
                  </w:r>
                </w:p>
              </w:tc>
              <w:tc>
                <w:tcPr>
                  <w:tcW w:w="1203" w:type="pct"/>
                  <w:vAlign w:val="center"/>
                </w:tcPr>
                <w:p w14:paraId="7D8B4A27">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厂界外20m处上风向设参照点，下风向设置监控点</w:t>
                  </w:r>
                </w:p>
              </w:tc>
              <w:tc>
                <w:tcPr>
                  <w:tcW w:w="2016" w:type="pct"/>
                  <w:vAlign w:val="center"/>
                </w:tcPr>
                <w:p w14:paraId="4718D299">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《水泥工业大气污染物排放标准》（GB 4915-2013）表3无组织排放限值要求</w:t>
                  </w:r>
                </w:p>
              </w:tc>
            </w:tr>
            <w:tr w14:paraId="65D0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vMerge w:val="continue"/>
                  <w:vAlign w:val="center"/>
                </w:tcPr>
                <w:p w14:paraId="2118FB12">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rPr>
                  </w:pPr>
                </w:p>
              </w:tc>
              <w:tc>
                <w:tcPr>
                  <w:tcW w:w="624" w:type="pct"/>
                  <w:vMerge w:val="continue"/>
                  <w:vAlign w:val="center"/>
                </w:tcPr>
                <w:p w14:paraId="7E13C228">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rPr>
                  </w:pPr>
                </w:p>
              </w:tc>
              <w:tc>
                <w:tcPr>
                  <w:tcW w:w="678" w:type="pct"/>
                  <w:vAlign w:val="center"/>
                </w:tcPr>
                <w:p w14:paraId="38E14446">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1.0</w:t>
                  </w:r>
                </w:p>
              </w:tc>
              <w:tc>
                <w:tcPr>
                  <w:tcW w:w="1203" w:type="pct"/>
                  <w:vAlign w:val="center"/>
                </w:tcPr>
                <w:p w14:paraId="0D317A04">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周界外浓度最高点</w:t>
                  </w:r>
                </w:p>
              </w:tc>
              <w:tc>
                <w:tcPr>
                  <w:tcW w:w="2016" w:type="pct"/>
                  <w:vAlign w:val="center"/>
                </w:tcPr>
                <w:p w14:paraId="7C159DA3">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《大气污染物综合排放标准》（GB 16297-1996）表2浓度限值</w:t>
                  </w:r>
                </w:p>
              </w:tc>
            </w:tr>
            <w:tr w14:paraId="25AE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vMerge w:val="restart"/>
                  <w:vAlign w:val="center"/>
                </w:tcPr>
                <w:p w14:paraId="379C7023">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生物质蒸汽发生器</w:t>
                  </w:r>
                </w:p>
              </w:tc>
              <w:tc>
                <w:tcPr>
                  <w:tcW w:w="624" w:type="pct"/>
                  <w:vAlign w:val="center"/>
                </w:tcPr>
                <w:p w14:paraId="41044FFD">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颗粒物</w:t>
                  </w:r>
                </w:p>
              </w:tc>
              <w:tc>
                <w:tcPr>
                  <w:tcW w:w="678" w:type="pct"/>
                  <w:vAlign w:val="center"/>
                </w:tcPr>
                <w:p w14:paraId="00B2E0FD">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30</w:t>
                  </w:r>
                </w:p>
              </w:tc>
              <w:tc>
                <w:tcPr>
                  <w:tcW w:w="1203" w:type="pct"/>
                  <w:vMerge w:val="restart"/>
                  <w:vAlign w:val="center"/>
                </w:tcPr>
                <w:p w14:paraId="78BEF4AB">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w:t>
                  </w:r>
                </w:p>
              </w:tc>
              <w:tc>
                <w:tcPr>
                  <w:tcW w:w="2016" w:type="pct"/>
                  <w:vMerge w:val="restart"/>
                  <w:vAlign w:val="center"/>
                </w:tcPr>
                <w:p w14:paraId="044A6E5D">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《湖南省工业炉窑大气污染综合治理实施方案》附件1中相关排放限值</w:t>
                  </w:r>
                </w:p>
              </w:tc>
            </w:tr>
            <w:tr w14:paraId="581D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vMerge w:val="continue"/>
                  <w:vAlign w:val="center"/>
                </w:tcPr>
                <w:p w14:paraId="768F0C4F">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rPr>
                  </w:pPr>
                </w:p>
              </w:tc>
              <w:tc>
                <w:tcPr>
                  <w:tcW w:w="624" w:type="pct"/>
                  <w:vAlign w:val="center"/>
                </w:tcPr>
                <w:p w14:paraId="7FD95DBC">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eastAsia="zh-CN"/>
                    </w:rPr>
                    <w:t>二氧化硫</w:t>
                  </w:r>
                </w:p>
              </w:tc>
              <w:tc>
                <w:tcPr>
                  <w:tcW w:w="678" w:type="pct"/>
                  <w:vAlign w:val="center"/>
                </w:tcPr>
                <w:p w14:paraId="2A18A5C8">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200</w:t>
                  </w:r>
                </w:p>
              </w:tc>
              <w:tc>
                <w:tcPr>
                  <w:tcW w:w="1203" w:type="pct"/>
                  <w:vMerge w:val="continue"/>
                  <w:vAlign w:val="center"/>
                </w:tcPr>
                <w:p w14:paraId="6D5B580E">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lang w:val="en-US" w:eastAsia="zh-CN"/>
                    </w:rPr>
                  </w:pPr>
                </w:p>
              </w:tc>
              <w:tc>
                <w:tcPr>
                  <w:tcW w:w="2016" w:type="pct"/>
                  <w:vMerge w:val="continue"/>
                  <w:vAlign w:val="center"/>
                </w:tcPr>
                <w:p w14:paraId="4086E97C">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rPr>
                  </w:pPr>
                </w:p>
              </w:tc>
            </w:tr>
            <w:tr w14:paraId="6367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7" w:type="pct"/>
                  <w:vMerge w:val="continue"/>
                  <w:vAlign w:val="center"/>
                </w:tcPr>
                <w:p w14:paraId="11AE3E3A">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rPr>
                  </w:pPr>
                </w:p>
              </w:tc>
              <w:tc>
                <w:tcPr>
                  <w:tcW w:w="624" w:type="pct"/>
                  <w:vAlign w:val="center"/>
                </w:tcPr>
                <w:p w14:paraId="538C01E8">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氮氧化物</w:t>
                  </w:r>
                </w:p>
              </w:tc>
              <w:tc>
                <w:tcPr>
                  <w:tcW w:w="678" w:type="pct"/>
                  <w:vAlign w:val="center"/>
                </w:tcPr>
                <w:p w14:paraId="16B90796">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300</w:t>
                  </w:r>
                </w:p>
              </w:tc>
              <w:tc>
                <w:tcPr>
                  <w:tcW w:w="1203" w:type="pct"/>
                  <w:vMerge w:val="continue"/>
                  <w:vAlign w:val="center"/>
                </w:tcPr>
                <w:p w14:paraId="44A1603C">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lang w:val="en-US" w:eastAsia="zh-CN"/>
                    </w:rPr>
                  </w:pPr>
                </w:p>
              </w:tc>
              <w:tc>
                <w:tcPr>
                  <w:tcW w:w="2016" w:type="pct"/>
                  <w:vMerge w:val="continue"/>
                  <w:vAlign w:val="center"/>
                </w:tcPr>
                <w:p w14:paraId="30A5CCB7">
                  <w:pPr>
                    <w:keepNext w:val="0"/>
                    <w:keepLines w:val="0"/>
                    <w:pageBreakBefore w:val="0"/>
                    <w:widowControl/>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sz w:val="21"/>
                      <w:szCs w:val="21"/>
                      <w:u w:val="none"/>
                    </w:rPr>
                  </w:pPr>
                </w:p>
              </w:tc>
            </w:tr>
          </w:tbl>
          <w:p w14:paraId="237AB42C">
            <w:pPr>
              <w:spacing w:line="360" w:lineRule="auto"/>
              <w:ind w:firstLine="482" w:firstLineChars="200"/>
              <w:jc w:val="left"/>
              <w:rPr>
                <w:rFonts w:hint="default" w:ascii="Times New Roman" w:hAnsi="Times New Roman" w:eastAsia="宋体" w:cs="Times New Roman"/>
                <w:b/>
                <w:sz w:val="24"/>
                <w:szCs w:val="24"/>
                <w:u w:val="none" w:color="auto"/>
                <w:lang w:val="en-US" w:eastAsia="zh-CN"/>
              </w:rPr>
            </w:pPr>
            <w:r>
              <w:rPr>
                <w:rFonts w:hint="default" w:ascii="Times New Roman" w:hAnsi="Times New Roman" w:eastAsia="宋体" w:cs="Times New Roman"/>
                <w:b/>
                <w:sz w:val="24"/>
                <w:szCs w:val="24"/>
                <w:u w:val="none" w:color="auto"/>
                <w:lang w:val="en-US" w:eastAsia="zh-CN"/>
              </w:rPr>
              <w:t>3.8噪声</w:t>
            </w:r>
          </w:p>
          <w:p w14:paraId="756D33FF">
            <w:pPr>
              <w:widowControl/>
              <w:spacing w:line="360" w:lineRule="auto"/>
              <w:ind w:firstLine="480" w:firstLineChars="200"/>
              <w:jc w:val="both"/>
              <w:rPr>
                <w:rFonts w:hint="default" w:ascii="Times New Roman" w:hAnsi="Times New Roman" w:eastAsia="宋体" w:cs="Times New Roman"/>
                <w:kern w:val="0"/>
                <w:sz w:val="24"/>
              </w:rPr>
            </w:pPr>
            <w:r>
              <w:rPr>
                <w:rFonts w:hint="default" w:ascii="Times New Roman" w:hAnsi="Times New Roman" w:eastAsia="宋体" w:cs="Times New Roman"/>
                <w:kern w:val="0"/>
                <w:sz w:val="24"/>
                <w:lang w:val="zh-CN"/>
              </w:rPr>
              <w:t>营运期南侧</w:t>
            </w:r>
            <w:r>
              <w:rPr>
                <w:rFonts w:hint="eastAsia" w:ascii="Times New Roman" w:hAnsi="Times New Roman" w:cs="Times New Roman"/>
                <w:kern w:val="0"/>
                <w:sz w:val="24"/>
                <w:lang w:val="zh-CN"/>
              </w:rPr>
              <w:t>临路</w:t>
            </w:r>
            <w:r>
              <w:rPr>
                <w:rFonts w:hint="default" w:ascii="Times New Roman" w:hAnsi="Times New Roman" w:eastAsia="宋体" w:cs="Times New Roman"/>
                <w:kern w:val="0"/>
                <w:sz w:val="24"/>
                <w:lang w:val="zh-CN"/>
              </w:rPr>
              <w:t>厂界噪声排放执行</w:t>
            </w:r>
            <w:r>
              <w:rPr>
                <w:rFonts w:hint="default" w:ascii="Times New Roman" w:hAnsi="Times New Roman" w:eastAsia="宋体" w:cs="Times New Roman"/>
                <w:kern w:val="0"/>
                <w:sz w:val="24"/>
              </w:rPr>
              <w:t>《工业企业厂界环境噪声排放标准》（GB12348-2008）中</w:t>
            </w:r>
            <w:r>
              <w:rPr>
                <w:rFonts w:hint="default" w:ascii="Times New Roman" w:hAnsi="Times New Roman" w:eastAsia="宋体" w:cs="Times New Roman"/>
                <w:kern w:val="0"/>
                <w:sz w:val="24"/>
                <w:lang w:val="en-US" w:eastAsia="zh-CN"/>
              </w:rPr>
              <w:t>4</w:t>
            </w:r>
            <w:r>
              <w:rPr>
                <w:rFonts w:hint="default" w:ascii="Times New Roman" w:hAnsi="Times New Roman" w:eastAsia="宋体" w:cs="Times New Roman"/>
                <w:kern w:val="0"/>
                <w:sz w:val="24"/>
              </w:rPr>
              <w:t>类标准</w:t>
            </w:r>
            <w:r>
              <w:rPr>
                <w:rFonts w:hint="default" w:ascii="Times New Roman" w:hAnsi="Times New Roman" w:eastAsia="宋体" w:cs="Times New Roman"/>
                <w:kern w:val="0"/>
                <w:sz w:val="24"/>
                <w:lang w:eastAsia="zh-CN"/>
              </w:rPr>
              <w:t>，其他三侧噪声排放执行</w:t>
            </w:r>
            <w:r>
              <w:rPr>
                <w:rFonts w:hint="default" w:ascii="Times New Roman" w:hAnsi="Times New Roman" w:eastAsia="宋体" w:cs="Times New Roman"/>
                <w:kern w:val="0"/>
                <w:sz w:val="24"/>
              </w:rPr>
              <w:t>《工业企业厂界环境噪声排放标准》（GB12348-2008）中</w:t>
            </w:r>
            <w:r>
              <w:rPr>
                <w:rFonts w:hint="default" w:ascii="Times New Roman" w:hAnsi="Times New Roman" w:eastAsia="宋体" w:cs="Times New Roman"/>
                <w:kern w:val="0"/>
                <w:sz w:val="24"/>
                <w:lang w:val="en-US" w:eastAsia="zh-CN"/>
              </w:rPr>
              <w:t>2</w:t>
            </w:r>
            <w:r>
              <w:rPr>
                <w:rFonts w:hint="default" w:ascii="Times New Roman" w:hAnsi="Times New Roman" w:eastAsia="宋体" w:cs="Times New Roman"/>
                <w:kern w:val="0"/>
                <w:sz w:val="24"/>
              </w:rPr>
              <w:t>类标准。</w:t>
            </w:r>
          </w:p>
          <w:p w14:paraId="60EE277E">
            <w:pPr>
              <w:spacing w:line="360" w:lineRule="auto"/>
              <w:jc w:val="center"/>
              <w:rPr>
                <w:rFonts w:hint="default" w:ascii="Times New Roman" w:hAnsi="Times New Roman" w:eastAsia="宋体" w:cs="Times New Roman"/>
                <w:b/>
                <w:bCs/>
              </w:rPr>
            </w:pPr>
            <w:r>
              <w:rPr>
                <w:rFonts w:hint="default" w:ascii="Times New Roman" w:hAnsi="Times New Roman" w:eastAsia="宋体" w:cs="Times New Roman"/>
                <w:b/>
                <w:bCs/>
              </w:rPr>
              <w:t>表3.7-1   工业企业厂界环境噪声排放标准</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3788"/>
              <w:gridCol w:w="3254"/>
            </w:tblGrid>
            <w:tr w14:paraId="2424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pct"/>
                  <w:vAlign w:val="center"/>
                </w:tcPr>
                <w:p w14:paraId="1C2D5E3C">
                  <w:pPr>
                    <w:keepNext w:val="0"/>
                    <w:keepLines w:val="0"/>
                    <w:pageBreakBefore w:val="0"/>
                    <w:widowControl/>
                    <w:kinsoku/>
                    <w:wordWrap/>
                    <w:overflowPunct/>
                    <w:topLinePunct w:val="0"/>
                    <w:autoSpaceDE/>
                    <w:autoSpaceDN/>
                    <w:bidi w:val="0"/>
                    <w:adjustRightInd w:val="0"/>
                    <w:snapToGrid w:val="0"/>
                    <w:spacing w:line="0" w:lineRule="atLeast"/>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类  别</w:t>
                  </w:r>
                </w:p>
              </w:tc>
              <w:tc>
                <w:tcPr>
                  <w:tcW w:w="2114" w:type="pct"/>
                  <w:vAlign w:val="center"/>
                </w:tcPr>
                <w:p w14:paraId="4C426479">
                  <w:pPr>
                    <w:keepNext w:val="0"/>
                    <w:keepLines w:val="0"/>
                    <w:pageBreakBefore w:val="0"/>
                    <w:widowControl/>
                    <w:kinsoku/>
                    <w:wordWrap/>
                    <w:overflowPunct/>
                    <w:topLinePunct w:val="0"/>
                    <w:autoSpaceDE/>
                    <w:autoSpaceDN/>
                    <w:bidi w:val="0"/>
                    <w:adjustRightInd w:val="0"/>
                    <w:snapToGrid w:val="0"/>
                    <w:spacing w:line="0" w:lineRule="atLeast"/>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昼间Leq[dB(A)]</w:t>
                  </w:r>
                </w:p>
              </w:tc>
              <w:tc>
                <w:tcPr>
                  <w:tcW w:w="1816" w:type="pct"/>
                  <w:vAlign w:val="center"/>
                </w:tcPr>
                <w:p w14:paraId="7E107956">
                  <w:pPr>
                    <w:keepNext w:val="0"/>
                    <w:keepLines w:val="0"/>
                    <w:pageBreakBefore w:val="0"/>
                    <w:widowControl/>
                    <w:kinsoku/>
                    <w:wordWrap/>
                    <w:overflowPunct/>
                    <w:topLinePunct w:val="0"/>
                    <w:autoSpaceDE/>
                    <w:autoSpaceDN/>
                    <w:bidi w:val="0"/>
                    <w:adjustRightInd w:val="0"/>
                    <w:snapToGrid w:val="0"/>
                    <w:spacing w:line="0" w:lineRule="atLeast"/>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夜间Leq[dB(A)]</w:t>
                  </w:r>
                </w:p>
              </w:tc>
            </w:tr>
            <w:tr w14:paraId="67724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pct"/>
                  <w:vAlign w:val="center"/>
                </w:tcPr>
                <w:p w14:paraId="6634EBEE">
                  <w:pPr>
                    <w:keepNext w:val="0"/>
                    <w:keepLines w:val="0"/>
                    <w:pageBreakBefore w:val="0"/>
                    <w:widowControl/>
                    <w:kinsoku/>
                    <w:wordWrap/>
                    <w:overflowPunct/>
                    <w:topLinePunct w:val="0"/>
                    <w:autoSpaceDE/>
                    <w:autoSpaceDN/>
                    <w:bidi w:val="0"/>
                    <w:adjustRightInd w:val="0"/>
                    <w:snapToGrid w:val="0"/>
                    <w:spacing w:line="0" w:lineRule="atLeast"/>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2类</w:t>
                  </w:r>
                </w:p>
              </w:tc>
              <w:tc>
                <w:tcPr>
                  <w:tcW w:w="2114" w:type="pct"/>
                  <w:vAlign w:val="center"/>
                </w:tcPr>
                <w:p w14:paraId="7362827A">
                  <w:pPr>
                    <w:keepNext w:val="0"/>
                    <w:keepLines w:val="0"/>
                    <w:pageBreakBefore w:val="0"/>
                    <w:widowControl/>
                    <w:kinsoku/>
                    <w:wordWrap/>
                    <w:overflowPunct/>
                    <w:topLinePunct w:val="0"/>
                    <w:autoSpaceDE/>
                    <w:autoSpaceDN/>
                    <w:bidi w:val="0"/>
                    <w:adjustRightInd w:val="0"/>
                    <w:snapToGrid w:val="0"/>
                    <w:spacing w:line="0" w:lineRule="atLeast"/>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60</w:t>
                  </w:r>
                </w:p>
              </w:tc>
              <w:tc>
                <w:tcPr>
                  <w:tcW w:w="1816" w:type="pct"/>
                  <w:vAlign w:val="center"/>
                </w:tcPr>
                <w:p w14:paraId="7F6C5EB6">
                  <w:pPr>
                    <w:keepNext w:val="0"/>
                    <w:keepLines w:val="0"/>
                    <w:pageBreakBefore w:val="0"/>
                    <w:widowControl/>
                    <w:kinsoku/>
                    <w:wordWrap/>
                    <w:overflowPunct/>
                    <w:topLinePunct w:val="0"/>
                    <w:autoSpaceDE/>
                    <w:autoSpaceDN/>
                    <w:bidi w:val="0"/>
                    <w:adjustRightInd w:val="0"/>
                    <w:snapToGrid w:val="0"/>
                    <w:spacing w:line="0" w:lineRule="atLeast"/>
                    <w:ind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50</w:t>
                  </w:r>
                </w:p>
              </w:tc>
            </w:tr>
            <w:tr w14:paraId="3BF8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8" w:type="pct"/>
                  <w:vAlign w:val="center"/>
                </w:tcPr>
                <w:p w14:paraId="3B9953FA">
                  <w:pPr>
                    <w:keepNext w:val="0"/>
                    <w:keepLines w:val="0"/>
                    <w:pageBreakBefore w:val="0"/>
                    <w:widowControl/>
                    <w:kinsoku/>
                    <w:wordWrap/>
                    <w:overflowPunct/>
                    <w:topLinePunct w:val="0"/>
                    <w:autoSpaceDE/>
                    <w:autoSpaceDN/>
                    <w:bidi w:val="0"/>
                    <w:adjustRightInd w:val="0"/>
                    <w:snapToGrid w:val="0"/>
                    <w:spacing w:line="0" w:lineRule="atLeast"/>
                    <w:ind w:firstLine="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4类</w:t>
                  </w:r>
                </w:p>
              </w:tc>
              <w:tc>
                <w:tcPr>
                  <w:tcW w:w="2114" w:type="pct"/>
                  <w:vAlign w:val="center"/>
                </w:tcPr>
                <w:p w14:paraId="1A2025C7">
                  <w:pPr>
                    <w:keepNext w:val="0"/>
                    <w:keepLines w:val="0"/>
                    <w:pageBreakBefore w:val="0"/>
                    <w:widowControl/>
                    <w:kinsoku/>
                    <w:wordWrap/>
                    <w:overflowPunct/>
                    <w:topLinePunct w:val="0"/>
                    <w:autoSpaceDE/>
                    <w:autoSpaceDN/>
                    <w:bidi w:val="0"/>
                    <w:adjustRightInd w:val="0"/>
                    <w:snapToGrid w:val="0"/>
                    <w:spacing w:line="0" w:lineRule="atLeast"/>
                    <w:ind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70</w:t>
                  </w:r>
                </w:p>
              </w:tc>
              <w:tc>
                <w:tcPr>
                  <w:tcW w:w="1816" w:type="pct"/>
                  <w:vAlign w:val="center"/>
                </w:tcPr>
                <w:p w14:paraId="1F1EB054">
                  <w:pPr>
                    <w:keepNext w:val="0"/>
                    <w:keepLines w:val="0"/>
                    <w:pageBreakBefore w:val="0"/>
                    <w:widowControl/>
                    <w:kinsoku/>
                    <w:wordWrap/>
                    <w:overflowPunct/>
                    <w:topLinePunct w:val="0"/>
                    <w:autoSpaceDE/>
                    <w:autoSpaceDN/>
                    <w:bidi w:val="0"/>
                    <w:adjustRightInd w:val="0"/>
                    <w:snapToGrid w:val="0"/>
                    <w:spacing w:line="0" w:lineRule="atLeast"/>
                    <w:ind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55</w:t>
                  </w:r>
                </w:p>
              </w:tc>
            </w:tr>
          </w:tbl>
          <w:p w14:paraId="6B98FDE8">
            <w:pPr>
              <w:spacing w:line="360" w:lineRule="auto"/>
              <w:ind w:firstLine="482" w:firstLineChars="200"/>
              <w:jc w:val="left"/>
              <w:rPr>
                <w:rFonts w:hint="default" w:ascii="Times New Roman" w:hAnsi="Times New Roman" w:eastAsia="宋体" w:cs="Times New Roman"/>
                <w:b/>
                <w:sz w:val="24"/>
                <w:szCs w:val="24"/>
                <w:u w:val="none" w:color="auto"/>
                <w:lang w:val="en-US" w:eastAsia="zh-CN"/>
              </w:rPr>
            </w:pPr>
            <w:r>
              <w:rPr>
                <w:rFonts w:hint="default" w:ascii="Times New Roman" w:hAnsi="Times New Roman" w:eastAsia="宋体" w:cs="Times New Roman"/>
                <w:b/>
                <w:sz w:val="24"/>
                <w:szCs w:val="24"/>
                <w:u w:val="none" w:color="auto"/>
                <w:lang w:val="en-US" w:eastAsia="zh-CN"/>
              </w:rPr>
              <w:t>3.9废水</w:t>
            </w:r>
          </w:p>
          <w:p w14:paraId="47D526F5">
            <w:pPr>
              <w:widowControl/>
              <w:spacing w:line="360" w:lineRule="auto"/>
              <w:ind w:firstLine="480" w:firstLineChars="200"/>
              <w:jc w:val="both"/>
              <w:rPr>
                <w:rFonts w:hint="default" w:ascii="Times New Roman" w:hAnsi="Times New Roman" w:eastAsia="宋体" w:cs="Times New Roman"/>
                <w:kern w:val="0"/>
                <w:sz w:val="24"/>
              </w:rPr>
            </w:pPr>
            <w:r>
              <w:rPr>
                <w:rFonts w:hint="default" w:ascii="Times New Roman" w:hAnsi="Times New Roman" w:eastAsia="宋体" w:cs="Times New Roman"/>
                <w:kern w:val="0"/>
                <w:sz w:val="24"/>
              </w:rPr>
              <w:t>本项目废水均不外排，生活污水经化粪池处理后用作周边农肥，场地抑尘用水全部蒸发，混凝土搅拌用水大部分进入产品，部分挥发到空气中，养护废水、搅拌机清洗废水经沉淀池沉淀后全部回用于生产。</w:t>
            </w:r>
          </w:p>
          <w:p w14:paraId="163C794C">
            <w:pPr>
              <w:spacing w:line="360" w:lineRule="auto"/>
              <w:ind w:firstLine="482" w:firstLineChars="200"/>
              <w:jc w:val="left"/>
              <w:rPr>
                <w:rFonts w:hint="default" w:ascii="Times New Roman" w:hAnsi="Times New Roman" w:eastAsia="宋体" w:cs="Times New Roman"/>
                <w:b/>
                <w:sz w:val="24"/>
                <w:szCs w:val="24"/>
                <w:u w:val="none" w:color="auto"/>
                <w:lang w:val="en-US" w:eastAsia="zh-CN"/>
              </w:rPr>
            </w:pPr>
            <w:r>
              <w:rPr>
                <w:rFonts w:hint="default" w:ascii="Times New Roman" w:hAnsi="Times New Roman" w:eastAsia="宋体" w:cs="Times New Roman"/>
                <w:b/>
                <w:sz w:val="24"/>
                <w:szCs w:val="24"/>
                <w:u w:val="none" w:color="auto"/>
                <w:lang w:val="en-US" w:eastAsia="zh-CN"/>
              </w:rPr>
              <w:t>3.10固废</w:t>
            </w:r>
          </w:p>
          <w:p w14:paraId="302F1591">
            <w:pPr>
              <w:pStyle w:val="58"/>
              <w:rPr>
                <w:rFonts w:hint="default" w:ascii="Times New Roman" w:hAnsi="Times New Roman" w:cs="Times New Roman"/>
              </w:rPr>
            </w:pPr>
            <w:r>
              <w:rPr>
                <w:rFonts w:hint="default" w:ascii="Times New Roman" w:hAnsi="Times New Roman" w:eastAsia="宋体" w:cs="Times New Roman"/>
                <w:kern w:val="0"/>
                <w:sz w:val="24"/>
                <w:szCs w:val="21"/>
                <w:u w:val="none"/>
                <w:lang w:val="zh-CN" w:eastAsia="zh-CN" w:bidi="ar-SA"/>
              </w:rPr>
              <w:t>一般工业固废处置执行《一般工业固体废物贮存和填埋污染控制标准》（GB18599-2020）。危险废物执行《危险废物贮存污染控制标准》（GB 18597</w:t>
            </w:r>
            <w:r>
              <w:rPr>
                <w:rFonts w:hint="eastAsia" w:cs="Times New Roman"/>
                <w:kern w:val="0"/>
                <w:sz w:val="24"/>
                <w:szCs w:val="21"/>
                <w:u w:val="none"/>
                <w:lang w:val="en-US" w:eastAsia="zh-CN" w:bidi="ar-SA"/>
              </w:rPr>
              <w:t>-</w:t>
            </w:r>
            <w:r>
              <w:rPr>
                <w:rFonts w:hint="default" w:ascii="Times New Roman" w:hAnsi="Times New Roman" w:eastAsia="宋体" w:cs="Times New Roman"/>
                <w:kern w:val="0"/>
                <w:sz w:val="24"/>
                <w:szCs w:val="21"/>
                <w:u w:val="none"/>
                <w:lang w:val="zh-CN" w:eastAsia="zh-CN" w:bidi="ar-SA"/>
              </w:rPr>
              <w:t>2023）。</w:t>
            </w:r>
          </w:p>
        </w:tc>
      </w:tr>
      <w:tr w14:paraId="4A9F41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0" w:hRule="atLeast"/>
          <w:jc w:val="center"/>
        </w:trPr>
        <w:tc>
          <w:tcPr>
            <w:tcW w:w="388" w:type="pct"/>
            <w:vAlign w:val="center"/>
          </w:tcPr>
          <w:p w14:paraId="7A376E6F">
            <w:pPr>
              <w:jc w:val="center"/>
              <w:rPr>
                <w:rFonts w:hint="default" w:ascii="Times New Roman" w:hAnsi="Times New Roman" w:cs="Times New Roman"/>
                <w:kern w:val="0"/>
              </w:rPr>
            </w:pPr>
            <w:r>
              <w:rPr>
                <w:rFonts w:hint="default" w:ascii="Times New Roman" w:hAnsi="Times New Roman" w:cs="Times New Roman"/>
                <w:kern w:val="0"/>
              </w:rPr>
              <w:t>总量</w:t>
            </w:r>
          </w:p>
          <w:p w14:paraId="4E95EAC6">
            <w:pPr>
              <w:jc w:val="center"/>
              <w:rPr>
                <w:rFonts w:hint="default" w:ascii="Times New Roman" w:hAnsi="Times New Roman" w:cs="Times New Roman"/>
                <w:kern w:val="0"/>
              </w:rPr>
            </w:pPr>
            <w:r>
              <w:rPr>
                <w:rFonts w:hint="default" w:ascii="Times New Roman" w:hAnsi="Times New Roman" w:cs="Times New Roman"/>
                <w:kern w:val="0"/>
              </w:rPr>
              <w:t>控制</w:t>
            </w:r>
          </w:p>
          <w:p w14:paraId="742CA842">
            <w:pPr>
              <w:jc w:val="center"/>
              <w:rPr>
                <w:rFonts w:hint="default" w:ascii="Times New Roman" w:hAnsi="Times New Roman" w:cs="Times New Roman"/>
                <w:kern w:val="0"/>
              </w:rPr>
            </w:pPr>
            <w:r>
              <w:rPr>
                <w:rFonts w:hint="default" w:ascii="Times New Roman" w:hAnsi="Times New Roman" w:cs="Times New Roman"/>
                <w:kern w:val="0"/>
              </w:rPr>
              <w:t>指标</w:t>
            </w:r>
          </w:p>
        </w:tc>
        <w:tc>
          <w:tcPr>
            <w:tcW w:w="4611" w:type="pct"/>
            <w:vAlign w:val="center"/>
          </w:tcPr>
          <w:p w14:paraId="304182C2">
            <w:pPr>
              <w:pStyle w:val="38"/>
              <w:keepNext w:val="0"/>
              <w:keepLines w:val="0"/>
              <w:pageBreakBefore w:val="0"/>
              <w:widowControl/>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cs="Times New Roman"/>
                <w:bCs/>
                <w:kern w:val="0"/>
                <w:sz w:val="24"/>
                <w:szCs w:val="24"/>
                <w:u w:val="none"/>
                <w:lang w:val="en-US" w:eastAsia="zh-CN"/>
              </w:rPr>
            </w:pPr>
            <w:r>
              <w:rPr>
                <w:rFonts w:hint="default" w:ascii="Times New Roman" w:hAnsi="Times New Roman" w:cs="Times New Roman"/>
                <w:bCs/>
                <w:kern w:val="0"/>
                <w:sz w:val="24"/>
                <w:szCs w:val="24"/>
                <w:u w:val="none"/>
                <w:lang w:val="en-US" w:eastAsia="zh-CN"/>
              </w:rPr>
              <w:t>根据国家对全国主要污染物排放总量控制计划的要求，将对化学需氧量</w:t>
            </w:r>
            <w:r>
              <w:rPr>
                <w:rFonts w:hint="default" w:ascii="Times New Roman" w:hAnsi="Times New Roman" w:cs="Times New Roman"/>
                <w:bCs/>
                <w:kern w:val="0"/>
                <w:sz w:val="24"/>
                <w:szCs w:val="24"/>
                <w:u w:val="none"/>
                <w:lang w:val="en-US" w:eastAsia="en-US"/>
              </w:rPr>
              <w:t>(COD)、</w:t>
            </w:r>
            <w:r>
              <w:rPr>
                <w:rFonts w:hint="default" w:ascii="Times New Roman" w:hAnsi="Times New Roman" w:cs="Times New Roman"/>
                <w:bCs/>
                <w:kern w:val="0"/>
                <w:sz w:val="24"/>
                <w:szCs w:val="24"/>
                <w:u w:val="none"/>
                <w:lang w:val="en-US" w:eastAsia="zh-CN"/>
              </w:rPr>
              <w:t>氨氮</w:t>
            </w:r>
            <w:r>
              <w:rPr>
                <w:rFonts w:hint="default" w:ascii="Times New Roman" w:hAnsi="Times New Roman" w:cs="Times New Roman"/>
                <w:bCs/>
                <w:kern w:val="0"/>
                <w:sz w:val="24"/>
                <w:szCs w:val="24"/>
                <w:u w:val="none"/>
                <w:lang w:val="en-US" w:eastAsia="en-US"/>
              </w:rPr>
              <w:t>(NH</w:t>
            </w:r>
            <w:r>
              <w:rPr>
                <w:rFonts w:hint="default" w:ascii="Times New Roman" w:hAnsi="Times New Roman" w:cs="Times New Roman"/>
                <w:bCs/>
                <w:kern w:val="0"/>
                <w:sz w:val="24"/>
                <w:szCs w:val="24"/>
                <w:u w:val="none"/>
                <w:vertAlign w:val="subscript"/>
                <w:lang w:val="en-US" w:eastAsia="en-US"/>
              </w:rPr>
              <w:t>3</w:t>
            </w:r>
            <w:r>
              <w:rPr>
                <w:rFonts w:hint="default" w:ascii="Times New Roman" w:hAnsi="Times New Roman" w:cs="Times New Roman"/>
                <w:bCs/>
                <w:kern w:val="0"/>
                <w:sz w:val="24"/>
                <w:szCs w:val="24"/>
                <w:u w:val="none"/>
                <w:lang w:val="en-US" w:eastAsia="en-US"/>
              </w:rPr>
              <w:t>-N)</w:t>
            </w:r>
            <w:r>
              <w:rPr>
                <w:rFonts w:hint="default" w:ascii="Times New Roman" w:hAnsi="Times New Roman" w:cs="Times New Roman"/>
                <w:bCs/>
                <w:kern w:val="0"/>
                <w:sz w:val="24"/>
                <w:szCs w:val="24"/>
                <w:u w:val="none"/>
                <w:lang w:val="en-US" w:eastAsia="zh-CN"/>
              </w:rPr>
              <w:t>、二氧化硫</w:t>
            </w:r>
            <w:r>
              <w:rPr>
                <w:rFonts w:hint="default" w:ascii="Times New Roman" w:hAnsi="Times New Roman" w:cs="Times New Roman"/>
                <w:bCs/>
                <w:kern w:val="0"/>
                <w:sz w:val="24"/>
                <w:szCs w:val="24"/>
                <w:u w:val="none"/>
                <w:lang w:val="en-US" w:eastAsia="en-US"/>
              </w:rPr>
              <w:t>(SO</w:t>
            </w:r>
            <w:r>
              <w:rPr>
                <w:rFonts w:hint="default" w:ascii="Times New Roman" w:hAnsi="Times New Roman" w:cs="Times New Roman"/>
                <w:bCs/>
                <w:kern w:val="0"/>
                <w:sz w:val="24"/>
                <w:szCs w:val="24"/>
                <w:u w:val="none"/>
                <w:vertAlign w:val="subscript"/>
                <w:lang w:val="en-US" w:eastAsia="en-US"/>
              </w:rPr>
              <w:t>2</w:t>
            </w:r>
            <w:r>
              <w:rPr>
                <w:rFonts w:hint="default" w:ascii="Times New Roman" w:hAnsi="Times New Roman" w:cs="Times New Roman"/>
                <w:bCs/>
                <w:kern w:val="0"/>
                <w:sz w:val="24"/>
                <w:szCs w:val="24"/>
                <w:u w:val="none"/>
                <w:lang w:val="en-US" w:eastAsia="en-US"/>
              </w:rPr>
              <w:t>)、</w:t>
            </w:r>
            <w:r>
              <w:rPr>
                <w:rFonts w:hint="default" w:ascii="Times New Roman" w:hAnsi="Times New Roman" w:cs="Times New Roman"/>
                <w:bCs/>
                <w:kern w:val="0"/>
                <w:sz w:val="24"/>
                <w:szCs w:val="24"/>
                <w:u w:val="none"/>
                <w:lang w:val="en-US" w:eastAsia="zh-CN"/>
              </w:rPr>
              <w:t>氮氧化物</w:t>
            </w:r>
            <w:r>
              <w:rPr>
                <w:rFonts w:hint="default" w:ascii="Times New Roman" w:hAnsi="Times New Roman" w:cs="Times New Roman"/>
                <w:bCs/>
                <w:kern w:val="0"/>
                <w:sz w:val="24"/>
                <w:szCs w:val="24"/>
                <w:u w:val="none"/>
                <w:lang w:val="en-US" w:eastAsia="en-US"/>
              </w:rPr>
              <w:t>(NOx)</w:t>
            </w:r>
            <w:r>
              <w:rPr>
                <w:rFonts w:hint="default" w:ascii="Times New Roman" w:hAnsi="Times New Roman" w:cs="Times New Roman"/>
                <w:bCs/>
                <w:kern w:val="0"/>
                <w:sz w:val="24"/>
                <w:szCs w:val="24"/>
                <w:u w:val="none"/>
                <w:lang w:val="en-US" w:eastAsia="zh-CN"/>
              </w:rPr>
              <w:t>等主要污染物实行排放总量控制计划管理。</w:t>
            </w:r>
          </w:p>
          <w:p w14:paraId="377CF0A3">
            <w:pPr>
              <w:pStyle w:val="38"/>
              <w:keepNext w:val="0"/>
              <w:keepLines w:val="0"/>
              <w:pageBreakBefore w:val="0"/>
              <w:widowControl/>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cs="Times New Roman"/>
                <w:bCs/>
                <w:kern w:val="0"/>
                <w:sz w:val="24"/>
                <w:szCs w:val="24"/>
                <w:u w:val="none"/>
              </w:rPr>
            </w:pPr>
            <w:r>
              <w:rPr>
                <w:rFonts w:hint="default" w:ascii="Times New Roman" w:hAnsi="Times New Roman" w:cs="Times New Roman"/>
                <w:bCs/>
                <w:kern w:val="0"/>
                <w:sz w:val="24"/>
                <w:szCs w:val="24"/>
                <w:u w:val="none"/>
              </w:rPr>
              <w:t>项目主要排放的污染物为生活污水中的COD、NH</w:t>
            </w:r>
            <w:r>
              <w:rPr>
                <w:rFonts w:hint="default" w:ascii="Times New Roman" w:hAnsi="Times New Roman" w:cs="Times New Roman"/>
                <w:bCs/>
                <w:kern w:val="0"/>
                <w:sz w:val="24"/>
                <w:szCs w:val="24"/>
                <w:u w:val="none"/>
                <w:vertAlign w:val="subscript"/>
              </w:rPr>
              <w:t>3</w:t>
            </w:r>
            <w:r>
              <w:rPr>
                <w:rFonts w:hint="default" w:ascii="Times New Roman" w:hAnsi="Times New Roman" w:cs="Times New Roman"/>
                <w:bCs/>
                <w:kern w:val="0"/>
                <w:sz w:val="24"/>
                <w:szCs w:val="24"/>
                <w:u w:val="none"/>
              </w:rPr>
              <w:t>-N</w:t>
            </w:r>
            <w:r>
              <w:rPr>
                <w:rFonts w:hint="eastAsia" w:ascii="Times New Roman" w:hAnsi="Times New Roman" w:cs="Times New Roman"/>
                <w:bCs/>
                <w:kern w:val="0"/>
                <w:sz w:val="24"/>
                <w:szCs w:val="24"/>
                <w:u w:val="none"/>
                <w:lang w:eastAsia="zh-CN"/>
              </w:rPr>
              <w:t>，</w:t>
            </w:r>
            <w:r>
              <w:rPr>
                <w:rFonts w:hint="default" w:ascii="Times New Roman" w:hAnsi="Times New Roman" w:cs="Times New Roman"/>
                <w:bCs/>
                <w:kern w:val="0"/>
                <w:sz w:val="24"/>
                <w:szCs w:val="24"/>
                <w:u w:val="none"/>
              </w:rPr>
              <w:t>生活污水经化粪池处理后收集用于项目周边育林、绿化和农肥。生产用水经收集后回用生产。</w:t>
            </w:r>
          </w:p>
          <w:p w14:paraId="19CF06CB">
            <w:pPr>
              <w:pStyle w:val="38"/>
              <w:keepNext w:val="0"/>
              <w:keepLines w:val="0"/>
              <w:pageBreakBefore w:val="0"/>
              <w:widowControl/>
              <w:kinsoku/>
              <w:wordWrap/>
              <w:overflowPunct/>
              <w:topLinePunct w:val="0"/>
              <w:autoSpaceDE/>
              <w:autoSpaceDN/>
              <w:bidi w:val="0"/>
              <w:adjustRightInd/>
              <w:snapToGrid/>
              <w:spacing w:after="0" w:line="360" w:lineRule="auto"/>
              <w:ind w:left="0" w:leftChars="0"/>
              <w:jc w:val="both"/>
              <w:textAlignment w:val="auto"/>
              <w:rPr>
                <w:rFonts w:hint="default" w:ascii="Times New Roman" w:hAnsi="Times New Roman" w:cs="Times New Roman"/>
                <w:lang w:bidi="ar"/>
              </w:rPr>
            </w:pPr>
            <w:r>
              <w:rPr>
                <w:rFonts w:hint="default" w:ascii="Times New Roman" w:hAnsi="Times New Roman" w:cs="Times New Roman"/>
                <w:bCs/>
                <w:kern w:val="0"/>
                <w:sz w:val="24"/>
                <w:szCs w:val="24"/>
                <w:u w:val="none"/>
                <w:lang w:val="en-US" w:eastAsia="zh-CN"/>
              </w:rPr>
              <w:t>根据工程分析，本项目总量控制指标：二氧化硫排放量：</w:t>
            </w:r>
            <w:r>
              <w:rPr>
                <w:rFonts w:hint="eastAsia" w:ascii="Times New Roman" w:hAnsi="Times New Roman" w:cs="Times New Roman"/>
                <w:bCs/>
                <w:kern w:val="0"/>
                <w:sz w:val="24"/>
                <w:szCs w:val="24"/>
                <w:u w:val="none"/>
                <w:lang w:val="en-US" w:eastAsia="zh-CN"/>
              </w:rPr>
              <w:t>0.016</w:t>
            </w:r>
            <w:r>
              <w:rPr>
                <w:rFonts w:hint="default" w:ascii="Times New Roman" w:hAnsi="Times New Roman" w:cs="Times New Roman"/>
                <w:bCs/>
                <w:kern w:val="0"/>
                <w:sz w:val="24"/>
                <w:szCs w:val="24"/>
                <w:u w:val="none"/>
                <w:lang w:val="en-US" w:eastAsia="zh-CN"/>
              </w:rPr>
              <w:t>t/a；氮氧化物排放量：0.</w:t>
            </w:r>
            <w:r>
              <w:rPr>
                <w:rFonts w:hint="eastAsia" w:ascii="Times New Roman" w:hAnsi="Times New Roman" w:cs="Times New Roman"/>
                <w:bCs/>
                <w:kern w:val="0"/>
                <w:sz w:val="24"/>
                <w:szCs w:val="24"/>
                <w:u w:val="none"/>
                <w:lang w:val="en-US" w:eastAsia="zh-CN"/>
              </w:rPr>
              <w:t>0964</w:t>
            </w:r>
            <w:r>
              <w:rPr>
                <w:rFonts w:hint="default" w:ascii="Times New Roman" w:hAnsi="Times New Roman" w:cs="Times New Roman"/>
                <w:bCs/>
                <w:kern w:val="0"/>
                <w:sz w:val="24"/>
                <w:szCs w:val="24"/>
                <w:u w:val="none"/>
                <w:lang w:val="en-US" w:eastAsia="zh-CN"/>
              </w:rPr>
              <w:t>t/a。</w:t>
            </w:r>
          </w:p>
        </w:tc>
      </w:tr>
    </w:tbl>
    <w:p w14:paraId="56881DDE">
      <w:pPr>
        <w:pStyle w:val="35"/>
        <w:ind w:firstLine="720"/>
        <w:jc w:val="center"/>
        <w:outlineLvl w:val="0"/>
        <w:rPr>
          <w:rFonts w:hint="default" w:ascii="Times New Roman" w:hAnsi="Times New Roman" w:eastAsia="宋体" w:cs="Times New Roman"/>
          <w:b/>
          <w:bCs/>
          <w:snapToGrid w:val="0"/>
          <w:sz w:val="30"/>
          <w:szCs w:val="30"/>
        </w:rPr>
      </w:pPr>
      <w:r>
        <w:rPr>
          <w:rFonts w:hint="default" w:ascii="Times New Roman" w:hAnsi="Times New Roman" w:cs="Times New Roman"/>
          <w:snapToGrid w:val="0"/>
          <w:sz w:val="36"/>
          <w:szCs w:val="36"/>
        </w:rPr>
        <w:br w:type="page"/>
      </w:r>
      <w:bookmarkStart w:id="3" w:name="_Toc16686"/>
      <w:r>
        <w:rPr>
          <w:rFonts w:hint="default" w:ascii="Times New Roman" w:hAnsi="Times New Roman" w:eastAsia="宋体" w:cs="Times New Roman"/>
          <w:b/>
          <w:bCs/>
          <w:snapToGrid w:val="0"/>
          <w:sz w:val="30"/>
          <w:szCs w:val="30"/>
        </w:rPr>
        <w:t>四、主要环境影响和保护措施</w:t>
      </w:r>
      <w:bookmarkEnd w:id="3"/>
    </w:p>
    <w:tbl>
      <w:tblPr>
        <w:tblStyle w:val="39"/>
        <w:tblW w:w="508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9362"/>
      </w:tblGrid>
      <w:tr w14:paraId="360B0D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4" w:hRule="atLeast"/>
          <w:jc w:val="center"/>
        </w:trPr>
        <w:tc>
          <w:tcPr>
            <w:tcW w:w="339" w:type="pct"/>
            <w:tcMar>
              <w:left w:w="28" w:type="dxa"/>
              <w:right w:w="28" w:type="dxa"/>
            </w:tcMar>
            <w:vAlign w:val="center"/>
          </w:tcPr>
          <w:p w14:paraId="3DC0BE60">
            <w:pPr>
              <w:pStyle w:val="35"/>
              <w:spacing w:before="0" w:beforeAutospacing="0" w:after="0" w:afterAutospacing="0"/>
              <w:jc w:val="center"/>
              <w:rPr>
                <w:rFonts w:hint="default" w:ascii="Times New Roman" w:hAnsi="Times New Roman" w:cs="Times New Roman"/>
                <w:kern w:val="2"/>
                <w:sz w:val="24"/>
                <w:szCs w:val="24"/>
                <w:u w:val="none"/>
              </w:rPr>
            </w:pPr>
            <w:r>
              <w:rPr>
                <w:rFonts w:hint="default" w:ascii="Times New Roman" w:hAnsi="Times New Roman" w:cs="Times New Roman"/>
                <w:kern w:val="2"/>
                <w:sz w:val="24"/>
                <w:szCs w:val="24"/>
                <w:u w:val="none"/>
              </w:rPr>
              <w:t>施工</w:t>
            </w:r>
          </w:p>
          <w:p w14:paraId="00EF67C6">
            <w:pPr>
              <w:pStyle w:val="35"/>
              <w:spacing w:before="0" w:beforeAutospacing="0" w:after="0" w:afterAutospacing="0"/>
              <w:jc w:val="center"/>
              <w:rPr>
                <w:rFonts w:hint="default" w:ascii="Times New Roman" w:hAnsi="Times New Roman" w:cs="Times New Roman"/>
                <w:kern w:val="2"/>
                <w:sz w:val="24"/>
                <w:szCs w:val="24"/>
                <w:u w:val="none"/>
              </w:rPr>
            </w:pPr>
            <w:r>
              <w:rPr>
                <w:rFonts w:hint="default" w:ascii="Times New Roman" w:hAnsi="Times New Roman" w:cs="Times New Roman"/>
                <w:kern w:val="2"/>
                <w:sz w:val="24"/>
                <w:szCs w:val="24"/>
                <w:u w:val="none"/>
              </w:rPr>
              <w:t>期环</w:t>
            </w:r>
          </w:p>
          <w:p w14:paraId="05F689E8">
            <w:pPr>
              <w:pStyle w:val="35"/>
              <w:spacing w:before="0" w:beforeAutospacing="0" w:after="0" w:afterAutospacing="0"/>
              <w:jc w:val="center"/>
              <w:rPr>
                <w:rFonts w:hint="default" w:ascii="Times New Roman" w:hAnsi="Times New Roman" w:cs="Times New Roman"/>
                <w:kern w:val="2"/>
                <w:sz w:val="24"/>
                <w:szCs w:val="24"/>
                <w:u w:val="none"/>
              </w:rPr>
            </w:pPr>
            <w:r>
              <w:rPr>
                <w:rFonts w:hint="default" w:ascii="Times New Roman" w:hAnsi="Times New Roman" w:cs="Times New Roman"/>
                <w:kern w:val="2"/>
                <w:sz w:val="24"/>
                <w:szCs w:val="24"/>
                <w:u w:val="none"/>
              </w:rPr>
              <w:t>境保</w:t>
            </w:r>
          </w:p>
          <w:p w14:paraId="7A6B9981">
            <w:pPr>
              <w:pStyle w:val="35"/>
              <w:spacing w:before="0" w:beforeAutospacing="0" w:after="0" w:afterAutospacing="0"/>
              <w:jc w:val="center"/>
              <w:rPr>
                <w:rFonts w:hint="default" w:ascii="Times New Roman" w:hAnsi="Times New Roman" w:cs="Times New Roman"/>
                <w:kern w:val="2"/>
                <w:sz w:val="24"/>
                <w:szCs w:val="24"/>
                <w:u w:val="none"/>
              </w:rPr>
            </w:pPr>
            <w:r>
              <w:rPr>
                <w:rFonts w:hint="default" w:ascii="Times New Roman" w:hAnsi="Times New Roman" w:cs="Times New Roman"/>
                <w:kern w:val="2"/>
                <w:sz w:val="24"/>
                <w:szCs w:val="24"/>
                <w:u w:val="none"/>
              </w:rPr>
              <w:t>护措</w:t>
            </w:r>
          </w:p>
          <w:p w14:paraId="16A85731">
            <w:pPr>
              <w:pStyle w:val="35"/>
              <w:spacing w:before="0" w:beforeAutospacing="0" w:after="0" w:afterAutospacing="0"/>
              <w:jc w:val="center"/>
              <w:rPr>
                <w:rFonts w:hint="default" w:ascii="Times New Roman" w:hAnsi="Times New Roman" w:cs="Times New Roman"/>
                <w:bCs/>
                <w:kern w:val="2"/>
                <w:sz w:val="24"/>
                <w:szCs w:val="24"/>
                <w:u w:val="none"/>
              </w:rPr>
            </w:pPr>
            <w:r>
              <w:rPr>
                <w:rFonts w:hint="default" w:ascii="Times New Roman" w:hAnsi="Times New Roman" w:cs="Times New Roman"/>
                <w:kern w:val="2"/>
                <w:sz w:val="24"/>
                <w:szCs w:val="24"/>
                <w:u w:val="none"/>
              </w:rPr>
              <w:t>施</w:t>
            </w:r>
          </w:p>
        </w:tc>
        <w:tc>
          <w:tcPr>
            <w:tcW w:w="4660" w:type="pct"/>
            <w:vAlign w:val="center"/>
          </w:tcPr>
          <w:p w14:paraId="76D2EDD6">
            <w:pPr>
              <w:pStyle w:val="15"/>
              <w:keepNext w:val="0"/>
              <w:keepLines w:val="0"/>
              <w:pageBreakBefore w:val="0"/>
              <w:widowControl/>
              <w:kinsoku/>
              <w:wordWrap/>
              <w:overflowPunct/>
              <w:topLinePunct w:val="0"/>
              <w:autoSpaceDE/>
              <w:autoSpaceDN/>
              <w:bidi w:val="0"/>
              <w:adjustRightInd w:val="0"/>
              <w:snapToGrid w:val="0"/>
              <w:spacing w:line="360" w:lineRule="auto"/>
              <w:ind w:firstLine="42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本项目为</w:t>
            </w:r>
            <w:r>
              <w:rPr>
                <w:rFonts w:hint="default" w:ascii="Times New Roman" w:hAnsi="Times New Roman" w:cs="Times New Roman"/>
                <w:sz w:val="24"/>
                <w:szCs w:val="24"/>
                <w:u w:val="none"/>
                <w:lang w:val="en-US" w:eastAsia="zh-CN"/>
              </w:rPr>
              <w:t>扩建</w:t>
            </w:r>
            <w:r>
              <w:rPr>
                <w:rFonts w:hint="default" w:ascii="Times New Roman" w:hAnsi="Times New Roman" w:cs="Times New Roman"/>
                <w:sz w:val="24"/>
                <w:szCs w:val="24"/>
                <w:u w:val="none"/>
              </w:rPr>
              <w:t>环评项目，</w:t>
            </w:r>
            <w:r>
              <w:rPr>
                <w:rFonts w:hint="eastAsia" w:cs="Times New Roman"/>
                <w:sz w:val="24"/>
                <w:szCs w:val="24"/>
                <w:u w:val="none"/>
                <w:lang w:eastAsia="zh-CN"/>
              </w:rPr>
              <w:t>仅进行设备安装，不涉及土建工程，因此</w:t>
            </w:r>
            <w:r>
              <w:rPr>
                <w:rFonts w:hint="default" w:ascii="Times New Roman" w:hAnsi="Times New Roman" w:cs="Times New Roman"/>
                <w:sz w:val="24"/>
                <w:szCs w:val="24"/>
                <w:u w:val="none"/>
              </w:rPr>
              <w:t>本次评价不再对施工期环境影响进行分析。</w:t>
            </w:r>
          </w:p>
        </w:tc>
      </w:tr>
      <w:tr w14:paraId="2434BD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4" w:hRule="atLeast"/>
          <w:jc w:val="center"/>
        </w:trPr>
        <w:tc>
          <w:tcPr>
            <w:tcW w:w="339" w:type="pct"/>
            <w:tcMar>
              <w:left w:w="28" w:type="dxa"/>
              <w:right w:w="28" w:type="dxa"/>
            </w:tcMar>
            <w:vAlign w:val="center"/>
          </w:tcPr>
          <w:p w14:paraId="25BD9E04">
            <w:pPr>
              <w:jc w:val="center"/>
              <w:rPr>
                <w:rFonts w:hint="default" w:ascii="Times New Roman" w:hAnsi="Times New Roman" w:cs="Times New Roman"/>
                <w:bCs/>
                <w:sz w:val="24"/>
                <w:szCs w:val="24"/>
                <w:u w:val="none"/>
              </w:rPr>
            </w:pPr>
            <w:r>
              <w:rPr>
                <w:rFonts w:hint="default" w:ascii="Times New Roman" w:hAnsi="Times New Roman" w:cs="Times New Roman"/>
                <w:bCs/>
                <w:sz w:val="24"/>
                <w:szCs w:val="24"/>
                <w:u w:val="none"/>
              </w:rPr>
              <w:t>运营</w:t>
            </w:r>
          </w:p>
          <w:p w14:paraId="5B271653">
            <w:pPr>
              <w:jc w:val="center"/>
              <w:rPr>
                <w:rFonts w:hint="default" w:ascii="Times New Roman" w:hAnsi="Times New Roman" w:cs="Times New Roman"/>
                <w:bCs/>
                <w:sz w:val="24"/>
                <w:szCs w:val="24"/>
                <w:u w:val="none"/>
              </w:rPr>
            </w:pPr>
            <w:r>
              <w:rPr>
                <w:rFonts w:hint="default" w:ascii="Times New Roman" w:hAnsi="Times New Roman" w:cs="Times New Roman"/>
                <w:bCs/>
                <w:sz w:val="24"/>
                <w:szCs w:val="24"/>
                <w:u w:val="none"/>
              </w:rPr>
              <w:t>期环</w:t>
            </w:r>
          </w:p>
          <w:p w14:paraId="06700295">
            <w:pPr>
              <w:jc w:val="center"/>
              <w:rPr>
                <w:rFonts w:hint="default" w:ascii="Times New Roman" w:hAnsi="Times New Roman" w:cs="Times New Roman"/>
                <w:bCs/>
                <w:sz w:val="24"/>
                <w:szCs w:val="24"/>
                <w:u w:val="none"/>
              </w:rPr>
            </w:pPr>
            <w:r>
              <w:rPr>
                <w:rFonts w:hint="default" w:ascii="Times New Roman" w:hAnsi="Times New Roman" w:cs="Times New Roman"/>
                <w:bCs/>
                <w:sz w:val="24"/>
                <w:szCs w:val="24"/>
                <w:u w:val="none"/>
              </w:rPr>
              <w:t>境影</w:t>
            </w:r>
          </w:p>
          <w:p w14:paraId="5EE27198">
            <w:pPr>
              <w:jc w:val="center"/>
              <w:rPr>
                <w:rFonts w:hint="default" w:ascii="Times New Roman" w:hAnsi="Times New Roman" w:cs="Times New Roman"/>
                <w:bCs/>
                <w:sz w:val="24"/>
                <w:szCs w:val="24"/>
                <w:u w:val="none"/>
              </w:rPr>
            </w:pPr>
            <w:r>
              <w:rPr>
                <w:rFonts w:hint="default" w:ascii="Times New Roman" w:hAnsi="Times New Roman" w:cs="Times New Roman"/>
                <w:bCs/>
                <w:sz w:val="24"/>
                <w:szCs w:val="24"/>
                <w:u w:val="none"/>
              </w:rPr>
              <w:t>响和</w:t>
            </w:r>
          </w:p>
          <w:p w14:paraId="34154670">
            <w:pPr>
              <w:jc w:val="center"/>
              <w:rPr>
                <w:rFonts w:hint="default" w:ascii="Times New Roman" w:hAnsi="Times New Roman" w:cs="Times New Roman"/>
                <w:bCs/>
                <w:sz w:val="24"/>
                <w:szCs w:val="24"/>
                <w:u w:val="none"/>
              </w:rPr>
            </w:pPr>
            <w:r>
              <w:rPr>
                <w:rFonts w:hint="default" w:ascii="Times New Roman" w:hAnsi="Times New Roman" w:cs="Times New Roman"/>
                <w:bCs/>
                <w:sz w:val="24"/>
                <w:szCs w:val="24"/>
                <w:u w:val="none"/>
              </w:rPr>
              <w:t>保护</w:t>
            </w:r>
          </w:p>
          <w:p w14:paraId="68DDD47B">
            <w:pPr>
              <w:jc w:val="center"/>
              <w:rPr>
                <w:rFonts w:hint="default" w:ascii="Times New Roman" w:hAnsi="Times New Roman" w:cs="Times New Roman"/>
                <w:sz w:val="24"/>
                <w:szCs w:val="24"/>
                <w:u w:val="none"/>
              </w:rPr>
            </w:pPr>
            <w:r>
              <w:rPr>
                <w:rFonts w:hint="default" w:ascii="Times New Roman" w:hAnsi="Times New Roman" w:cs="Times New Roman"/>
                <w:bCs/>
                <w:sz w:val="24"/>
                <w:szCs w:val="24"/>
                <w:u w:val="none"/>
              </w:rPr>
              <w:t>措施</w:t>
            </w:r>
          </w:p>
        </w:tc>
        <w:tc>
          <w:tcPr>
            <w:tcW w:w="4660" w:type="pct"/>
            <w:vAlign w:val="center"/>
          </w:tcPr>
          <w:p w14:paraId="630B2FD6">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val="0"/>
                <w:kern w:val="0"/>
                <w:sz w:val="24"/>
                <w:szCs w:val="24"/>
                <w:u w:val="none"/>
              </w:rPr>
            </w:pPr>
            <w:r>
              <w:rPr>
                <w:rFonts w:hint="default" w:ascii="Times New Roman" w:hAnsi="Times New Roman" w:cs="Times New Roman"/>
                <w:b/>
                <w:bCs w:val="0"/>
                <w:kern w:val="0"/>
                <w:sz w:val="24"/>
                <w:szCs w:val="24"/>
                <w:u w:val="none"/>
              </w:rPr>
              <w:t>4.</w:t>
            </w:r>
            <w:r>
              <w:rPr>
                <w:rFonts w:hint="eastAsia" w:ascii="Times New Roman" w:hAnsi="Times New Roman" w:cs="Times New Roman"/>
                <w:b/>
                <w:bCs w:val="0"/>
                <w:kern w:val="0"/>
                <w:sz w:val="24"/>
                <w:szCs w:val="24"/>
                <w:u w:val="none"/>
                <w:lang w:val="en-US" w:eastAsia="zh-CN"/>
              </w:rPr>
              <w:t>1</w:t>
            </w:r>
            <w:r>
              <w:rPr>
                <w:rFonts w:hint="default" w:ascii="Times New Roman" w:hAnsi="Times New Roman" w:cs="Times New Roman"/>
                <w:b/>
                <w:bCs w:val="0"/>
                <w:kern w:val="0"/>
                <w:sz w:val="24"/>
                <w:szCs w:val="24"/>
                <w:u w:val="none"/>
              </w:rPr>
              <w:t>废气</w:t>
            </w:r>
          </w:p>
          <w:p w14:paraId="14979E4F">
            <w:pPr>
              <w:spacing w:line="360" w:lineRule="auto"/>
              <w:ind w:firstLine="482" w:firstLineChars="200"/>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rPr>
              <w:t>4.</w:t>
            </w:r>
            <w:r>
              <w:rPr>
                <w:rFonts w:hint="eastAsia" w:ascii="Times New Roman" w:hAnsi="Times New Roman" w:cs="Times New Roman"/>
                <w:b/>
                <w:bCs/>
                <w:sz w:val="24"/>
                <w:szCs w:val="24"/>
                <w:u w:val="none"/>
                <w:lang w:val="en-US" w:eastAsia="zh-CN"/>
              </w:rPr>
              <w:t>1</w:t>
            </w:r>
            <w:r>
              <w:rPr>
                <w:rFonts w:hint="default" w:ascii="Times New Roman" w:hAnsi="Times New Roman" w:cs="Times New Roman"/>
                <w:b/>
                <w:bCs/>
                <w:sz w:val="24"/>
                <w:szCs w:val="24"/>
                <w:u w:val="none"/>
              </w:rPr>
              <w:t>.1污染源源强核算</w:t>
            </w:r>
          </w:p>
          <w:p w14:paraId="607AC6BD">
            <w:pPr>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厂区主要大气污染源为粉尘</w:t>
            </w:r>
            <w:r>
              <w:rPr>
                <w:rFonts w:hint="eastAsia" w:ascii="Times New Roman" w:hAnsi="Times New Roman" w:cs="Times New Roman"/>
                <w:sz w:val="24"/>
                <w:szCs w:val="24"/>
                <w:u w:val="none"/>
                <w:lang w:eastAsia="zh-CN"/>
              </w:rPr>
              <w:t>及燃烧废气</w:t>
            </w:r>
            <w:r>
              <w:rPr>
                <w:rFonts w:hint="default" w:ascii="Times New Roman" w:hAnsi="Times New Roman" w:cs="Times New Roman"/>
                <w:sz w:val="24"/>
                <w:szCs w:val="24"/>
                <w:u w:val="none"/>
              </w:rPr>
              <w:t>。</w:t>
            </w:r>
          </w:p>
          <w:p w14:paraId="70EC9308">
            <w:pPr>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本项目运营过程粉尘主要来源有石子、沙子堆放区裸露场地的</w:t>
            </w:r>
            <w:r>
              <w:rPr>
                <w:rFonts w:hint="default" w:ascii="Times New Roman" w:hAnsi="Times New Roman" w:cs="Times New Roman"/>
                <w:sz w:val="24"/>
                <w:szCs w:val="24"/>
                <w:u w:val="none"/>
                <w:lang w:val="en-US" w:eastAsia="zh-CN"/>
              </w:rPr>
              <w:t>堆场扬尘</w:t>
            </w:r>
            <w:r>
              <w:rPr>
                <w:rFonts w:hint="default" w:ascii="Times New Roman" w:hAnsi="Times New Roman" w:cs="Times New Roman"/>
                <w:sz w:val="24"/>
                <w:szCs w:val="24"/>
                <w:u w:val="none"/>
              </w:rPr>
              <w:t>及运输车辆动力扬尘。</w:t>
            </w:r>
            <w:r>
              <w:rPr>
                <w:rFonts w:hint="default" w:ascii="Times New Roman" w:hAnsi="Times New Roman" w:cs="Times New Roman"/>
                <w:sz w:val="24"/>
                <w:szCs w:val="24"/>
                <w:u w:val="none"/>
                <w:lang w:eastAsia="zh-CN"/>
              </w:rPr>
              <w:t>沙</w:t>
            </w:r>
            <w:r>
              <w:rPr>
                <w:rFonts w:hint="default" w:ascii="Times New Roman" w:hAnsi="Times New Roman" w:cs="Times New Roman"/>
                <w:sz w:val="24"/>
                <w:szCs w:val="24"/>
                <w:u w:val="none"/>
              </w:rPr>
              <w:t>石卸料时有粉尘产生，由于粉尘扩散空间有限，而且</w:t>
            </w:r>
            <w:r>
              <w:rPr>
                <w:rFonts w:hint="default" w:ascii="Times New Roman" w:hAnsi="Times New Roman" w:cs="Times New Roman"/>
                <w:sz w:val="24"/>
                <w:szCs w:val="24"/>
                <w:u w:val="none"/>
                <w:lang w:eastAsia="zh-CN"/>
              </w:rPr>
              <w:t>沙</w:t>
            </w:r>
            <w:r>
              <w:rPr>
                <w:rFonts w:hint="default" w:ascii="Times New Roman" w:hAnsi="Times New Roman" w:cs="Times New Roman"/>
                <w:sz w:val="24"/>
                <w:szCs w:val="24"/>
                <w:u w:val="none"/>
              </w:rPr>
              <w:t>石的粒径较大，粉尘自然沉降速度较快，所以粉尘影响范围较小；铲车将</w:t>
            </w:r>
            <w:r>
              <w:rPr>
                <w:rFonts w:hint="default" w:ascii="Times New Roman" w:hAnsi="Times New Roman" w:cs="Times New Roman"/>
                <w:sz w:val="24"/>
                <w:szCs w:val="24"/>
                <w:u w:val="none"/>
                <w:lang w:eastAsia="zh-CN"/>
              </w:rPr>
              <w:t>沙</w:t>
            </w:r>
            <w:r>
              <w:rPr>
                <w:rFonts w:hint="default" w:ascii="Times New Roman" w:hAnsi="Times New Roman" w:cs="Times New Roman"/>
                <w:sz w:val="24"/>
                <w:szCs w:val="24"/>
                <w:u w:val="none"/>
              </w:rPr>
              <w:t>、石料铲至锥形漏斗中进行计量的过程中会有少量粉尘产生，由于铲车可将</w:t>
            </w:r>
            <w:r>
              <w:rPr>
                <w:rFonts w:hint="default" w:ascii="Times New Roman" w:hAnsi="Times New Roman" w:cs="Times New Roman"/>
                <w:sz w:val="24"/>
                <w:szCs w:val="24"/>
                <w:u w:val="none"/>
                <w:lang w:eastAsia="zh-CN"/>
              </w:rPr>
              <w:t>沙</w:t>
            </w:r>
            <w:r>
              <w:rPr>
                <w:rFonts w:hint="default" w:ascii="Times New Roman" w:hAnsi="Times New Roman" w:cs="Times New Roman"/>
                <w:sz w:val="24"/>
                <w:szCs w:val="24"/>
                <w:u w:val="none"/>
              </w:rPr>
              <w:t>石送至锥形漏斗底部，锥形漏斗的高度达1-2米，该过程中粉尘扩散空间相对较小，产生的粉尘对外界环境的影响可忽略不计；投料过程中，由于螺旋输送机均密闭，对周边环境影响较小。</w:t>
            </w:r>
          </w:p>
          <w:p w14:paraId="1BB0EAB6">
            <w:pPr>
              <w:spacing w:line="360" w:lineRule="auto"/>
              <w:ind w:firstLine="480" w:firstLineChars="200"/>
              <w:rPr>
                <w:rFonts w:hint="default" w:ascii="Times New Roman" w:hAnsi="Times New Roman" w:cs="Times New Roman"/>
                <w:sz w:val="24"/>
                <w:szCs w:val="24"/>
                <w:u w:val="none"/>
              </w:rPr>
            </w:pPr>
            <w:r>
              <w:rPr>
                <w:rFonts w:hint="eastAsia" w:ascii="Times New Roman" w:hAnsi="Times New Roman" w:cs="Times New Roman"/>
                <w:sz w:val="24"/>
                <w:szCs w:val="24"/>
                <w:u w:val="none"/>
                <w:lang w:eastAsia="zh-CN"/>
              </w:rPr>
              <w:t>（</w:t>
            </w:r>
            <w:r>
              <w:rPr>
                <w:rFonts w:hint="eastAsia" w:ascii="Times New Roman" w:hAnsi="Times New Roman" w:cs="Times New Roman"/>
                <w:sz w:val="24"/>
                <w:szCs w:val="24"/>
                <w:u w:val="none"/>
                <w:lang w:val="en-US" w:eastAsia="zh-CN"/>
              </w:rPr>
              <w:t>1</w:t>
            </w:r>
            <w:r>
              <w:rPr>
                <w:rFonts w:hint="eastAsia" w:ascii="Times New Roman" w:hAnsi="Times New Roman" w:cs="Times New Roman"/>
                <w:sz w:val="24"/>
                <w:szCs w:val="24"/>
                <w:u w:val="none"/>
                <w:lang w:eastAsia="zh-CN"/>
              </w:rPr>
              <w:t>）</w:t>
            </w:r>
            <w:r>
              <w:rPr>
                <w:rFonts w:hint="default" w:ascii="Times New Roman" w:hAnsi="Times New Roman" w:cs="Times New Roman"/>
                <w:sz w:val="24"/>
                <w:szCs w:val="24"/>
                <w:u w:val="none"/>
              </w:rPr>
              <w:t>输送粉尘</w:t>
            </w:r>
          </w:p>
          <w:p w14:paraId="29F11477">
            <w:pPr>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本项目各生产工序原料的输送均为封闭式，因此在该过程产生的粉尘量不大，产生的少量粉尘主要为水泥和沙石粉尘，排放方式呈无组织形式，对外界环境的影响可忽略不计。</w:t>
            </w:r>
          </w:p>
          <w:p w14:paraId="6FED97A1">
            <w:pPr>
              <w:spacing w:line="360" w:lineRule="auto"/>
              <w:ind w:firstLine="480" w:firstLineChars="200"/>
              <w:rPr>
                <w:rFonts w:hint="default" w:ascii="Times New Roman" w:hAnsi="Times New Roman" w:eastAsia="宋体" w:cs="Times New Roman"/>
                <w:sz w:val="24"/>
                <w:szCs w:val="24"/>
                <w:u w:val="single"/>
                <w:lang w:val="en-US" w:eastAsia="zh-CN"/>
              </w:rPr>
            </w:pPr>
            <w:r>
              <w:rPr>
                <w:rFonts w:hint="eastAsia" w:ascii="Times New Roman" w:hAnsi="Times New Roman" w:cs="Times New Roman"/>
                <w:sz w:val="24"/>
                <w:szCs w:val="24"/>
                <w:u w:val="single"/>
                <w:lang w:val="en-US" w:eastAsia="zh-CN"/>
              </w:rPr>
              <w:t>（2）</w:t>
            </w:r>
            <w:r>
              <w:rPr>
                <w:rFonts w:hint="default" w:ascii="Times New Roman" w:hAnsi="Times New Roman" w:cs="Times New Roman"/>
                <w:sz w:val="24"/>
                <w:szCs w:val="24"/>
                <w:u w:val="single"/>
              </w:rPr>
              <w:t>石子、沙子堆放区</w:t>
            </w:r>
            <w:r>
              <w:rPr>
                <w:rFonts w:hint="default" w:ascii="Times New Roman" w:hAnsi="Times New Roman" w:cs="Times New Roman"/>
                <w:sz w:val="24"/>
                <w:szCs w:val="24"/>
                <w:u w:val="single"/>
                <w:lang w:val="en-US" w:eastAsia="zh-CN"/>
              </w:rPr>
              <w:t>堆场扬尘</w:t>
            </w:r>
          </w:p>
          <w:p w14:paraId="6DD65FE5">
            <w:pPr>
              <w:spacing w:line="360" w:lineRule="auto"/>
              <w:ind w:firstLine="480" w:firstLineChars="200"/>
              <w:jc w:val="both"/>
              <w:rPr>
                <w:rFonts w:hint="default" w:ascii="Times New Roman" w:hAnsi="Times New Roman" w:cs="Times New Roman"/>
                <w:sz w:val="24"/>
                <w:szCs w:val="24"/>
                <w:u w:val="single"/>
              </w:rPr>
            </w:pPr>
            <w:r>
              <w:rPr>
                <w:rFonts w:hint="default" w:ascii="Times New Roman" w:hAnsi="Times New Roman" w:cs="Times New Roman"/>
                <w:sz w:val="24"/>
                <w:szCs w:val="24"/>
                <w:u w:val="single"/>
              </w:rPr>
              <w:t>项目堆场扬尘参考西安冶金建筑学院的干堆扬尘计算公式（Q=4.23</w:t>
            </w:r>
            <w:r>
              <w:rPr>
                <w:rFonts w:hint="default" w:ascii="Times New Roman" w:hAnsi="Times New Roman" w:cs="Times New Roman"/>
                <w:sz w:val="24"/>
                <w:szCs w:val="24"/>
                <w:u w:val="single"/>
                <w:lang w:val="en-US" w:eastAsia="zh-CN"/>
              </w:rPr>
              <w:t>×</w:t>
            </w:r>
            <w:r>
              <w:rPr>
                <w:rFonts w:hint="default" w:ascii="Times New Roman" w:hAnsi="Times New Roman" w:cs="Times New Roman"/>
                <w:sz w:val="24"/>
                <w:szCs w:val="24"/>
                <w:u w:val="single"/>
              </w:rPr>
              <w:t>10</w:t>
            </w:r>
            <w:r>
              <w:rPr>
                <w:rFonts w:hint="default" w:ascii="Times New Roman" w:hAnsi="Times New Roman" w:cs="Times New Roman"/>
                <w:sz w:val="24"/>
                <w:szCs w:val="24"/>
                <w:u w:val="single"/>
                <w:vertAlign w:val="superscript"/>
              </w:rPr>
              <w:t>-4</w:t>
            </w:r>
            <w:r>
              <w:rPr>
                <w:rFonts w:hint="default" w:ascii="Times New Roman" w:hAnsi="Times New Roman" w:cs="Times New Roman"/>
                <w:sz w:val="24"/>
                <w:szCs w:val="24"/>
                <w:u w:val="single"/>
                <w:lang w:val="en-US" w:eastAsia="zh-CN"/>
              </w:rPr>
              <w:t>×</w:t>
            </w:r>
            <w:r>
              <w:rPr>
                <w:rFonts w:hint="default" w:ascii="Times New Roman" w:hAnsi="Times New Roman" w:cs="Times New Roman"/>
                <w:sz w:val="24"/>
                <w:szCs w:val="24"/>
                <w:u w:val="single"/>
              </w:rPr>
              <w:t>V</w:t>
            </w:r>
            <w:r>
              <w:rPr>
                <w:rFonts w:hint="default" w:ascii="Times New Roman" w:hAnsi="Times New Roman" w:cs="Times New Roman"/>
                <w:sz w:val="24"/>
                <w:szCs w:val="24"/>
                <w:u w:val="single"/>
                <w:lang w:val="en-US" w:eastAsia="zh-CN"/>
              </w:rPr>
              <w:t>×</w:t>
            </w:r>
            <w:r>
              <w:rPr>
                <w:rFonts w:hint="default" w:ascii="Times New Roman" w:hAnsi="Times New Roman" w:cs="Times New Roman"/>
                <w:sz w:val="24"/>
                <w:szCs w:val="24"/>
                <w:u w:val="single"/>
              </w:rPr>
              <w:t>4.9</w:t>
            </w:r>
            <w:r>
              <w:rPr>
                <w:rFonts w:hint="default" w:ascii="Times New Roman" w:hAnsi="Times New Roman" w:cs="Times New Roman"/>
                <w:sz w:val="24"/>
                <w:szCs w:val="24"/>
                <w:u w:val="single"/>
                <w:lang w:val="en-US" w:eastAsia="zh-CN"/>
              </w:rPr>
              <w:t>×</w:t>
            </w:r>
            <w:r>
              <w:rPr>
                <w:rFonts w:hint="default" w:ascii="Times New Roman" w:hAnsi="Times New Roman" w:cs="Times New Roman"/>
                <w:sz w:val="24"/>
                <w:szCs w:val="24"/>
                <w:u w:val="single"/>
              </w:rPr>
              <w:t>S）计算，其中Q表示粉尘产生量（单位kg/d），S表示面积（单位m</w:t>
            </w:r>
            <w:r>
              <w:rPr>
                <w:rFonts w:hint="default" w:ascii="Times New Roman" w:hAnsi="Times New Roman" w:cs="Times New Roman"/>
                <w:sz w:val="24"/>
                <w:szCs w:val="24"/>
                <w:u w:val="single"/>
                <w:vertAlign w:val="superscript"/>
              </w:rPr>
              <w:t>2</w:t>
            </w:r>
            <w:r>
              <w:rPr>
                <w:rFonts w:hint="default" w:ascii="Times New Roman" w:hAnsi="Times New Roman" w:cs="Times New Roman"/>
                <w:sz w:val="24"/>
                <w:szCs w:val="24"/>
                <w:u w:val="single"/>
              </w:rPr>
              <w:t>），V表示风速，V均取当地年平均风速V=</w:t>
            </w:r>
            <w:r>
              <w:rPr>
                <w:rFonts w:hint="default" w:ascii="Times New Roman" w:hAnsi="Times New Roman" w:cs="Times New Roman"/>
                <w:sz w:val="24"/>
                <w:szCs w:val="24"/>
                <w:u w:val="single"/>
                <w:lang w:val="en-US" w:eastAsia="zh-CN"/>
              </w:rPr>
              <w:t>2.47</w:t>
            </w:r>
            <w:r>
              <w:rPr>
                <w:rFonts w:hint="default" w:ascii="Times New Roman" w:hAnsi="Times New Roman" w:cs="Times New Roman"/>
                <w:sz w:val="24"/>
                <w:szCs w:val="24"/>
                <w:u w:val="single"/>
              </w:rPr>
              <w:t>m/s，石子、沙子堆放区的面积</w:t>
            </w:r>
            <w:r>
              <w:rPr>
                <w:rFonts w:hint="default" w:ascii="Times New Roman" w:hAnsi="Times New Roman" w:cs="Times New Roman"/>
                <w:sz w:val="24"/>
                <w:szCs w:val="24"/>
                <w:u w:val="single"/>
                <w:lang w:val="en-US" w:eastAsia="zh-CN"/>
              </w:rPr>
              <w:t>约</w:t>
            </w:r>
            <w:r>
              <w:rPr>
                <w:rFonts w:hint="default" w:ascii="Times New Roman" w:hAnsi="Times New Roman" w:cs="Times New Roman"/>
                <w:sz w:val="24"/>
                <w:szCs w:val="24"/>
                <w:u w:val="single"/>
              </w:rPr>
              <w:t>为</w:t>
            </w:r>
            <w:r>
              <w:rPr>
                <w:rFonts w:hint="eastAsia" w:ascii="Times New Roman" w:hAnsi="Times New Roman" w:cs="Times New Roman"/>
                <w:sz w:val="24"/>
                <w:szCs w:val="24"/>
                <w:u w:val="single"/>
                <w:lang w:val="en-US" w:eastAsia="zh-CN"/>
              </w:rPr>
              <w:t>50</w:t>
            </w:r>
            <w:r>
              <w:rPr>
                <w:rFonts w:hint="default" w:ascii="Times New Roman" w:hAnsi="Times New Roman" w:cs="Times New Roman"/>
                <w:sz w:val="24"/>
                <w:szCs w:val="24"/>
                <w:u w:val="single"/>
                <w:lang w:val="en-US" w:eastAsia="zh-CN"/>
              </w:rPr>
              <w:t>0</w:t>
            </w:r>
            <w:r>
              <w:rPr>
                <w:rFonts w:hint="default" w:ascii="Times New Roman" w:hAnsi="Times New Roman" w:cs="Times New Roman"/>
                <w:sz w:val="24"/>
                <w:szCs w:val="24"/>
                <w:u w:val="single"/>
              </w:rPr>
              <w:t>m</w:t>
            </w:r>
            <w:r>
              <w:rPr>
                <w:rFonts w:hint="default" w:ascii="Times New Roman" w:hAnsi="Times New Roman" w:cs="Times New Roman"/>
                <w:sz w:val="24"/>
                <w:szCs w:val="24"/>
                <w:u w:val="single"/>
                <w:vertAlign w:val="superscript"/>
              </w:rPr>
              <w:t>2</w:t>
            </w:r>
            <w:r>
              <w:rPr>
                <w:rFonts w:hint="default" w:ascii="Times New Roman" w:hAnsi="Times New Roman" w:cs="Times New Roman"/>
                <w:sz w:val="24"/>
                <w:szCs w:val="24"/>
                <w:u w:val="single"/>
              </w:rPr>
              <w:t>，则石子、沙子堆放区产尘量</w:t>
            </w:r>
            <w:r>
              <w:rPr>
                <w:rFonts w:hint="eastAsia" w:ascii="Times New Roman" w:hAnsi="Times New Roman" w:cs="Times New Roman"/>
                <w:sz w:val="24"/>
                <w:szCs w:val="24"/>
                <w:u w:val="single"/>
                <w:lang w:val="en-US" w:eastAsia="zh-CN"/>
              </w:rPr>
              <w:t>2.56</w:t>
            </w:r>
            <w:r>
              <w:rPr>
                <w:rFonts w:hint="default" w:ascii="Times New Roman" w:hAnsi="Times New Roman" w:cs="Times New Roman"/>
                <w:sz w:val="24"/>
                <w:szCs w:val="24"/>
                <w:u w:val="single"/>
              </w:rPr>
              <w:t>kg/d，即</w:t>
            </w:r>
            <w:r>
              <w:rPr>
                <w:rFonts w:hint="default" w:ascii="Times New Roman" w:hAnsi="Times New Roman" w:cs="Times New Roman"/>
                <w:sz w:val="24"/>
                <w:szCs w:val="24"/>
                <w:u w:val="single"/>
                <w:lang w:val="en-US" w:eastAsia="zh-CN"/>
              </w:rPr>
              <w:t>0.</w:t>
            </w:r>
            <w:r>
              <w:rPr>
                <w:rFonts w:hint="eastAsia" w:ascii="Times New Roman" w:hAnsi="Times New Roman" w:cs="Times New Roman"/>
                <w:sz w:val="24"/>
                <w:szCs w:val="24"/>
                <w:u w:val="single"/>
                <w:lang w:val="en-US" w:eastAsia="zh-CN"/>
              </w:rPr>
              <w:t>768</w:t>
            </w:r>
            <w:r>
              <w:rPr>
                <w:rFonts w:hint="default" w:ascii="Times New Roman" w:hAnsi="Times New Roman" w:cs="Times New Roman"/>
                <w:sz w:val="24"/>
                <w:szCs w:val="24"/>
                <w:u w:val="single"/>
              </w:rPr>
              <w:t>t/a。综合考虑原料堆的表面积、含水量、粒度情况等因素，石子、沙子堆放区设置</w:t>
            </w:r>
            <w:r>
              <w:rPr>
                <w:rFonts w:hint="default" w:ascii="Times New Roman" w:hAnsi="Times New Roman" w:cs="Times New Roman"/>
                <w:sz w:val="24"/>
                <w:szCs w:val="24"/>
                <w:u w:val="single"/>
                <w:lang w:val="en-US" w:eastAsia="zh-CN"/>
              </w:rPr>
              <w:t>三面围挡和顶棚</w:t>
            </w:r>
            <w:r>
              <w:rPr>
                <w:rFonts w:hint="default" w:ascii="Times New Roman" w:hAnsi="Times New Roman" w:cs="Times New Roman"/>
                <w:sz w:val="24"/>
                <w:szCs w:val="24"/>
                <w:u w:val="single"/>
              </w:rPr>
              <w:t>，同时在卸料、装料过程中洒水以减少粉尘。根据《固体物料堆存颗粒物产排污核算系数手册》</w:t>
            </w:r>
            <w:r>
              <w:rPr>
                <w:rFonts w:hint="default" w:ascii="Times New Roman" w:hAnsi="Times New Roman" w:cs="Times New Roman"/>
                <w:sz w:val="24"/>
                <w:szCs w:val="24"/>
                <w:u w:val="single"/>
                <w:lang w:eastAsia="zh-CN"/>
              </w:rPr>
              <w:t>，</w:t>
            </w:r>
            <w:r>
              <w:rPr>
                <w:rFonts w:hint="default" w:ascii="Times New Roman" w:hAnsi="Times New Roman" w:cs="Times New Roman"/>
                <w:sz w:val="24"/>
                <w:szCs w:val="24"/>
                <w:u w:val="single"/>
              </w:rPr>
              <w:t>通过采取</w:t>
            </w:r>
            <w:r>
              <w:rPr>
                <w:rFonts w:hint="default" w:ascii="Times New Roman" w:hAnsi="Times New Roman" w:cs="Times New Roman"/>
                <w:sz w:val="24"/>
                <w:szCs w:val="24"/>
                <w:u w:val="single"/>
                <w:lang w:val="en-US" w:eastAsia="zh-CN"/>
              </w:rPr>
              <w:t>洒水、设围挡控制措施</w:t>
            </w:r>
            <w:r>
              <w:rPr>
                <w:rFonts w:hint="default" w:ascii="Times New Roman" w:hAnsi="Times New Roman" w:cs="Times New Roman"/>
                <w:sz w:val="24"/>
                <w:szCs w:val="24"/>
                <w:u w:val="single"/>
              </w:rPr>
              <w:t>，抑尘率可达</w:t>
            </w:r>
            <w:r>
              <w:rPr>
                <w:rFonts w:hint="default" w:ascii="Times New Roman" w:hAnsi="Times New Roman" w:cs="Times New Roman"/>
                <w:sz w:val="24"/>
                <w:szCs w:val="24"/>
                <w:u w:val="single"/>
                <w:lang w:val="en-US" w:eastAsia="zh-CN"/>
              </w:rPr>
              <w:t>89.6</w:t>
            </w:r>
            <w:r>
              <w:rPr>
                <w:rFonts w:hint="default" w:ascii="Times New Roman" w:hAnsi="Times New Roman" w:cs="Times New Roman"/>
                <w:sz w:val="24"/>
                <w:szCs w:val="24"/>
                <w:u w:val="single"/>
              </w:rPr>
              <w:t>%，则石子、沙子堆放区</w:t>
            </w:r>
            <w:r>
              <w:rPr>
                <w:rFonts w:hint="default" w:ascii="Times New Roman" w:hAnsi="Times New Roman" w:cs="Times New Roman"/>
                <w:sz w:val="24"/>
                <w:szCs w:val="24"/>
                <w:u w:val="single"/>
                <w:lang w:val="en-US" w:eastAsia="zh-CN"/>
              </w:rPr>
              <w:t>堆场扬尘</w:t>
            </w:r>
            <w:r>
              <w:rPr>
                <w:rFonts w:hint="default" w:ascii="Times New Roman" w:hAnsi="Times New Roman" w:cs="Times New Roman"/>
                <w:sz w:val="24"/>
                <w:szCs w:val="24"/>
                <w:u w:val="single"/>
              </w:rPr>
              <w:t>无组织排放量为</w:t>
            </w:r>
            <w:r>
              <w:rPr>
                <w:rFonts w:hint="default" w:ascii="Times New Roman" w:hAnsi="Times New Roman" w:cs="Times New Roman"/>
                <w:sz w:val="24"/>
                <w:szCs w:val="24"/>
                <w:u w:val="single"/>
                <w:lang w:val="en-US" w:eastAsia="zh-CN"/>
              </w:rPr>
              <w:t>0.</w:t>
            </w:r>
            <w:r>
              <w:rPr>
                <w:rFonts w:hint="eastAsia" w:ascii="Times New Roman" w:hAnsi="Times New Roman" w:cs="Times New Roman"/>
                <w:sz w:val="24"/>
                <w:szCs w:val="24"/>
                <w:u w:val="single"/>
                <w:lang w:val="en-US" w:eastAsia="zh-CN"/>
              </w:rPr>
              <w:t>799</w:t>
            </w:r>
            <w:r>
              <w:rPr>
                <w:rFonts w:hint="default" w:ascii="Times New Roman" w:hAnsi="Times New Roman" w:cs="Times New Roman"/>
                <w:sz w:val="24"/>
                <w:szCs w:val="24"/>
                <w:u w:val="single"/>
              </w:rPr>
              <w:t>t/a。</w:t>
            </w:r>
            <w:r>
              <w:rPr>
                <w:rFonts w:hint="eastAsia" w:ascii="Times New Roman" w:hAnsi="Times New Roman" w:cs="Times New Roman"/>
                <w:sz w:val="24"/>
                <w:szCs w:val="24"/>
                <w:u w:val="single"/>
                <w:lang w:eastAsia="zh-CN"/>
              </w:rPr>
              <w:t>污染物排放量较扩建前未增加。</w:t>
            </w:r>
          </w:p>
          <w:p w14:paraId="2F488554">
            <w:pPr>
              <w:spacing w:line="360" w:lineRule="auto"/>
              <w:ind w:firstLine="480" w:firstLineChars="200"/>
              <w:rPr>
                <w:rFonts w:hint="default" w:ascii="Times New Roman" w:hAnsi="Times New Roman" w:cs="Times New Roman"/>
                <w:sz w:val="24"/>
                <w:szCs w:val="24"/>
                <w:u w:val="none"/>
              </w:rPr>
            </w:pPr>
            <w:r>
              <w:rPr>
                <w:rFonts w:hint="eastAsia" w:ascii="Times New Roman" w:hAnsi="Times New Roman" w:cs="Times New Roman"/>
                <w:sz w:val="24"/>
                <w:szCs w:val="24"/>
                <w:u w:val="none"/>
                <w:lang w:val="en-US" w:eastAsia="zh-CN"/>
              </w:rPr>
              <w:t>（3）</w:t>
            </w:r>
            <w:r>
              <w:rPr>
                <w:rFonts w:hint="default" w:ascii="Times New Roman" w:hAnsi="Times New Roman" w:cs="Times New Roman"/>
                <w:sz w:val="24"/>
                <w:szCs w:val="24"/>
                <w:u w:val="none"/>
              </w:rPr>
              <w:t>汽车运输扬尘</w:t>
            </w:r>
          </w:p>
          <w:p w14:paraId="51F80964">
            <w:pPr>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根据本项目的实际情况，汽车运输过程中所产生的扬尘极少，本环评要求对厂区内地面进行定时洒水降尘，以减少道路扬尘量。</w:t>
            </w:r>
          </w:p>
          <w:p w14:paraId="1145ACEF">
            <w:pPr>
              <w:spacing w:line="360" w:lineRule="auto"/>
              <w:ind w:firstLine="480" w:firstLineChars="200"/>
              <w:rPr>
                <w:rFonts w:hint="default" w:ascii="Times New Roman" w:hAnsi="Times New Roman" w:cs="Times New Roman"/>
                <w:sz w:val="24"/>
                <w:szCs w:val="24"/>
                <w:u w:val="single"/>
              </w:rPr>
            </w:pPr>
            <w:r>
              <w:rPr>
                <w:rFonts w:hint="eastAsia" w:ascii="Times New Roman" w:hAnsi="Times New Roman" w:cs="Times New Roman"/>
                <w:sz w:val="24"/>
                <w:szCs w:val="24"/>
                <w:u w:val="single"/>
                <w:lang w:val="en-US" w:eastAsia="zh-CN"/>
              </w:rPr>
              <w:t>（4）</w:t>
            </w:r>
            <w:r>
              <w:rPr>
                <w:rFonts w:hint="default" w:ascii="Times New Roman" w:hAnsi="Times New Roman" w:cs="Times New Roman"/>
                <w:sz w:val="24"/>
                <w:szCs w:val="24"/>
                <w:u w:val="single"/>
              </w:rPr>
              <w:t>筒仓粉尘</w:t>
            </w:r>
          </w:p>
          <w:p w14:paraId="5F21B1A4">
            <w:pPr>
              <w:spacing w:line="360" w:lineRule="auto"/>
              <w:ind w:firstLine="480" w:firstLineChars="200"/>
              <w:rPr>
                <w:rFonts w:hint="default" w:ascii="Times New Roman" w:hAnsi="Times New Roman" w:cs="Times New Roman"/>
                <w:sz w:val="24"/>
                <w:szCs w:val="24"/>
                <w:u w:val="single"/>
              </w:rPr>
            </w:pPr>
            <w:r>
              <w:rPr>
                <w:rFonts w:hint="default" w:ascii="Times New Roman" w:hAnsi="Times New Roman" w:cs="Times New Roman"/>
                <w:sz w:val="24"/>
                <w:szCs w:val="24"/>
                <w:u w:val="single"/>
              </w:rPr>
              <w:t>本项目生产用粉状原料主要为</w:t>
            </w:r>
            <w:r>
              <w:rPr>
                <w:rFonts w:hint="eastAsia" w:ascii="Times New Roman" w:hAnsi="Times New Roman" w:cs="Times New Roman"/>
                <w:sz w:val="24"/>
                <w:szCs w:val="24"/>
                <w:u w:val="none"/>
                <w:lang w:eastAsia="zh-CN"/>
              </w:rPr>
              <w:t>砂石</w:t>
            </w:r>
            <w:r>
              <w:rPr>
                <w:rFonts w:hint="default" w:ascii="Times New Roman" w:hAnsi="Times New Roman" w:cs="Times New Roman"/>
                <w:sz w:val="24"/>
                <w:szCs w:val="24"/>
                <w:u w:val="single"/>
              </w:rPr>
              <w:t>，由散装罐车自带的气动系统将粉料吹入原料筒仓内部，每次进料时储料罐顶呼吸孔有粉尘产生，筒仓仓顶呼吸孔自带滤芯收尘设施（收尘效率达9</w:t>
            </w:r>
            <w:r>
              <w:rPr>
                <w:rFonts w:hint="eastAsia" w:ascii="Times New Roman" w:hAnsi="Times New Roman" w:cs="Times New Roman"/>
                <w:sz w:val="24"/>
                <w:szCs w:val="24"/>
                <w:u w:val="single"/>
                <w:lang w:val="en-US" w:eastAsia="zh-CN"/>
              </w:rPr>
              <w:t>5</w:t>
            </w:r>
            <w:r>
              <w:rPr>
                <w:rFonts w:hint="default" w:ascii="Times New Roman" w:hAnsi="Times New Roman" w:cs="Times New Roman"/>
                <w:sz w:val="24"/>
                <w:szCs w:val="24"/>
                <w:u w:val="single"/>
              </w:rPr>
              <w:t>%）</w:t>
            </w:r>
            <w:r>
              <w:rPr>
                <w:rFonts w:hint="eastAsia" w:ascii="Times New Roman" w:hAnsi="Times New Roman" w:cs="Times New Roman"/>
                <w:sz w:val="24"/>
                <w:szCs w:val="24"/>
                <w:u w:val="single"/>
                <w:lang w:eastAsia="zh-CN"/>
              </w:rPr>
              <w:t>，</w:t>
            </w:r>
            <w:r>
              <w:rPr>
                <w:rFonts w:hint="default" w:ascii="Times New Roman" w:hAnsi="Times New Roman" w:cs="Times New Roman"/>
                <w:sz w:val="24"/>
                <w:szCs w:val="24"/>
                <w:u w:val="single"/>
              </w:rPr>
              <w:t>收集的粉尘回用于生产，经过处理后的粉尘废气由筒仓顶呼吸口无组织排放。参考《排放源统计调查产排污核算方法和系数手册》（生态环境部办公厅2021年6月11日印发）3021 水泥制品制造（含 3022 砼结构构件、3029 其他水泥类似制品制造）行业系数表中产排污系数，物料输送储存颗粒物产污系数为0.19kg/t-产品，自带滤芯收尘设施效率可达到9</w:t>
            </w:r>
            <w:r>
              <w:rPr>
                <w:rFonts w:hint="eastAsia" w:ascii="Times New Roman" w:hAnsi="Times New Roman" w:cs="Times New Roman"/>
                <w:sz w:val="24"/>
                <w:szCs w:val="24"/>
                <w:u w:val="single"/>
                <w:lang w:val="en-US" w:eastAsia="zh-CN"/>
              </w:rPr>
              <w:t>5</w:t>
            </w:r>
            <w:r>
              <w:rPr>
                <w:rFonts w:hint="default" w:ascii="Times New Roman" w:hAnsi="Times New Roman" w:cs="Times New Roman"/>
                <w:sz w:val="24"/>
                <w:szCs w:val="24"/>
                <w:u w:val="single"/>
              </w:rPr>
              <w:t>%，本项目</w:t>
            </w:r>
            <w:r>
              <w:rPr>
                <w:rFonts w:hint="eastAsia" w:ascii="Times New Roman" w:hAnsi="Times New Roman" w:cs="Times New Roman"/>
                <w:sz w:val="24"/>
                <w:szCs w:val="24"/>
                <w:u w:val="single"/>
                <w:lang w:eastAsia="zh-CN"/>
              </w:rPr>
              <w:t>产品重量</w:t>
            </w:r>
            <w:r>
              <w:rPr>
                <w:rFonts w:hint="default" w:ascii="Times New Roman" w:hAnsi="Times New Roman" w:cs="Times New Roman"/>
                <w:sz w:val="24"/>
                <w:szCs w:val="24"/>
                <w:u w:val="single"/>
              </w:rPr>
              <w:t>为</w:t>
            </w:r>
            <w:r>
              <w:rPr>
                <w:rFonts w:hint="eastAsia" w:ascii="Times New Roman" w:hAnsi="Times New Roman" w:cs="Times New Roman"/>
                <w:sz w:val="24"/>
                <w:szCs w:val="24"/>
                <w:u w:val="single"/>
                <w:lang w:val="en-US" w:eastAsia="zh-CN"/>
              </w:rPr>
              <w:t>8160</w:t>
            </w:r>
            <w:r>
              <w:rPr>
                <w:rFonts w:hint="default" w:ascii="Times New Roman" w:hAnsi="Times New Roman" w:cs="Times New Roman"/>
                <w:sz w:val="24"/>
                <w:szCs w:val="24"/>
                <w:u w:val="single"/>
              </w:rPr>
              <w:t>吨，则筒仓粉尘</w:t>
            </w:r>
            <w:r>
              <w:rPr>
                <w:rFonts w:hint="eastAsia" w:ascii="Times New Roman" w:hAnsi="Times New Roman" w:cs="Times New Roman"/>
                <w:sz w:val="24"/>
                <w:szCs w:val="24"/>
                <w:u w:val="single"/>
                <w:lang w:eastAsia="zh-CN"/>
              </w:rPr>
              <w:t>排放</w:t>
            </w:r>
            <w:r>
              <w:rPr>
                <w:rFonts w:hint="default" w:ascii="Times New Roman" w:hAnsi="Times New Roman" w:cs="Times New Roman"/>
                <w:sz w:val="24"/>
                <w:szCs w:val="24"/>
                <w:u w:val="single"/>
              </w:rPr>
              <w:t>量为</w:t>
            </w:r>
            <w:r>
              <w:rPr>
                <w:rFonts w:hint="eastAsia" w:ascii="Times New Roman" w:hAnsi="Times New Roman" w:cs="Times New Roman"/>
                <w:sz w:val="24"/>
                <w:szCs w:val="24"/>
                <w:u w:val="single"/>
                <w:lang w:val="en-US" w:eastAsia="zh-CN"/>
              </w:rPr>
              <w:t>0.078</w:t>
            </w:r>
            <w:r>
              <w:rPr>
                <w:rFonts w:hint="default" w:ascii="Times New Roman" w:hAnsi="Times New Roman" w:cs="Times New Roman"/>
                <w:sz w:val="24"/>
                <w:szCs w:val="24"/>
                <w:u w:val="single"/>
              </w:rPr>
              <w:t>t/a。</w:t>
            </w:r>
            <w:r>
              <w:rPr>
                <w:rFonts w:hint="eastAsia" w:ascii="Times New Roman" w:hAnsi="Times New Roman" w:cs="Times New Roman"/>
                <w:sz w:val="24"/>
                <w:szCs w:val="24"/>
                <w:u w:val="single"/>
                <w:lang w:eastAsia="zh-CN"/>
              </w:rPr>
              <w:t>污染物排放量较扩建前增加</w:t>
            </w:r>
            <w:r>
              <w:rPr>
                <w:rFonts w:hint="eastAsia" w:ascii="Times New Roman" w:hAnsi="Times New Roman" w:cs="Times New Roman"/>
                <w:sz w:val="24"/>
                <w:szCs w:val="24"/>
                <w:u w:val="single"/>
                <w:lang w:val="en-US" w:eastAsia="zh-CN"/>
              </w:rPr>
              <w:t>0.039t/a。</w:t>
            </w:r>
          </w:p>
          <w:p w14:paraId="26BFD5B1">
            <w:pPr>
              <w:spacing w:line="360" w:lineRule="auto"/>
              <w:ind w:firstLine="480" w:firstLineChars="200"/>
              <w:rPr>
                <w:rFonts w:hint="default" w:ascii="Times New Roman" w:hAnsi="Times New Roman" w:cs="Times New Roman"/>
                <w:sz w:val="24"/>
                <w:szCs w:val="24"/>
                <w:u w:val="single"/>
              </w:rPr>
            </w:pPr>
            <w:r>
              <w:rPr>
                <w:rFonts w:hint="eastAsia" w:ascii="Times New Roman" w:hAnsi="Times New Roman" w:cs="Times New Roman"/>
                <w:sz w:val="24"/>
                <w:szCs w:val="24"/>
                <w:u w:val="single"/>
                <w:lang w:eastAsia="zh-CN"/>
              </w:rPr>
              <w:t>（</w:t>
            </w:r>
            <w:r>
              <w:rPr>
                <w:rFonts w:hint="eastAsia" w:ascii="Times New Roman" w:hAnsi="Times New Roman" w:cs="Times New Roman"/>
                <w:sz w:val="24"/>
                <w:szCs w:val="24"/>
                <w:u w:val="single"/>
                <w:lang w:val="en-US" w:eastAsia="zh-CN"/>
              </w:rPr>
              <w:t>5</w:t>
            </w:r>
            <w:r>
              <w:rPr>
                <w:rFonts w:hint="eastAsia" w:ascii="Times New Roman" w:hAnsi="Times New Roman" w:cs="Times New Roman"/>
                <w:sz w:val="24"/>
                <w:szCs w:val="24"/>
                <w:u w:val="single"/>
                <w:lang w:eastAsia="zh-CN"/>
              </w:rPr>
              <w:t>）</w:t>
            </w:r>
            <w:r>
              <w:rPr>
                <w:rFonts w:hint="default" w:ascii="Times New Roman" w:hAnsi="Times New Roman" w:cs="Times New Roman"/>
                <w:sz w:val="24"/>
                <w:szCs w:val="24"/>
                <w:u w:val="single"/>
              </w:rPr>
              <w:t>搅拌粉尘</w:t>
            </w:r>
          </w:p>
          <w:p w14:paraId="1D8EC0C3">
            <w:pPr>
              <w:spacing w:line="360" w:lineRule="auto"/>
              <w:ind w:firstLine="480" w:firstLineChars="200"/>
              <w:rPr>
                <w:rFonts w:hint="default" w:ascii="Times New Roman" w:hAnsi="Times New Roman" w:cs="Times New Roman"/>
                <w:sz w:val="24"/>
                <w:szCs w:val="24"/>
                <w:u w:val="single"/>
                <w:lang w:val="en-US"/>
              </w:rPr>
            </w:pPr>
            <w:r>
              <w:rPr>
                <w:rFonts w:hint="default" w:ascii="Times New Roman" w:hAnsi="Times New Roman" w:cs="Times New Roman"/>
                <w:sz w:val="24"/>
                <w:szCs w:val="24"/>
                <w:u w:val="single"/>
              </w:rPr>
              <w:t>粉料经计量后下料运至搅拌机内，物料在下料及搅拌过程中均会产生粉尘，通过搅拌机设备自带的布袋除尘器收集</w:t>
            </w:r>
            <w:r>
              <w:rPr>
                <w:rFonts w:hint="eastAsia" w:ascii="Times New Roman" w:hAnsi="Times New Roman" w:cs="Times New Roman"/>
                <w:sz w:val="24"/>
                <w:szCs w:val="24"/>
                <w:u w:val="single"/>
                <w:lang w:eastAsia="zh-CN"/>
              </w:rPr>
              <w:t>后回用生产</w:t>
            </w:r>
            <w:r>
              <w:rPr>
                <w:rFonts w:hint="default" w:ascii="Times New Roman" w:hAnsi="Times New Roman" w:cs="Times New Roman"/>
                <w:sz w:val="24"/>
                <w:szCs w:val="24"/>
                <w:u w:val="single"/>
              </w:rPr>
              <w:t>，</w:t>
            </w:r>
            <w:r>
              <w:rPr>
                <w:rFonts w:hint="eastAsia" w:ascii="Times New Roman" w:hAnsi="Times New Roman" w:cs="Times New Roman"/>
                <w:sz w:val="24"/>
                <w:szCs w:val="24"/>
                <w:u w:val="single"/>
                <w:lang w:eastAsia="zh-CN"/>
              </w:rPr>
              <w:t>未收集粉尘以无组织形式排放。</w:t>
            </w:r>
            <w:r>
              <w:rPr>
                <w:rFonts w:hint="default" w:ascii="Times New Roman" w:hAnsi="Times New Roman" w:cs="Times New Roman"/>
                <w:sz w:val="24"/>
                <w:szCs w:val="24"/>
                <w:u w:val="single"/>
              </w:rPr>
              <w:t>《排放源统计调查产排污核算方法和系数手册》（生态环境部办公厅2021年6月11日印发）3021 水泥制品制造（含 3022 砼结构构件、3029 其他水泥类似制品制造）行业系数表中产排污系数，物料混合搅拌颗粒物产污系数为0.523kg/t-产品，布袋除尘器效率可达到</w:t>
            </w:r>
            <w:r>
              <w:rPr>
                <w:rFonts w:hint="eastAsia" w:ascii="Times New Roman" w:hAnsi="Times New Roman" w:cs="Times New Roman"/>
                <w:sz w:val="24"/>
                <w:szCs w:val="24"/>
                <w:u w:val="single"/>
                <w:lang w:val="en-US" w:eastAsia="zh-CN"/>
              </w:rPr>
              <w:t>99</w:t>
            </w:r>
            <w:r>
              <w:rPr>
                <w:rFonts w:hint="default" w:ascii="Times New Roman" w:hAnsi="Times New Roman" w:cs="Times New Roman"/>
                <w:sz w:val="24"/>
                <w:szCs w:val="24"/>
                <w:u w:val="single"/>
              </w:rPr>
              <w:t>%，本项目</w:t>
            </w:r>
            <w:r>
              <w:rPr>
                <w:rFonts w:hint="eastAsia" w:ascii="Times New Roman" w:hAnsi="Times New Roman" w:cs="Times New Roman"/>
                <w:sz w:val="24"/>
                <w:szCs w:val="24"/>
                <w:u w:val="single"/>
                <w:lang w:eastAsia="zh-CN"/>
              </w:rPr>
              <w:t>产品重量</w:t>
            </w:r>
            <w:r>
              <w:rPr>
                <w:rFonts w:hint="default" w:ascii="Times New Roman" w:hAnsi="Times New Roman" w:cs="Times New Roman"/>
                <w:sz w:val="24"/>
                <w:szCs w:val="24"/>
                <w:u w:val="single"/>
              </w:rPr>
              <w:t>为</w:t>
            </w:r>
            <w:r>
              <w:rPr>
                <w:rFonts w:hint="eastAsia" w:ascii="Times New Roman" w:hAnsi="Times New Roman" w:cs="Times New Roman"/>
                <w:sz w:val="24"/>
                <w:szCs w:val="24"/>
                <w:u w:val="single"/>
                <w:lang w:val="en-US" w:eastAsia="zh-CN"/>
              </w:rPr>
              <w:t>8160</w:t>
            </w:r>
            <w:r>
              <w:rPr>
                <w:rFonts w:hint="default" w:ascii="Times New Roman" w:hAnsi="Times New Roman" w:cs="Times New Roman"/>
                <w:sz w:val="24"/>
                <w:szCs w:val="24"/>
                <w:u w:val="single"/>
              </w:rPr>
              <w:t>吨，则搅拌粉尘</w:t>
            </w:r>
            <w:r>
              <w:rPr>
                <w:rFonts w:hint="eastAsia" w:ascii="Times New Roman" w:hAnsi="Times New Roman" w:cs="Times New Roman"/>
                <w:sz w:val="24"/>
                <w:szCs w:val="24"/>
                <w:u w:val="single"/>
                <w:lang w:eastAsia="zh-CN"/>
              </w:rPr>
              <w:t>排放</w:t>
            </w:r>
            <w:r>
              <w:rPr>
                <w:rFonts w:hint="default" w:ascii="Times New Roman" w:hAnsi="Times New Roman" w:cs="Times New Roman"/>
                <w:sz w:val="24"/>
                <w:szCs w:val="24"/>
                <w:u w:val="single"/>
              </w:rPr>
              <w:t>量约为</w:t>
            </w:r>
            <w:r>
              <w:rPr>
                <w:rFonts w:hint="eastAsia" w:ascii="Times New Roman" w:hAnsi="Times New Roman" w:cs="Times New Roman"/>
                <w:sz w:val="24"/>
                <w:szCs w:val="24"/>
                <w:u w:val="single"/>
                <w:lang w:val="en-US" w:eastAsia="zh-CN"/>
              </w:rPr>
              <w:t>0.043</w:t>
            </w:r>
            <w:r>
              <w:rPr>
                <w:rFonts w:hint="default" w:ascii="Times New Roman" w:hAnsi="Times New Roman" w:cs="Times New Roman"/>
                <w:sz w:val="24"/>
                <w:szCs w:val="24"/>
                <w:u w:val="single"/>
              </w:rPr>
              <w:t>t/a。</w:t>
            </w:r>
            <w:r>
              <w:rPr>
                <w:rFonts w:hint="eastAsia" w:ascii="Times New Roman" w:hAnsi="Times New Roman" w:cs="Times New Roman"/>
                <w:sz w:val="24"/>
                <w:szCs w:val="24"/>
                <w:u w:val="single"/>
                <w:lang w:eastAsia="zh-CN"/>
              </w:rPr>
              <w:t>污染物排放量较扩建前增加</w:t>
            </w:r>
            <w:r>
              <w:rPr>
                <w:rFonts w:hint="eastAsia" w:ascii="Times New Roman" w:hAnsi="Times New Roman" w:cs="Times New Roman"/>
                <w:sz w:val="24"/>
                <w:szCs w:val="24"/>
                <w:u w:val="single"/>
                <w:lang w:val="en-US" w:eastAsia="zh-CN"/>
              </w:rPr>
              <w:t>0.022t/a。</w:t>
            </w:r>
          </w:p>
          <w:p w14:paraId="195D585A">
            <w:pPr>
              <w:spacing w:line="360" w:lineRule="auto"/>
              <w:ind w:firstLine="480" w:firstLineChars="200"/>
              <w:rPr>
                <w:rFonts w:hint="default" w:ascii="Times New Roman" w:hAnsi="Times New Roman" w:cs="Times New Roman"/>
                <w:sz w:val="24"/>
                <w:szCs w:val="24"/>
                <w:u w:val="none"/>
              </w:rPr>
            </w:pPr>
            <w:r>
              <w:rPr>
                <w:rFonts w:hint="eastAsia" w:ascii="Times New Roman" w:hAnsi="Times New Roman" w:cs="Times New Roman"/>
                <w:sz w:val="24"/>
                <w:szCs w:val="24"/>
                <w:u w:val="none"/>
                <w:lang w:val="en-US" w:eastAsia="zh-CN"/>
              </w:rPr>
              <w:t>（6）</w:t>
            </w:r>
            <w:r>
              <w:rPr>
                <w:rFonts w:hint="default" w:ascii="Times New Roman" w:hAnsi="Times New Roman" w:cs="Times New Roman"/>
                <w:sz w:val="24"/>
                <w:szCs w:val="24"/>
                <w:u w:val="none"/>
              </w:rPr>
              <w:t>焊接烟尘</w:t>
            </w:r>
          </w:p>
          <w:p w14:paraId="2F77A893">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sz w:val="24"/>
                <w:szCs w:val="24"/>
                <w:u w:val="none"/>
                <w:lang w:val="en-US" w:eastAsia="zh-CN"/>
              </w:rPr>
            </w:pPr>
            <w:r>
              <w:rPr>
                <w:rFonts w:hint="default" w:ascii="Times New Roman" w:hAnsi="Times New Roman" w:cs="Times New Roman"/>
                <w:sz w:val="24"/>
                <w:szCs w:val="24"/>
                <w:u w:val="none"/>
              </w:rPr>
              <w:t>项目编笼钢筋焊接采用手工电弧焊，焊接烟尘主要来自焊条的药皮，少量来自焊芯及被焊工件，焊接时产生的大气污染物主要为NOx、O</w:t>
            </w:r>
            <w:r>
              <w:rPr>
                <w:rFonts w:hint="default" w:ascii="Times New Roman" w:hAnsi="Times New Roman" w:cs="Times New Roman"/>
                <w:sz w:val="24"/>
                <w:szCs w:val="24"/>
                <w:u w:val="none"/>
                <w:vertAlign w:val="subscript"/>
              </w:rPr>
              <w:t>3</w:t>
            </w:r>
            <w:r>
              <w:rPr>
                <w:rFonts w:hint="default" w:ascii="Times New Roman" w:hAnsi="Times New Roman" w:cs="Times New Roman"/>
                <w:sz w:val="24"/>
                <w:szCs w:val="24"/>
                <w:u w:val="none"/>
              </w:rPr>
              <w:t>、MnO</w:t>
            </w:r>
            <w:r>
              <w:rPr>
                <w:rFonts w:hint="default" w:ascii="Times New Roman" w:hAnsi="Times New Roman" w:cs="Times New Roman"/>
                <w:sz w:val="24"/>
                <w:szCs w:val="24"/>
                <w:u w:val="none"/>
                <w:vertAlign w:val="subscript"/>
              </w:rPr>
              <w:t>2</w:t>
            </w:r>
            <w:r>
              <w:rPr>
                <w:rFonts w:hint="default" w:ascii="Times New Roman" w:hAnsi="Times New Roman" w:cs="Times New Roman"/>
                <w:sz w:val="24"/>
                <w:szCs w:val="24"/>
                <w:u w:val="none"/>
              </w:rPr>
              <w:t>和Fe</w:t>
            </w:r>
            <w:r>
              <w:rPr>
                <w:rFonts w:hint="default" w:ascii="Times New Roman" w:hAnsi="Times New Roman" w:cs="Times New Roman"/>
                <w:sz w:val="24"/>
                <w:szCs w:val="24"/>
                <w:u w:val="none"/>
                <w:vertAlign w:val="subscript"/>
              </w:rPr>
              <w:t>2</w:t>
            </w:r>
            <w:r>
              <w:rPr>
                <w:rFonts w:hint="default" w:ascii="Times New Roman" w:hAnsi="Times New Roman" w:cs="Times New Roman"/>
                <w:sz w:val="24"/>
                <w:szCs w:val="24"/>
                <w:u w:val="none"/>
              </w:rPr>
              <w:t>O</w:t>
            </w:r>
            <w:r>
              <w:rPr>
                <w:rFonts w:hint="default" w:ascii="Times New Roman" w:hAnsi="Times New Roman" w:cs="Times New Roman"/>
                <w:sz w:val="24"/>
                <w:szCs w:val="24"/>
                <w:u w:val="none"/>
                <w:vertAlign w:val="subscript"/>
              </w:rPr>
              <w:t>3</w:t>
            </w:r>
            <w:r>
              <w:rPr>
                <w:rFonts w:hint="default" w:ascii="Times New Roman" w:hAnsi="Times New Roman" w:cs="Times New Roman"/>
                <w:sz w:val="24"/>
                <w:szCs w:val="24"/>
                <w:u w:val="none"/>
              </w:rPr>
              <w:t>，本项目使用钙钛型焊条，年用量约8t/a，根据《不同焊接工艺的烟尘污染特征》，钙钛型焊条的发尘量为6-8g/kg，本项目以8g/kg计，则发尘量为64kg/a。钢筋加工区共设置1台移动式焊接烟尘净化器，焊接烟尘经集气罩吸入移动式焊接烟尘净化器内进行过滤吸附处理后无组织排放，焊接烟尘净化器处理效率可达99%以上，年工作时间为2400h，则焊接烟尘排放量为0.64kg/a，排放速率0.267kg/h</w:t>
            </w:r>
            <w:r>
              <w:rPr>
                <w:rFonts w:hint="eastAsia" w:ascii="Times New Roman" w:hAnsi="Times New Roman" w:cs="Times New Roman"/>
                <w:sz w:val="24"/>
                <w:szCs w:val="24"/>
                <w:u w:val="none"/>
                <w:lang w:eastAsia="zh-CN"/>
              </w:rPr>
              <w:t>。污染物排放量较扩建前增加</w:t>
            </w:r>
            <w:r>
              <w:rPr>
                <w:rFonts w:hint="eastAsia" w:ascii="Times New Roman" w:hAnsi="Times New Roman" w:cs="Times New Roman"/>
                <w:sz w:val="24"/>
                <w:szCs w:val="24"/>
                <w:u w:val="none"/>
                <w:lang w:val="en-US" w:eastAsia="zh-CN"/>
              </w:rPr>
              <w:t>0.32kg/a。</w:t>
            </w:r>
          </w:p>
          <w:p w14:paraId="187AFEDC">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color w:val="auto"/>
                <w:sz w:val="24"/>
                <w:u w:val="single"/>
              </w:rPr>
            </w:pPr>
            <w:r>
              <w:rPr>
                <w:rFonts w:hint="eastAsia" w:ascii="Times New Roman" w:hAnsi="Times New Roman"/>
                <w:color w:val="auto"/>
                <w:sz w:val="24"/>
                <w:u w:val="single"/>
                <w:lang w:eastAsia="zh-CN"/>
              </w:rPr>
              <w:t>（</w:t>
            </w:r>
            <w:r>
              <w:rPr>
                <w:rFonts w:hint="eastAsia" w:ascii="Times New Roman" w:hAnsi="Times New Roman"/>
                <w:color w:val="auto"/>
                <w:sz w:val="24"/>
                <w:u w:val="single"/>
                <w:lang w:val="en-US" w:eastAsia="zh-CN"/>
              </w:rPr>
              <w:t>7</w:t>
            </w:r>
            <w:r>
              <w:rPr>
                <w:rFonts w:hint="eastAsia" w:ascii="Times New Roman" w:hAnsi="Times New Roman"/>
                <w:color w:val="auto"/>
                <w:sz w:val="24"/>
                <w:u w:val="single"/>
                <w:lang w:eastAsia="zh-CN"/>
              </w:rPr>
              <w:t>）</w:t>
            </w:r>
            <w:r>
              <w:rPr>
                <w:rFonts w:ascii="Times New Roman" w:hAnsi="Times New Roman"/>
                <w:color w:val="auto"/>
                <w:sz w:val="24"/>
                <w:u w:val="single"/>
              </w:rPr>
              <w:t>成型生物质燃烧废气</w:t>
            </w:r>
          </w:p>
          <w:p w14:paraId="6433330E">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color w:val="auto"/>
                <w:sz w:val="24"/>
                <w:u w:val="single"/>
              </w:rPr>
            </w:pPr>
            <w:r>
              <w:rPr>
                <w:rFonts w:hint="default" w:ascii="Times New Roman" w:hAnsi="Times New Roman" w:eastAsia="宋体" w:cs="Times New Roman"/>
                <w:kern w:val="0"/>
                <w:sz w:val="24"/>
                <w:szCs w:val="24"/>
                <w:u w:val="single"/>
                <w:lang w:val="en-US" w:eastAsia="zh-CN"/>
              </w:rPr>
              <w:t>当气温低于20℃时需要使用蒸汽发生器蒸汽对电杆进行养护</w:t>
            </w:r>
            <w:r>
              <w:rPr>
                <w:rFonts w:hint="default" w:ascii="Times New Roman" w:hAnsi="Times New Roman" w:eastAsia="宋体" w:cs="Times New Roman"/>
                <w:kern w:val="0"/>
                <w:sz w:val="24"/>
                <w:szCs w:val="24"/>
                <w:u w:val="single"/>
              </w:rPr>
              <w:t>，使产品达到应有的强度</w:t>
            </w:r>
            <w:r>
              <w:rPr>
                <w:rFonts w:hint="eastAsia" w:ascii="Times New Roman" w:hAnsi="Times New Roman" w:eastAsia="宋体" w:cs="Times New Roman"/>
                <w:kern w:val="0"/>
                <w:sz w:val="24"/>
                <w:szCs w:val="24"/>
                <w:u w:val="single"/>
                <w:lang w:eastAsia="zh-CN"/>
              </w:rPr>
              <w:t>，因此</w:t>
            </w:r>
            <w:r>
              <w:rPr>
                <w:rFonts w:hint="default" w:ascii="Times New Roman" w:hAnsi="Times New Roman" w:eastAsia="宋体" w:cs="Times New Roman"/>
                <w:kern w:val="0"/>
                <w:sz w:val="24"/>
                <w:szCs w:val="24"/>
                <w:u w:val="single"/>
              </w:rPr>
              <w:t>项目使用1台</w:t>
            </w:r>
            <w:r>
              <w:rPr>
                <w:rFonts w:hint="default" w:ascii="Times New Roman" w:hAnsi="Times New Roman" w:eastAsia="宋体" w:cs="Times New Roman"/>
                <w:kern w:val="0"/>
                <w:sz w:val="24"/>
                <w:szCs w:val="24"/>
                <w:u w:val="single"/>
                <w:lang w:eastAsia="zh-CN"/>
              </w:rPr>
              <w:t>生物质燃料蒸汽发生器</w:t>
            </w:r>
            <w:r>
              <w:rPr>
                <w:rFonts w:hint="default" w:ascii="Times New Roman" w:hAnsi="Times New Roman" w:eastAsia="宋体" w:cs="Times New Roman"/>
                <w:kern w:val="0"/>
                <w:sz w:val="24"/>
                <w:szCs w:val="24"/>
                <w:u w:val="single"/>
              </w:rPr>
              <w:t>提供蒸汽，每天运行</w:t>
            </w:r>
            <w:r>
              <w:rPr>
                <w:rFonts w:hint="eastAsia" w:ascii="Times New Roman" w:hAnsi="Times New Roman" w:cs="Times New Roman"/>
                <w:kern w:val="0"/>
                <w:sz w:val="24"/>
                <w:szCs w:val="24"/>
                <w:u w:val="single"/>
                <w:lang w:val="en-US" w:eastAsia="zh-CN"/>
              </w:rPr>
              <w:t>4</w:t>
            </w:r>
            <w:r>
              <w:rPr>
                <w:rFonts w:hint="default" w:ascii="Times New Roman" w:hAnsi="Times New Roman" w:eastAsia="宋体" w:cs="Times New Roman"/>
                <w:kern w:val="0"/>
                <w:sz w:val="24"/>
                <w:szCs w:val="24"/>
                <w:u w:val="single"/>
              </w:rPr>
              <w:t>h</w:t>
            </w:r>
            <w:r>
              <w:rPr>
                <w:rFonts w:hint="eastAsia" w:ascii="Times New Roman" w:hAnsi="Times New Roman" w:cs="Times New Roman"/>
                <w:kern w:val="0"/>
                <w:sz w:val="24"/>
                <w:szCs w:val="24"/>
                <w:u w:val="single"/>
                <w:lang w:eastAsia="zh-CN"/>
              </w:rPr>
              <w:t>，年运行</w:t>
            </w:r>
            <w:r>
              <w:rPr>
                <w:rFonts w:hint="eastAsia" w:ascii="Times New Roman" w:hAnsi="Times New Roman" w:cs="Times New Roman"/>
                <w:kern w:val="0"/>
                <w:sz w:val="24"/>
                <w:szCs w:val="24"/>
                <w:u w:val="single"/>
                <w:lang w:val="en-US" w:eastAsia="zh-CN"/>
              </w:rPr>
              <w:t>100天</w:t>
            </w:r>
            <w:r>
              <w:rPr>
                <w:rFonts w:ascii="Times New Roman" w:hAnsi="Times New Roman"/>
                <w:color w:val="auto"/>
                <w:sz w:val="24"/>
                <w:u w:val="single"/>
              </w:rPr>
              <w:t>，采用成型生物质作为燃料，年消耗量约为</w:t>
            </w:r>
            <w:r>
              <w:rPr>
                <w:rFonts w:hint="eastAsia" w:ascii="Times New Roman" w:hAnsi="Times New Roman"/>
                <w:color w:val="auto"/>
                <w:sz w:val="24"/>
                <w:u w:val="single"/>
              </w:rPr>
              <w:t>94.5</w:t>
            </w:r>
            <w:r>
              <w:rPr>
                <w:rFonts w:ascii="Times New Roman" w:hAnsi="Times New Roman"/>
                <w:color w:val="auto"/>
                <w:sz w:val="24"/>
                <w:u w:val="single"/>
              </w:rPr>
              <w:t>t/a，废气中主要污染物为SO</w:t>
            </w:r>
            <w:r>
              <w:rPr>
                <w:rFonts w:ascii="Times New Roman" w:hAnsi="Times New Roman"/>
                <w:color w:val="auto"/>
                <w:sz w:val="24"/>
                <w:u w:val="single"/>
                <w:vertAlign w:val="subscript"/>
              </w:rPr>
              <w:t>2</w:t>
            </w:r>
            <w:r>
              <w:rPr>
                <w:rFonts w:ascii="Times New Roman" w:hAnsi="Times New Roman"/>
                <w:color w:val="auto"/>
                <w:sz w:val="24"/>
                <w:u w:val="single"/>
              </w:rPr>
              <w:t>、NOx、和烟尘。</w:t>
            </w:r>
            <w:r>
              <w:rPr>
                <w:rFonts w:hint="eastAsia" w:ascii="Times New Roman" w:hAnsi="Times New Roman"/>
                <w:color w:val="auto"/>
                <w:sz w:val="24"/>
                <w:u w:val="single"/>
                <w:lang w:eastAsia="zh-CN"/>
              </w:rPr>
              <w:t>生产时间较扩建前每天增加</w:t>
            </w:r>
            <w:r>
              <w:rPr>
                <w:rFonts w:hint="eastAsia" w:ascii="Times New Roman" w:hAnsi="Times New Roman"/>
                <w:color w:val="auto"/>
                <w:sz w:val="24"/>
                <w:u w:val="single"/>
                <w:lang w:val="en-US" w:eastAsia="zh-CN"/>
              </w:rPr>
              <w:t>2h。参考生态环境部2021年6月发布的《排放源统计调查产排污核算方法和系数手册》中“4430 工业锅炉（热力生产和供应行业）产污系数表-生物质工业锅炉”及《排污许可证申请与核发技术规范 锅炉》（HJ953-2018）表F.4燃生物质工业锅炉的废气产排污系数表，燃成型生物质燃料（非散烧）的排污系数取值为SO</w:t>
            </w:r>
            <w:r>
              <w:rPr>
                <w:rFonts w:hint="eastAsia" w:ascii="Times New Roman" w:hAnsi="Times New Roman"/>
                <w:color w:val="auto"/>
                <w:sz w:val="24"/>
                <w:u w:val="single"/>
                <w:vertAlign w:val="subscript"/>
                <w:lang w:val="en-US" w:eastAsia="zh-CN"/>
              </w:rPr>
              <w:t>2</w:t>
            </w:r>
            <w:r>
              <w:rPr>
                <w:rFonts w:hint="eastAsia" w:ascii="Times New Roman" w:hAnsi="Times New Roman"/>
                <w:color w:val="auto"/>
                <w:sz w:val="24"/>
                <w:u w:val="single"/>
                <w:lang w:val="en-US" w:eastAsia="zh-CN"/>
              </w:rPr>
              <w:t>：0.17kg/t、NOx：1.02kg/t、颗粒物：0.5kg/t。</w:t>
            </w:r>
            <w:r>
              <w:rPr>
                <w:rFonts w:ascii="Times New Roman" w:hAnsi="Times New Roman"/>
                <w:color w:val="auto"/>
                <w:sz w:val="24"/>
                <w:u w:val="single"/>
              </w:rPr>
              <w:t>计算得出本项目生物质蒸汽</w:t>
            </w:r>
            <w:r>
              <w:rPr>
                <w:rFonts w:hint="eastAsia" w:ascii="Times New Roman" w:hAnsi="Times New Roman"/>
                <w:color w:val="auto"/>
                <w:sz w:val="24"/>
                <w:u w:val="single"/>
                <w:lang w:eastAsia="zh-CN"/>
              </w:rPr>
              <w:t>发生器</w:t>
            </w:r>
            <w:r>
              <w:rPr>
                <w:rFonts w:ascii="Times New Roman" w:hAnsi="Times New Roman"/>
                <w:color w:val="auto"/>
                <w:sz w:val="24"/>
                <w:u w:val="single"/>
              </w:rPr>
              <w:t>燃料废气各污染物产生情况见表</w:t>
            </w:r>
            <w:r>
              <w:rPr>
                <w:rFonts w:hint="eastAsia" w:ascii="Times New Roman" w:hAnsi="Times New Roman"/>
                <w:color w:val="auto"/>
                <w:sz w:val="24"/>
                <w:u w:val="single"/>
                <w:lang w:val="en-US" w:eastAsia="zh-CN"/>
              </w:rPr>
              <w:t>4-1</w:t>
            </w:r>
            <w:r>
              <w:rPr>
                <w:rFonts w:ascii="Times New Roman" w:hAnsi="Times New Roman"/>
                <w:color w:val="auto"/>
                <w:sz w:val="24"/>
                <w:u w:val="single"/>
              </w:rPr>
              <w:t>。</w:t>
            </w:r>
          </w:p>
          <w:p w14:paraId="70D0FB55">
            <w:pPr>
              <w:pStyle w:val="169"/>
              <w:spacing w:line="360" w:lineRule="auto"/>
              <w:ind w:firstLine="0" w:firstLineChars="0"/>
              <w:jc w:val="center"/>
              <w:rPr>
                <w:rFonts w:ascii="Times New Roman" w:hAnsi="Times New Roman"/>
                <w:b/>
                <w:bCs/>
                <w:color w:val="auto"/>
                <w:u w:val="single"/>
              </w:rPr>
            </w:pPr>
            <w:r>
              <w:rPr>
                <w:rFonts w:ascii="Times New Roman" w:hAnsi="Times New Roman"/>
                <w:b/>
                <w:bCs/>
                <w:color w:val="auto"/>
                <w:u w:val="single"/>
              </w:rPr>
              <w:t>表</w:t>
            </w:r>
            <w:r>
              <w:rPr>
                <w:rFonts w:hint="eastAsia" w:ascii="Times New Roman" w:hAnsi="Times New Roman"/>
                <w:b/>
                <w:bCs/>
                <w:color w:val="auto"/>
                <w:u w:val="single"/>
                <w:lang w:val="en-US" w:eastAsia="zh-CN"/>
              </w:rPr>
              <w:t>4-1</w:t>
            </w:r>
            <w:r>
              <w:rPr>
                <w:rFonts w:ascii="Times New Roman" w:hAnsi="Times New Roman"/>
                <w:b/>
                <w:bCs/>
                <w:color w:val="auto"/>
                <w:u w:val="single"/>
              </w:rPr>
              <w:t xml:space="preserve">  生物质燃料</w:t>
            </w:r>
            <w:r>
              <w:rPr>
                <w:rFonts w:hint="eastAsia" w:ascii="Times New Roman" w:hAnsi="Times New Roman"/>
                <w:b/>
                <w:bCs/>
                <w:color w:val="auto"/>
                <w:u w:val="single"/>
                <w:lang w:eastAsia="zh-CN"/>
              </w:rPr>
              <w:t>蒸汽发生器燃烧</w:t>
            </w:r>
            <w:r>
              <w:rPr>
                <w:rFonts w:ascii="Times New Roman" w:hAnsi="Times New Roman"/>
                <w:b/>
                <w:bCs/>
                <w:color w:val="auto"/>
                <w:u w:val="single"/>
              </w:rPr>
              <w:t>废气产生一览表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1760"/>
              <w:gridCol w:w="1357"/>
              <w:gridCol w:w="1018"/>
              <w:gridCol w:w="1524"/>
              <w:gridCol w:w="1087"/>
              <w:gridCol w:w="1305"/>
            </w:tblGrid>
            <w:tr w14:paraId="3E35D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9" w:type="dxa"/>
                  <w:vMerge w:val="restart"/>
                  <w:noWrap w:val="0"/>
                  <w:vAlign w:val="center"/>
                </w:tcPr>
                <w:p w14:paraId="4BA5FE43">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燃料用量（t/a）</w:t>
                  </w:r>
                </w:p>
              </w:tc>
              <w:tc>
                <w:tcPr>
                  <w:tcW w:w="7709" w:type="dxa"/>
                  <w:gridSpan w:val="6"/>
                  <w:noWrap w:val="0"/>
                  <w:vAlign w:val="center"/>
                </w:tcPr>
                <w:p w14:paraId="3E5F9CE8">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污染物产生情况</w:t>
                  </w:r>
                </w:p>
              </w:tc>
            </w:tr>
            <w:tr w14:paraId="19E0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9" w:type="dxa"/>
                  <w:vMerge w:val="continue"/>
                  <w:noWrap w:val="0"/>
                  <w:vAlign w:val="center"/>
                </w:tcPr>
                <w:p w14:paraId="49AABEAA">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single"/>
                    </w:rPr>
                  </w:pPr>
                </w:p>
              </w:tc>
              <w:tc>
                <w:tcPr>
                  <w:tcW w:w="1685" w:type="dxa"/>
                  <w:noWrap w:val="0"/>
                  <w:vAlign w:val="center"/>
                </w:tcPr>
                <w:p w14:paraId="689FEBA9">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废气产生系数（Nm</w:t>
                  </w:r>
                  <w:r>
                    <w:rPr>
                      <w:rFonts w:hint="default" w:ascii="Times New Roman" w:hAnsi="Times New Roman" w:cs="Times New Roman"/>
                      <w:b/>
                      <w:bCs/>
                      <w:color w:val="auto"/>
                      <w:sz w:val="21"/>
                      <w:szCs w:val="21"/>
                      <w:u w:val="single"/>
                      <w:vertAlign w:val="superscript"/>
                    </w:rPr>
                    <w:t>3</w:t>
                  </w:r>
                  <w:r>
                    <w:rPr>
                      <w:rFonts w:hint="default" w:ascii="Times New Roman" w:hAnsi="Times New Roman" w:cs="Times New Roman"/>
                      <w:b/>
                      <w:bCs/>
                      <w:color w:val="auto"/>
                      <w:sz w:val="21"/>
                      <w:szCs w:val="21"/>
                      <w:u w:val="single"/>
                    </w:rPr>
                    <w:t>/t-燃料）</w:t>
                  </w:r>
                </w:p>
              </w:tc>
              <w:tc>
                <w:tcPr>
                  <w:tcW w:w="1299" w:type="dxa"/>
                  <w:noWrap w:val="0"/>
                  <w:vAlign w:val="center"/>
                </w:tcPr>
                <w:p w14:paraId="5A7EC407">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废气产生量(Nm</w:t>
                  </w:r>
                  <w:r>
                    <w:rPr>
                      <w:rFonts w:hint="default" w:ascii="Times New Roman" w:hAnsi="Times New Roman" w:cs="Times New Roman"/>
                      <w:b/>
                      <w:bCs/>
                      <w:color w:val="auto"/>
                      <w:sz w:val="21"/>
                      <w:szCs w:val="21"/>
                      <w:u w:val="single"/>
                      <w:vertAlign w:val="superscript"/>
                    </w:rPr>
                    <w:t>3</w:t>
                  </w:r>
                  <w:r>
                    <w:rPr>
                      <w:rFonts w:hint="default" w:ascii="Times New Roman" w:hAnsi="Times New Roman" w:cs="Times New Roman"/>
                      <w:b/>
                      <w:bCs/>
                      <w:color w:val="auto"/>
                      <w:sz w:val="21"/>
                      <w:szCs w:val="21"/>
                      <w:u w:val="single"/>
                    </w:rPr>
                    <w:t>/a）</w:t>
                  </w:r>
                </w:p>
              </w:tc>
              <w:tc>
                <w:tcPr>
                  <w:tcW w:w="975" w:type="dxa"/>
                  <w:noWrap w:val="0"/>
                  <w:vAlign w:val="center"/>
                </w:tcPr>
                <w:p w14:paraId="7DA957C0">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主要污染因子</w:t>
                  </w:r>
                </w:p>
              </w:tc>
              <w:tc>
                <w:tcPr>
                  <w:tcW w:w="1459" w:type="dxa"/>
                  <w:noWrap w:val="0"/>
                  <w:vAlign w:val="center"/>
                </w:tcPr>
                <w:p w14:paraId="55914A10">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产污系数(kg/t-燃料）</w:t>
                  </w:r>
                </w:p>
              </w:tc>
              <w:tc>
                <w:tcPr>
                  <w:tcW w:w="1041" w:type="dxa"/>
                  <w:noWrap w:val="0"/>
                  <w:vAlign w:val="center"/>
                </w:tcPr>
                <w:p w14:paraId="308363AC">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产生量（kg/a）</w:t>
                  </w:r>
                </w:p>
              </w:tc>
              <w:tc>
                <w:tcPr>
                  <w:tcW w:w="1250" w:type="dxa"/>
                  <w:noWrap w:val="0"/>
                  <w:vAlign w:val="center"/>
                </w:tcPr>
                <w:p w14:paraId="0B59EC35">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产生浓度（mg/m</w:t>
                  </w:r>
                  <w:r>
                    <w:rPr>
                      <w:rFonts w:hint="default" w:ascii="Times New Roman" w:hAnsi="Times New Roman" w:cs="Times New Roman"/>
                      <w:b/>
                      <w:bCs/>
                      <w:color w:val="auto"/>
                      <w:sz w:val="21"/>
                      <w:szCs w:val="21"/>
                      <w:u w:val="single"/>
                      <w:vertAlign w:val="superscript"/>
                    </w:rPr>
                    <w:t>3</w:t>
                  </w:r>
                  <w:r>
                    <w:rPr>
                      <w:rFonts w:hint="default" w:ascii="Times New Roman" w:hAnsi="Times New Roman" w:cs="Times New Roman"/>
                      <w:b/>
                      <w:bCs/>
                      <w:color w:val="auto"/>
                      <w:sz w:val="21"/>
                      <w:szCs w:val="21"/>
                      <w:u w:val="single"/>
                    </w:rPr>
                    <w:t>）</w:t>
                  </w:r>
                </w:p>
              </w:tc>
            </w:tr>
            <w:tr w14:paraId="0B7A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9" w:type="dxa"/>
                  <w:vMerge w:val="restart"/>
                  <w:noWrap w:val="0"/>
                  <w:vAlign w:val="center"/>
                </w:tcPr>
                <w:p w14:paraId="07853182">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94.5</w:t>
                  </w:r>
                </w:p>
              </w:tc>
              <w:tc>
                <w:tcPr>
                  <w:tcW w:w="1685" w:type="dxa"/>
                  <w:vMerge w:val="restart"/>
                  <w:noWrap w:val="0"/>
                  <w:vAlign w:val="center"/>
                </w:tcPr>
                <w:p w14:paraId="6125F97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6240.28</w:t>
                  </w:r>
                </w:p>
              </w:tc>
              <w:tc>
                <w:tcPr>
                  <w:tcW w:w="1299" w:type="dxa"/>
                  <w:vMerge w:val="restart"/>
                  <w:noWrap w:val="0"/>
                  <w:vAlign w:val="center"/>
                </w:tcPr>
                <w:p w14:paraId="2B75F68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589706.46</w:t>
                  </w:r>
                </w:p>
              </w:tc>
              <w:tc>
                <w:tcPr>
                  <w:tcW w:w="975" w:type="dxa"/>
                  <w:noWrap w:val="0"/>
                  <w:vAlign w:val="center"/>
                </w:tcPr>
                <w:p w14:paraId="0CE8D3BD">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SO</w:t>
                  </w:r>
                  <w:r>
                    <w:rPr>
                      <w:rFonts w:hint="default" w:ascii="Times New Roman" w:hAnsi="Times New Roman" w:cs="Times New Roman"/>
                      <w:color w:val="auto"/>
                      <w:sz w:val="21"/>
                      <w:szCs w:val="21"/>
                      <w:u w:val="single"/>
                      <w:vertAlign w:val="subscript"/>
                    </w:rPr>
                    <w:t>2</w:t>
                  </w:r>
                </w:p>
              </w:tc>
              <w:tc>
                <w:tcPr>
                  <w:tcW w:w="1459" w:type="dxa"/>
                  <w:noWrap w:val="0"/>
                  <w:vAlign w:val="center"/>
                </w:tcPr>
                <w:p w14:paraId="670C9308">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17S*</w:t>
                  </w:r>
                </w:p>
              </w:tc>
              <w:tc>
                <w:tcPr>
                  <w:tcW w:w="1041" w:type="dxa"/>
                  <w:noWrap w:val="0"/>
                  <w:vAlign w:val="center"/>
                </w:tcPr>
                <w:p w14:paraId="745765DE">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16.065</w:t>
                  </w:r>
                </w:p>
              </w:tc>
              <w:tc>
                <w:tcPr>
                  <w:tcW w:w="1250" w:type="dxa"/>
                  <w:noWrap w:val="0"/>
                  <w:vAlign w:val="center"/>
                </w:tcPr>
                <w:p w14:paraId="2AF3A820">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lang w:val="en-US"/>
                    </w:rPr>
                  </w:pPr>
                  <w:r>
                    <w:rPr>
                      <w:rFonts w:hint="eastAsia" w:ascii="Times New Roman" w:hAnsi="Times New Roman" w:cs="Times New Roman"/>
                      <w:color w:val="auto"/>
                      <w:sz w:val="21"/>
                      <w:szCs w:val="21"/>
                      <w:u w:val="single"/>
                      <w:lang w:val="en-US" w:eastAsia="zh-CN"/>
                    </w:rPr>
                    <w:t>40.163</w:t>
                  </w:r>
                </w:p>
              </w:tc>
            </w:tr>
            <w:tr w14:paraId="6F2E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9" w:type="dxa"/>
                  <w:vMerge w:val="continue"/>
                  <w:noWrap w:val="0"/>
                  <w:vAlign w:val="center"/>
                </w:tcPr>
                <w:p w14:paraId="2DEE577C">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p>
              </w:tc>
              <w:tc>
                <w:tcPr>
                  <w:tcW w:w="1685" w:type="dxa"/>
                  <w:vMerge w:val="continue"/>
                  <w:noWrap w:val="0"/>
                  <w:vAlign w:val="center"/>
                </w:tcPr>
                <w:p w14:paraId="6482098A">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p>
              </w:tc>
              <w:tc>
                <w:tcPr>
                  <w:tcW w:w="1299" w:type="dxa"/>
                  <w:vMerge w:val="continue"/>
                  <w:noWrap w:val="0"/>
                  <w:vAlign w:val="center"/>
                </w:tcPr>
                <w:p w14:paraId="232B30DF">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p>
              </w:tc>
              <w:tc>
                <w:tcPr>
                  <w:tcW w:w="975" w:type="dxa"/>
                  <w:noWrap w:val="0"/>
                  <w:vAlign w:val="center"/>
                </w:tcPr>
                <w:p w14:paraId="757D11C7">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NO</w:t>
                  </w:r>
                  <w:r>
                    <w:rPr>
                      <w:rFonts w:hint="default" w:ascii="Times New Roman" w:hAnsi="Times New Roman" w:cs="Times New Roman"/>
                      <w:color w:val="auto"/>
                      <w:sz w:val="21"/>
                      <w:szCs w:val="21"/>
                      <w:u w:val="single"/>
                      <w:vertAlign w:val="subscript"/>
                    </w:rPr>
                    <w:t>X</w:t>
                  </w:r>
                </w:p>
              </w:tc>
              <w:tc>
                <w:tcPr>
                  <w:tcW w:w="1459" w:type="dxa"/>
                  <w:noWrap w:val="0"/>
                  <w:vAlign w:val="center"/>
                </w:tcPr>
                <w:p w14:paraId="7BBFCD35">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1.02</w:t>
                  </w:r>
                </w:p>
              </w:tc>
              <w:tc>
                <w:tcPr>
                  <w:tcW w:w="1041" w:type="dxa"/>
                  <w:noWrap w:val="0"/>
                  <w:vAlign w:val="center"/>
                </w:tcPr>
                <w:p w14:paraId="71F67845">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96.39</w:t>
                  </w:r>
                </w:p>
              </w:tc>
              <w:tc>
                <w:tcPr>
                  <w:tcW w:w="1250" w:type="dxa"/>
                  <w:noWrap w:val="0"/>
                  <w:vAlign w:val="center"/>
                </w:tcPr>
                <w:p w14:paraId="4356467F">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rPr>
                  </w:pPr>
                  <w:r>
                    <w:rPr>
                      <w:rFonts w:hint="eastAsia" w:ascii="Times New Roman" w:hAnsi="Times New Roman" w:eastAsia="宋体" w:cs="Times New Roman"/>
                      <w:color w:val="auto"/>
                      <w:sz w:val="21"/>
                      <w:szCs w:val="21"/>
                      <w:u w:val="single"/>
                      <w:lang w:val="en-US" w:eastAsia="zh-CN"/>
                    </w:rPr>
                    <w:t>240.975</w:t>
                  </w:r>
                </w:p>
              </w:tc>
            </w:tr>
            <w:tr w14:paraId="7940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9" w:type="dxa"/>
                  <w:vMerge w:val="continue"/>
                  <w:noWrap w:val="0"/>
                  <w:vAlign w:val="center"/>
                </w:tcPr>
                <w:p w14:paraId="5D62A7A3">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p>
              </w:tc>
              <w:tc>
                <w:tcPr>
                  <w:tcW w:w="1685" w:type="dxa"/>
                  <w:vMerge w:val="continue"/>
                  <w:noWrap w:val="0"/>
                  <w:vAlign w:val="center"/>
                </w:tcPr>
                <w:p w14:paraId="272374D5">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p>
              </w:tc>
              <w:tc>
                <w:tcPr>
                  <w:tcW w:w="1299" w:type="dxa"/>
                  <w:vMerge w:val="continue"/>
                  <w:noWrap w:val="0"/>
                  <w:vAlign w:val="center"/>
                </w:tcPr>
                <w:p w14:paraId="11A44AC2">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p>
              </w:tc>
              <w:tc>
                <w:tcPr>
                  <w:tcW w:w="975" w:type="dxa"/>
                  <w:noWrap w:val="0"/>
                  <w:vAlign w:val="center"/>
                </w:tcPr>
                <w:p w14:paraId="53B6635F">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烟尘</w:t>
                  </w:r>
                </w:p>
              </w:tc>
              <w:tc>
                <w:tcPr>
                  <w:tcW w:w="1459" w:type="dxa"/>
                  <w:noWrap w:val="0"/>
                  <w:vAlign w:val="center"/>
                </w:tcPr>
                <w:p w14:paraId="41C4835E">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0.5</w:t>
                  </w:r>
                </w:p>
              </w:tc>
              <w:tc>
                <w:tcPr>
                  <w:tcW w:w="1041" w:type="dxa"/>
                  <w:noWrap w:val="0"/>
                  <w:vAlign w:val="center"/>
                </w:tcPr>
                <w:p w14:paraId="478A2AF6">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u w:val="single"/>
                    </w:rPr>
                  </w:pPr>
                  <w:r>
                    <w:rPr>
                      <w:rFonts w:hint="default" w:ascii="Times New Roman" w:hAnsi="Times New Roman" w:cs="Times New Roman"/>
                      <w:color w:val="auto"/>
                      <w:sz w:val="21"/>
                      <w:szCs w:val="21"/>
                      <w:u w:val="single"/>
                    </w:rPr>
                    <w:t>47.25</w:t>
                  </w:r>
                </w:p>
              </w:tc>
              <w:tc>
                <w:tcPr>
                  <w:tcW w:w="1250" w:type="dxa"/>
                  <w:noWrap w:val="0"/>
                  <w:vAlign w:val="center"/>
                </w:tcPr>
                <w:p w14:paraId="15A7B692">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rPr>
                  </w:pPr>
                  <w:r>
                    <w:rPr>
                      <w:rFonts w:hint="eastAsia" w:ascii="Times New Roman" w:hAnsi="Times New Roman" w:eastAsia="宋体" w:cs="Times New Roman"/>
                      <w:color w:val="auto"/>
                      <w:sz w:val="21"/>
                      <w:szCs w:val="21"/>
                      <w:u w:val="single"/>
                      <w:lang w:val="en-US" w:eastAsia="zh-CN"/>
                    </w:rPr>
                    <w:t>118.125</w:t>
                  </w:r>
                </w:p>
              </w:tc>
            </w:tr>
            <w:tr w14:paraId="4C32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8" w:type="dxa"/>
                  <w:gridSpan w:val="7"/>
                  <w:noWrap w:val="0"/>
                  <w:vAlign w:val="center"/>
                </w:tcPr>
                <w:p w14:paraId="65EB57FA">
                  <w:pPr>
                    <w:pStyle w:val="169"/>
                    <w:keepNext w:val="0"/>
                    <w:keepLines w:val="0"/>
                    <w:pageBreakBefore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s="Times New Roman"/>
                      <w:color w:val="auto"/>
                      <w:sz w:val="21"/>
                      <w:szCs w:val="21"/>
                      <w:u w:val="single"/>
                      <w:lang w:val="en-US" w:eastAsia="zh-CN"/>
                    </w:rPr>
                  </w:pPr>
                  <w:r>
                    <w:rPr>
                      <w:rFonts w:hint="default" w:ascii="Times New Roman" w:hAnsi="Times New Roman" w:cs="Times New Roman"/>
                      <w:color w:val="auto"/>
                      <w:sz w:val="21"/>
                      <w:szCs w:val="21"/>
                      <w:u w:val="single"/>
                    </w:rPr>
                    <w:t>*注：成型生物质的含硫量以0.0</w:t>
                  </w:r>
                  <w:r>
                    <w:rPr>
                      <w:rFonts w:hint="eastAsia" w:ascii="Times New Roman" w:hAnsi="Times New Roman" w:cs="Times New Roman"/>
                      <w:color w:val="auto"/>
                      <w:sz w:val="21"/>
                      <w:szCs w:val="21"/>
                      <w:u w:val="single"/>
                      <w:lang w:val="en-US" w:eastAsia="zh-CN"/>
                    </w:rPr>
                    <w:t>1</w:t>
                  </w:r>
                  <w:r>
                    <w:rPr>
                      <w:rFonts w:hint="default" w:ascii="Times New Roman" w:hAnsi="Times New Roman" w:cs="Times New Roman"/>
                      <w:color w:val="auto"/>
                      <w:sz w:val="21"/>
                      <w:szCs w:val="21"/>
                      <w:u w:val="single"/>
                    </w:rPr>
                    <w:t>%计，即S=0.0</w:t>
                  </w:r>
                  <w:r>
                    <w:rPr>
                      <w:rFonts w:hint="eastAsia" w:ascii="Times New Roman" w:hAnsi="Times New Roman" w:cs="Times New Roman"/>
                      <w:color w:val="auto"/>
                      <w:sz w:val="21"/>
                      <w:szCs w:val="21"/>
                      <w:u w:val="single"/>
                      <w:lang w:val="en-US" w:eastAsia="zh-CN"/>
                    </w:rPr>
                    <w:t>1</w:t>
                  </w:r>
                </w:p>
              </w:tc>
            </w:tr>
          </w:tbl>
          <w:p w14:paraId="38DA6452">
            <w:pPr>
              <w:spacing w:line="360" w:lineRule="auto"/>
              <w:ind w:firstLine="480" w:firstLineChars="200"/>
              <w:rPr>
                <w:sz w:val="24"/>
              </w:rPr>
            </w:pPr>
            <w:r>
              <w:rPr>
                <w:rFonts w:hint="eastAsia"/>
                <w:sz w:val="24"/>
                <w:lang w:eastAsia="zh-CN"/>
              </w:rPr>
              <w:t>参照</w:t>
            </w:r>
            <w:r>
              <w:rPr>
                <w:rFonts w:hint="eastAsia"/>
                <w:sz w:val="24"/>
                <w:lang w:val="en-US" w:eastAsia="zh-CN"/>
              </w:rPr>
              <w:t>《排放源统计调查产排污核算方法和系数手册》中</w:t>
            </w:r>
            <w:r>
              <w:rPr>
                <w:rFonts w:hint="eastAsia"/>
                <w:sz w:val="24"/>
              </w:rPr>
              <w:t>“</w:t>
            </w:r>
            <w:r>
              <w:rPr>
                <w:sz w:val="24"/>
              </w:rPr>
              <w:t xml:space="preserve">4430 </w:t>
            </w:r>
            <w:r>
              <w:rPr>
                <w:rFonts w:hint="eastAsia"/>
                <w:sz w:val="24"/>
              </w:rPr>
              <w:t>工业锅炉（热力生产和供应行业）产污系数表</w:t>
            </w:r>
            <w:r>
              <w:rPr>
                <w:sz w:val="24"/>
              </w:rPr>
              <w:t>-</w:t>
            </w:r>
            <w:r>
              <w:rPr>
                <w:rFonts w:hint="eastAsia"/>
                <w:sz w:val="24"/>
              </w:rPr>
              <w:t>生物质工业锅炉</w:t>
            </w:r>
            <w:r>
              <w:rPr>
                <w:sz w:val="24"/>
              </w:rPr>
              <w:t>，采用</w:t>
            </w:r>
            <w:r>
              <w:rPr>
                <w:rFonts w:hint="eastAsia"/>
                <w:sz w:val="24"/>
                <w:lang w:eastAsia="zh-CN"/>
              </w:rPr>
              <w:t>布袋</w:t>
            </w:r>
            <w:r>
              <w:rPr>
                <w:rFonts w:hint="eastAsia"/>
                <w:sz w:val="24"/>
              </w:rPr>
              <w:t>除尘</w:t>
            </w:r>
            <w:r>
              <w:rPr>
                <w:sz w:val="24"/>
              </w:rPr>
              <w:t>，</w:t>
            </w:r>
            <w:r>
              <w:rPr>
                <w:rFonts w:hint="eastAsia"/>
                <w:sz w:val="24"/>
              </w:rPr>
              <w:t>颗粒物</w:t>
            </w:r>
            <w:r>
              <w:rPr>
                <w:sz w:val="24"/>
              </w:rPr>
              <w:t>的处理效</w:t>
            </w:r>
            <w:r>
              <w:rPr>
                <w:rFonts w:hint="default" w:ascii="Times New Roman" w:hAnsi="Times New Roman" w:cs="Times New Roman"/>
                <w:sz w:val="24"/>
              </w:rPr>
              <w:t>率为</w:t>
            </w:r>
            <w:r>
              <w:rPr>
                <w:rFonts w:hint="default" w:ascii="Times New Roman" w:hAnsi="Times New Roman" w:cs="Times New Roman"/>
                <w:sz w:val="24"/>
                <w:lang w:val="en-US" w:eastAsia="zh-CN"/>
              </w:rPr>
              <w:t>99.7</w:t>
            </w:r>
            <w:r>
              <w:rPr>
                <w:rFonts w:hint="default" w:ascii="Times New Roman" w:hAnsi="Times New Roman" w:cs="Times New Roman"/>
                <w:sz w:val="24"/>
              </w:rPr>
              <w:t>%</w:t>
            </w:r>
            <w:r>
              <w:rPr>
                <w:rFonts w:hint="eastAsia" w:ascii="Times New Roman" w:hAnsi="Times New Roman" w:cs="Times New Roman"/>
                <w:sz w:val="24"/>
                <w:lang w:eastAsia="zh-CN"/>
              </w:rPr>
              <w:t>，风机设计最小风量为</w:t>
            </w:r>
            <w:r>
              <w:rPr>
                <w:rFonts w:hint="eastAsia" w:ascii="Times New Roman" w:hAnsi="Times New Roman" w:cs="Times New Roman"/>
                <w:sz w:val="24"/>
                <w:lang w:val="en-US" w:eastAsia="zh-CN"/>
              </w:rPr>
              <w:t>100</w:t>
            </w:r>
            <w:r>
              <w:rPr>
                <w:rFonts w:hint="eastAsia" w:ascii="Times New Roman" w:hAnsi="Times New Roman" w:cs="Times New Roman"/>
                <w:b w:val="0"/>
                <w:bCs w:val="0"/>
                <w:sz w:val="24"/>
                <w:szCs w:val="24"/>
                <w:lang w:val="en-US" w:eastAsia="zh-CN"/>
              </w:rPr>
              <w:t>0</w:t>
            </w:r>
            <w:r>
              <w:rPr>
                <w:rFonts w:hint="default" w:ascii="Times New Roman" w:hAnsi="Times New Roman" w:cs="Times New Roman"/>
                <w:b w:val="0"/>
                <w:bCs w:val="0"/>
                <w:sz w:val="24"/>
                <w:szCs w:val="24"/>
                <w:u w:val="none"/>
              </w:rPr>
              <w:t>m</w:t>
            </w:r>
            <w:r>
              <w:rPr>
                <w:rFonts w:hint="default" w:ascii="Times New Roman" w:hAnsi="Times New Roman" w:cs="Times New Roman"/>
                <w:b w:val="0"/>
                <w:bCs w:val="0"/>
                <w:sz w:val="24"/>
                <w:szCs w:val="24"/>
                <w:u w:val="none"/>
                <w:vertAlign w:val="superscript"/>
              </w:rPr>
              <w:t>3</w:t>
            </w:r>
            <w:r>
              <w:rPr>
                <w:rFonts w:hint="default" w:ascii="Times New Roman" w:hAnsi="Times New Roman" w:cs="Times New Roman"/>
                <w:b w:val="0"/>
                <w:bCs w:val="0"/>
                <w:sz w:val="24"/>
                <w:szCs w:val="24"/>
                <w:u w:val="none"/>
              </w:rPr>
              <w:t>/</w:t>
            </w:r>
            <w:r>
              <w:rPr>
                <w:rFonts w:hint="eastAsia" w:ascii="Times New Roman" w:hAnsi="Times New Roman" w:cs="Times New Roman"/>
                <w:b w:val="0"/>
                <w:bCs w:val="0"/>
                <w:sz w:val="24"/>
                <w:szCs w:val="24"/>
                <w:u w:val="none"/>
                <w:lang w:val="en-US" w:eastAsia="zh-CN"/>
              </w:rPr>
              <w:t>h</w:t>
            </w:r>
            <w:r>
              <w:rPr>
                <w:rFonts w:hint="default" w:ascii="Times New Roman" w:hAnsi="Times New Roman" w:cs="Times New Roman"/>
                <w:sz w:val="24"/>
              </w:rPr>
              <w:t>。则本</w:t>
            </w:r>
            <w:r>
              <w:rPr>
                <w:sz w:val="24"/>
              </w:rPr>
              <w:t>项目</w:t>
            </w:r>
            <w:r>
              <w:rPr>
                <w:rFonts w:hint="eastAsia"/>
                <w:sz w:val="24"/>
                <w:lang w:eastAsia="zh-CN"/>
              </w:rPr>
              <w:t>燃烧</w:t>
            </w:r>
            <w:r>
              <w:rPr>
                <w:sz w:val="24"/>
              </w:rPr>
              <w:t>废气产生及排放情况详见下表</w:t>
            </w:r>
          </w:p>
          <w:p w14:paraId="2B3178B0">
            <w:pPr>
              <w:pStyle w:val="169"/>
              <w:spacing w:line="360" w:lineRule="auto"/>
              <w:ind w:firstLine="0" w:firstLineChars="0"/>
              <w:jc w:val="center"/>
              <w:rPr>
                <w:rFonts w:hint="eastAsia" w:ascii="Times New Roman" w:hAnsi="Times New Roman" w:eastAsia="宋体" w:cs="Times New Roman"/>
                <w:b/>
                <w:bCs/>
                <w:color w:val="auto"/>
              </w:rPr>
            </w:pPr>
            <w:r>
              <w:rPr>
                <w:rFonts w:hint="eastAsia" w:ascii="Times New Roman" w:hAnsi="Times New Roman" w:eastAsia="宋体" w:cs="Times New Roman"/>
                <w:b/>
                <w:bCs/>
                <w:color w:val="auto"/>
              </w:rPr>
              <w:t>表4-2 本项目有组织废气产生及排放情况一览表</w:t>
            </w:r>
          </w:p>
          <w:tbl>
            <w:tblPr>
              <w:tblStyle w:val="39"/>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0"/>
              <w:gridCol w:w="949"/>
              <w:gridCol w:w="617"/>
              <w:gridCol w:w="879"/>
              <w:gridCol w:w="730"/>
              <w:gridCol w:w="743"/>
              <w:gridCol w:w="910"/>
              <w:gridCol w:w="837"/>
              <w:gridCol w:w="1067"/>
              <w:gridCol w:w="956"/>
              <w:gridCol w:w="718"/>
            </w:tblGrid>
            <w:tr w14:paraId="60ED28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97" w:hRule="atLeast"/>
              </w:trPr>
              <w:tc>
                <w:tcPr>
                  <w:tcW w:w="389" w:type="pct"/>
                  <w:vMerge w:val="restart"/>
                  <w:noWrap w:val="0"/>
                  <w:tcMar>
                    <w:left w:w="28" w:type="dxa"/>
                    <w:right w:w="28" w:type="dxa"/>
                  </w:tcMar>
                  <w:vAlign w:val="center"/>
                </w:tcPr>
                <w:p w14:paraId="398981E1">
                  <w:pPr>
                    <w:pStyle w:val="33"/>
                    <w:keepNext w:val="0"/>
                    <w:keepLines w:val="0"/>
                    <w:pageBreakBefore w:val="0"/>
                    <w:numPr>
                      <w:ilvl w:val="0"/>
                      <w:numId w:val="0"/>
                    </w:numPr>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污染源</w:t>
                  </w:r>
                </w:p>
              </w:tc>
              <w:tc>
                <w:tcPr>
                  <w:tcW w:w="520" w:type="pct"/>
                  <w:vMerge w:val="restart"/>
                  <w:noWrap w:val="0"/>
                  <w:tcMar>
                    <w:left w:w="28" w:type="dxa"/>
                    <w:right w:w="28" w:type="dxa"/>
                  </w:tcMar>
                  <w:vAlign w:val="center"/>
                </w:tcPr>
                <w:p w14:paraId="31086C35">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排气筒废气量</w:t>
                  </w:r>
                </w:p>
                <w:p w14:paraId="49D65647">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m</w:t>
                  </w:r>
                  <w:r>
                    <w:rPr>
                      <w:rFonts w:hint="default" w:ascii="Times New Roman" w:hAnsi="Times New Roman" w:cs="Times New Roman"/>
                      <w:b/>
                      <w:bCs/>
                      <w:sz w:val="21"/>
                      <w:szCs w:val="21"/>
                      <w:u w:val="single"/>
                      <w:vertAlign w:val="superscript"/>
                    </w:rPr>
                    <w:t>3</w:t>
                  </w:r>
                  <w:r>
                    <w:rPr>
                      <w:rFonts w:hint="default" w:ascii="Times New Roman" w:hAnsi="Times New Roman" w:cs="Times New Roman"/>
                      <w:b/>
                      <w:bCs/>
                      <w:sz w:val="21"/>
                      <w:szCs w:val="21"/>
                      <w:u w:val="single"/>
                    </w:rPr>
                    <w:t>/a</w:t>
                  </w:r>
                </w:p>
              </w:tc>
              <w:tc>
                <w:tcPr>
                  <w:tcW w:w="338" w:type="pct"/>
                  <w:vMerge w:val="restart"/>
                  <w:noWrap w:val="0"/>
                  <w:tcMar>
                    <w:left w:w="28" w:type="dxa"/>
                    <w:right w:w="28" w:type="dxa"/>
                  </w:tcMar>
                  <w:vAlign w:val="center"/>
                </w:tcPr>
                <w:p w14:paraId="202032F3">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污染</w:t>
                  </w:r>
                </w:p>
                <w:p w14:paraId="5EBC3C0B">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物名称</w:t>
                  </w:r>
                </w:p>
              </w:tc>
              <w:tc>
                <w:tcPr>
                  <w:tcW w:w="1289" w:type="pct"/>
                  <w:gridSpan w:val="3"/>
                  <w:noWrap w:val="0"/>
                  <w:tcMar>
                    <w:left w:w="28" w:type="dxa"/>
                    <w:right w:w="28" w:type="dxa"/>
                  </w:tcMar>
                  <w:vAlign w:val="center"/>
                </w:tcPr>
                <w:p w14:paraId="399A456A">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产生状况</w:t>
                  </w:r>
                </w:p>
              </w:tc>
              <w:tc>
                <w:tcPr>
                  <w:tcW w:w="499" w:type="pct"/>
                  <w:vMerge w:val="restart"/>
                  <w:noWrap w:val="0"/>
                  <w:tcMar>
                    <w:left w:w="28" w:type="dxa"/>
                    <w:right w:w="28" w:type="dxa"/>
                  </w:tcMar>
                  <w:vAlign w:val="center"/>
                </w:tcPr>
                <w:p w14:paraId="587AB53F">
                  <w:pPr>
                    <w:pStyle w:val="33"/>
                    <w:keepNext w:val="0"/>
                    <w:keepLines w:val="0"/>
                    <w:pageBreakBefore w:val="0"/>
                    <w:numPr>
                      <w:ilvl w:val="0"/>
                      <w:numId w:val="0"/>
                    </w:numPr>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治理措施处理效率</w:t>
                  </w:r>
                </w:p>
              </w:tc>
              <w:tc>
                <w:tcPr>
                  <w:tcW w:w="1568" w:type="pct"/>
                  <w:gridSpan w:val="3"/>
                  <w:noWrap w:val="0"/>
                  <w:tcMar>
                    <w:left w:w="28" w:type="dxa"/>
                    <w:right w:w="28" w:type="dxa"/>
                  </w:tcMar>
                  <w:vAlign w:val="center"/>
                </w:tcPr>
                <w:p w14:paraId="0D4ABA43">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排放状况</w:t>
                  </w:r>
                </w:p>
              </w:tc>
              <w:tc>
                <w:tcPr>
                  <w:tcW w:w="393" w:type="pct"/>
                  <w:vMerge w:val="restart"/>
                  <w:noWrap w:val="0"/>
                  <w:tcMar>
                    <w:left w:w="28" w:type="dxa"/>
                    <w:right w:w="28" w:type="dxa"/>
                  </w:tcMar>
                  <w:vAlign w:val="center"/>
                </w:tcPr>
                <w:p w14:paraId="39551DA4">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排放</w:t>
                  </w:r>
                </w:p>
                <w:p w14:paraId="2557CAB4">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b/>
                      <w:bCs/>
                      <w:sz w:val="21"/>
                      <w:szCs w:val="21"/>
                      <w:u w:val="single"/>
                    </w:rPr>
                    <w:t>方式</w:t>
                  </w:r>
                </w:p>
              </w:tc>
            </w:tr>
            <w:tr w14:paraId="63B32B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389" w:type="pct"/>
                  <w:vMerge w:val="continue"/>
                  <w:noWrap w:val="0"/>
                  <w:tcMar>
                    <w:left w:w="28" w:type="dxa"/>
                    <w:right w:w="28" w:type="dxa"/>
                  </w:tcMar>
                  <w:vAlign w:val="center"/>
                </w:tcPr>
                <w:p w14:paraId="761F64B0">
                  <w:pPr>
                    <w:pStyle w:val="33"/>
                    <w:keepNext w:val="0"/>
                    <w:keepLines w:val="0"/>
                    <w:pageBreakBefore w:val="0"/>
                    <w:numPr>
                      <w:ilvl w:val="0"/>
                      <w:numId w:val="6"/>
                    </w:numPr>
                    <w:kinsoku/>
                    <w:wordWrap/>
                    <w:overflowPunct/>
                    <w:topLinePunct w:val="0"/>
                    <w:autoSpaceDE/>
                    <w:autoSpaceDN/>
                    <w:bidi w:val="0"/>
                    <w:adjustRightInd/>
                    <w:snapToGrid/>
                    <w:spacing w:before="0" w:after="0" w:line="240" w:lineRule="auto"/>
                    <w:ind w:left="0" w:firstLine="0"/>
                    <w:jc w:val="center"/>
                    <w:textAlignment w:val="auto"/>
                    <w:rPr>
                      <w:rFonts w:hint="default" w:ascii="Times New Roman" w:hAnsi="Times New Roman" w:cs="Times New Roman"/>
                      <w:b/>
                      <w:bCs/>
                      <w:sz w:val="21"/>
                      <w:szCs w:val="21"/>
                      <w:u w:val="single"/>
                    </w:rPr>
                  </w:pPr>
                </w:p>
              </w:tc>
              <w:tc>
                <w:tcPr>
                  <w:tcW w:w="520" w:type="pct"/>
                  <w:vMerge w:val="continue"/>
                  <w:noWrap w:val="0"/>
                  <w:tcMar>
                    <w:left w:w="28" w:type="dxa"/>
                    <w:right w:w="28" w:type="dxa"/>
                  </w:tcMar>
                  <w:vAlign w:val="center"/>
                </w:tcPr>
                <w:p w14:paraId="4847AE05">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p>
              </w:tc>
              <w:tc>
                <w:tcPr>
                  <w:tcW w:w="338" w:type="pct"/>
                  <w:vMerge w:val="continue"/>
                  <w:noWrap w:val="0"/>
                  <w:tcMar>
                    <w:left w:w="28" w:type="dxa"/>
                    <w:right w:w="28" w:type="dxa"/>
                  </w:tcMar>
                  <w:vAlign w:val="center"/>
                </w:tcPr>
                <w:p w14:paraId="1F301BB6">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p>
              </w:tc>
              <w:tc>
                <w:tcPr>
                  <w:tcW w:w="482" w:type="pct"/>
                  <w:noWrap w:val="0"/>
                  <w:tcMar>
                    <w:left w:w="28" w:type="dxa"/>
                    <w:right w:w="28" w:type="dxa"/>
                  </w:tcMar>
                  <w:vAlign w:val="center"/>
                </w:tcPr>
                <w:p w14:paraId="2ADBE5B0">
                  <w:pPr>
                    <w:pStyle w:val="33"/>
                    <w:keepNext w:val="0"/>
                    <w:keepLines w:val="0"/>
                    <w:pageBreakBefore w:val="0"/>
                    <w:numPr>
                      <w:ilvl w:val="0"/>
                      <w:numId w:val="0"/>
                    </w:numPr>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浓度</w:t>
                  </w:r>
                </w:p>
                <w:p w14:paraId="74FFD64C">
                  <w:pPr>
                    <w:pStyle w:val="33"/>
                    <w:keepNext w:val="0"/>
                    <w:keepLines w:val="0"/>
                    <w:pageBreakBefore w:val="0"/>
                    <w:numPr>
                      <w:ilvl w:val="0"/>
                      <w:numId w:val="0"/>
                    </w:numPr>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mg/m</w:t>
                  </w:r>
                  <w:r>
                    <w:rPr>
                      <w:rFonts w:hint="default" w:ascii="Times New Roman" w:hAnsi="Times New Roman" w:cs="Times New Roman"/>
                      <w:b/>
                      <w:bCs/>
                      <w:sz w:val="21"/>
                      <w:szCs w:val="21"/>
                      <w:u w:val="single"/>
                      <w:vertAlign w:val="superscript"/>
                    </w:rPr>
                    <w:t>3</w:t>
                  </w:r>
                </w:p>
              </w:tc>
              <w:tc>
                <w:tcPr>
                  <w:tcW w:w="400" w:type="pct"/>
                  <w:noWrap w:val="0"/>
                  <w:tcMar>
                    <w:left w:w="28" w:type="dxa"/>
                    <w:right w:w="28" w:type="dxa"/>
                  </w:tcMar>
                  <w:vAlign w:val="center"/>
                </w:tcPr>
                <w:p w14:paraId="6D7E6767">
                  <w:pPr>
                    <w:pStyle w:val="33"/>
                    <w:keepNext w:val="0"/>
                    <w:keepLines w:val="0"/>
                    <w:pageBreakBefore w:val="0"/>
                    <w:numPr>
                      <w:ilvl w:val="0"/>
                      <w:numId w:val="0"/>
                    </w:numPr>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速率</w:t>
                  </w:r>
                </w:p>
                <w:p w14:paraId="3CC87115">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kg/h</w:t>
                  </w:r>
                </w:p>
              </w:tc>
              <w:tc>
                <w:tcPr>
                  <w:tcW w:w="405" w:type="pct"/>
                  <w:noWrap w:val="0"/>
                  <w:tcMar>
                    <w:left w:w="28" w:type="dxa"/>
                    <w:right w:w="28" w:type="dxa"/>
                  </w:tcMar>
                  <w:vAlign w:val="center"/>
                </w:tcPr>
                <w:p w14:paraId="4BC21AA2">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年产生量t/a</w:t>
                  </w:r>
                </w:p>
              </w:tc>
              <w:tc>
                <w:tcPr>
                  <w:tcW w:w="499" w:type="pct"/>
                  <w:vMerge w:val="continue"/>
                  <w:noWrap w:val="0"/>
                  <w:tcMar>
                    <w:left w:w="28" w:type="dxa"/>
                    <w:right w:w="28" w:type="dxa"/>
                  </w:tcMar>
                  <w:vAlign w:val="center"/>
                </w:tcPr>
                <w:p w14:paraId="17B13DEB">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p>
              </w:tc>
              <w:tc>
                <w:tcPr>
                  <w:tcW w:w="459" w:type="pct"/>
                  <w:noWrap w:val="0"/>
                  <w:tcMar>
                    <w:left w:w="28" w:type="dxa"/>
                    <w:right w:w="28" w:type="dxa"/>
                  </w:tcMar>
                  <w:vAlign w:val="center"/>
                </w:tcPr>
                <w:p w14:paraId="66D5F9FC">
                  <w:pPr>
                    <w:pStyle w:val="33"/>
                    <w:keepNext w:val="0"/>
                    <w:keepLines w:val="0"/>
                    <w:pageBreakBefore w:val="0"/>
                    <w:numPr>
                      <w:ilvl w:val="0"/>
                      <w:numId w:val="0"/>
                    </w:numPr>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浓度</w:t>
                  </w:r>
                </w:p>
                <w:p w14:paraId="1CFA0D9D">
                  <w:pPr>
                    <w:pStyle w:val="33"/>
                    <w:keepNext w:val="0"/>
                    <w:keepLines w:val="0"/>
                    <w:pageBreakBefore w:val="0"/>
                    <w:numPr>
                      <w:ilvl w:val="0"/>
                      <w:numId w:val="0"/>
                    </w:numPr>
                    <w:kinsoku/>
                    <w:wordWrap/>
                    <w:overflowPunct/>
                    <w:topLinePunct w:val="0"/>
                    <w:autoSpaceDE/>
                    <w:autoSpaceDN/>
                    <w:bidi w:val="0"/>
                    <w:adjustRightInd/>
                    <w:snapToGrid/>
                    <w:spacing w:before="0" w:after="0" w:line="240" w:lineRule="auto"/>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mg/m</w:t>
                  </w:r>
                  <w:r>
                    <w:rPr>
                      <w:rFonts w:hint="default" w:ascii="Times New Roman" w:hAnsi="Times New Roman" w:cs="Times New Roman"/>
                      <w:b/>
                      <w:bCs/>
                      <w:sz w:val="21"/>
                      <w:szCs w:val="21"/>
                      <w:u w:val="single"/>
                      <w:vertAlign w:val="superscript"/>
                    </w:rPr>
                    <w:t>3</w:t>
                  </w:r>
                </w:p>
              </w:tc>
              <w:tc>
                <w:tcPr>
                  <w:tcW w:w="585" w:type="pct"/>
                  <w:noWrap w:val="0"/>
                  <w:tcMar>
                    <w:left w:w="28" w:type="dxa"/>
                    <w:right w:w="28" w:type="dxa"/>
                  </w:tcMar>
                  <w:vAlign w:val="center"/>
                </w:tcPr>
                <w:p w14:paraId="36707EE5">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速率</w:t>
                  </w:r>
                </w:p>
                <w:p w14:paraId="34257DCB">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kg/h</w:t>
                  </w:r>
                </w:p>
              </w:tc>
              <w:tc>
                <w:tcPr>
                  <w:tcW w:w="522" w:type="pct"/>
                  <w:noWrap w:val="0"/>
                  <w:tcMar>
                    <w:left w:w="28" w:type="dxa"/>
                    <w:right w:w="28" w:type="dxa"/>
                  </w:tcMar>
                  <w:vAlign w:val="center"/>
                </w:tcPr>
                <w:p w14:paraId="6B38CB7A">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年排放量t/a</w:t>
                  </w:r>
                </w:p>
              </w:tc>
              <w:tc>
                <w:tcPr>
                  <w:tcW w:w="393" w:type="pct"/>
                  <w:vMerge w:val="continue"/>
                  <w:noWrap w:val="0"/>
                  <w:tcMar>
                    <w:left w:w="28" w:type="dxa"/>
                    <w:right w:w="28" w:type="dxa"/>
                  </w:tcMar>
                  <w:vAlign w:val="center"/>
                </w:tcPr>
                <w:p w14:paraId="1B228EA4">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u w:val="single"/>
                    </w:rPr>
                  </w:pPr>
                </w:p>
              </w:tc>
            </w:tr>
            <w:tr w14:paraId="785E69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389" w:type="pct"/>
                  <w:vMerge w:val="restart"/>
                  <w:noWrap w:val="0"/>
                  <w:tcMar>
                    <w:left w:w="28" w:type="dxa"/>
                    <w:right w:w="28" w:type="dxa"/>
                  </w:tcMar>
                  <w:vAlign w:val="center"/>
                </w:tcPr>
                <w:p w14:paraId="661191DC">
                  <w:pPr>
                    <w:pStyle w:val="170"/>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textAlignment w:val="auto"/>
                    <w:rPr>
                      <w:rFonts w:hint="default" w:ascii="Times New Roman" w:hAnsi="Times New Roman" w:eastAsia="宋体" w:cs="Times New Roman"/>
                      <w:kern w:val="2"/>
                      <w:sz w:val="21"/>
                      <w:szCs w:val="21"/>
                      <w:u w:val="single"/>
                    </w:rPr>
                  </w:pPr>
                  <w:r>
                    <w:rPr>
                      <w:rFonts w:hint="eastAsia" w:ascii="Times New Roman" w:hAnsi="Times New Roman" w:eastAsia="宋体" w:cs="Times New Roman"/>
                      <w:kern w:val="2"/>
                      <w:sz w:val="21"/>
                      <w:szCs w:val="21"/>
                      <w:u w:val="single"/>
                      <w:lang w:eastAsia="zh-CN"/>
                    </w:rPr>
                    <w:t>燃烧</w:t>
                  </w:r>
                  <w:r>
                    <w:rPr>
                      <w:rFonts w:hint="default" w:ascii="Times New Roman" w:hAnsi="Times New Roman" w:eastAsia="宋体" w:cs="Times New Roman"/>
                      <w:kern w:val="2"/>
                      <w:sz w:val="21"/>
                      <w:szCs w:val="21"/>
                      <w:u w:val="single"/>
                    </w:rPr>
                    <w:t>废气</w:t>
                  </w:r>
                </w:p>
              </w:tc>
              <w:tc>
                <w:tcPr>
                  <w:tcW w:w="520" w:type="pct"/>
                  <w:vMerge w:val="restart"/>
                  <w:noWrap w:val="0"/>
                  <w:tcMar>
                    <w:left w:w="28" w:type="dxa"/>
                    <w:right w:w="28" w:type="dxa"/>
                  </w:tcMar>
                  <w:vAlign w:val="center"/>
                </w:tcPr>
                <w:p w14:paraId="3296BECD">
                  <w:pPr>
                    <w:pStyle w:val="170"/>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textAlignment w:val="auto"/>
                    <w:rPr>
                      <w:rFonts w:hint="default" w:ascii="Times New Roman" w:hAnsi="Times New Roman" w:eastAsia="宋体" w:cs="Times New Roman"/>
                      <w:kern w:val="2"/>
                      <w:sz w:val="21"/>
                      <w:szCs w:val="21"/>
                      <w:u w:val="single"/>
                    </w:rPr>
                  </w:pPr>
                  <w:r>
                    <w:rPr>
                      <w:rFonts w:hint="default" w:ascii="Times New Roman" w:hAnsi="Times New Roman" w:eastAsia="宋体" w:cs="Times New Roman"/>
                      <w:kern w:val="2"/>
                      <w:sz w:val="21"/>
                      <w:szCs w:val="21"/>
                      <w:u w:val="single"/>
                    </w:rPr>
                    <w:t>589706.46</w:t>
                  </w:r>
                </w:p>
              </w:tc>
              <w:tc>
                <w:tcPr>
                  <w:tcW w:w="338" w:type="pct"/>
                  <w:noWrap w:val="0"/>
                  <w:tcMar>
                    <w:left w:w="28" w:type="dxa"/>
                    <w:right w:w="28" w:type="dxa"/>
                  </w:tcMar>
                  <w:vAlign w:val="center"/>
                </w:tcPr>
                <w:p w14:paraId="7526B610">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二氧化硫</w:t>
                  </w:r>
                </w:p>
              </w:tc>
              <w:tc>
                <w:tcPr>
                  <w:tcW w:w="482" w:type="pct"/>
                  <w:noWrap w:val="0"/>
                  <w:tcMar>
                    <w:left w:w="28" w:type="dxa"/>
                    <w:right w:w="28" w:type="dxa"/>
                  </w:tcMar>
                  <w:vAlign w:val="center"/>
                </w:tcPr>
                <w:p w14:paraId="3DD477FC">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u w:val="single"/>
                    </w:rPr>
                  </w:pPr>
                  <w:r>
                    <w:rPr>
                      <w:rFonts w:hint="eastAsia" w:ascii="Times New Roman" w:hAnsi="Times New Roman" w:cs="Times New Roman"/>
                      <w:color w:val="auto"/>
                      <w:sz w:val="21"/>
                      <w:szCs w:val="21"/>
                      <w:u w:val="single"/>
                      <w:lang w:val="en-US" w:eastAsia="zh-CN"/>
                    </w:rPr>
                    <w:t>40.163</w:t>
                  </w:r>
                </w:p>
              </w:tc>
              <w:tc>
                <w:tcPr>
                  <w:tcW w:w="400" w:type="pct"/>
                  <w:noWrap w:val="0"/>
                  <w:tcMar>
                    <w:left w:w="28" w:type="dxa"/>
                    <w:right w:w="28" w:type="dxa"/>
                  </w:tcMar>
                  <w:vAlign w:val="center"/>
                </w:tcPr>
                <w:p w14:paraId="20371D63">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0.0</w:t>
                  </w:r>
                  <w:r>
                    <w:rPr>
                      <w:rFonts w:hint="eastAsia" w:ascii="Times New Roman" w:hAnsi="Times New Roman" w:cs="Times New Roman"/>
                      <w:color w:val="auto"/>
                      <w:sz w:val="21"/>
                      <w:szCs w:val="21"/>
                      <w:u w:val="single"/>
                      <w:lang w:val="en-US" w:eastAsia="zh-CN"/>
                    </w:rPr>
                    <w:t>4</w:t>
                  </w:r>
                </w:p>
              </w:tc>
              <w:tc>
                <w:tcPr>
                  <w:tcW w:w="405" w:type="pct"/>
                  <w:noWrap w:val="0"/>
                  <w:tcMar>
                    <w:left w:w="28" w:type="dxa"/>
                    <w:right w:w="28" w:type="dxa"/>
                  </w:tcMar>
                  <w:vAlign w:val="center"/>
                </w:tcPr>
                <w:p w14:paraId="5217673E">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u w:val="single"/>
                      <w:lang w:val="en-US" w:eastAsia="zh-CN"/>
                    </w:rPr>
                  </w:pPr>
                  <w:r>
                    <w:rPr>
                      <w:rFonts w:hint="eastAsia" w:ascii="Times New Roman" w:hAnsi="Times New Roman" w:cs="Times New Roman"/>
                      <w:color w:val="auto"/>
                      <w:sz w:val="21"/>
                      <w:szCs w:val="21"/>
                      <w:u w:val="single"/>
                      <w:lang w:val="en-US" w:eastAsia="zh-CN"/>
                    </w:rPr>
                    <w:t>0.016</w:t>
                  </w:r>
                </w:p>
              </w:tc>
              <w:tc>
                <w:tcPr>
                  <w:tcW w:w="499" w:type="pct"/>
                  <w:noWrap w:val="0"/>
                  <w:tcMar>
                    <w:left w:w="28" w:type="dxa"/>
                    <w:right w:w="28" w:type="dxa"/>
                  </w:tcMar>
                  <w:vAlign w:val="center"/>
                </w:tcPr>
                <w:p w14:paraId="1139654D">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0</w:t>
                  </w:r>
                </w:p>
              </w:tc>
              <w:tc>
                <w:tcPr>
                  <w:tcW w:w="837" w:type="dxa"/>
                  <w:noWrap w:val="0"/>
                  <w:tcMar>
                    <w:left w:w="28" w:type="dxa"/>
                    <w:right w:w="28" w:type="dxa"/>
                  </w:tcMar>
                  <w:vAlign w:val="center"/>
                </w:tcPr>
                <w:p w14:paraId="5319007C">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single"/>
                    </w:rPr>
                  </w:pPr>
                  <w:r>
                    <w:rPr>
                      <w:rFonts w:hint="eastAsia" w:ascii="Times New Roman" w:hAnsi="Times New Roman" w:cs="Times New Roman"/>
                      <w:color w:val="auto"/>
                      <w:sz w:val="21"/>
                      <w:szCs w:val="21"/>
                      <w:u w:val="single"/>
                      <w:lang w:val="en-US" w:eastAsia="zh-CN"/>
                    </w:rPr>
                    <w:t>40.163</w:t>
                  </w:r>
                </w:p>
              </w:tc>
              <w:tc>
                <w:tcPr>
                  <w:tcW w:w="1067" w:type="dxa"/>
                  <w:noWrap w:val="0"/>
                  <w:tcMar>
                    <w:left w:w="28" w:type="dxa"/>
                    <w:right w:w="28" w:type="dxa"/>
                  </w:tcMar>
                  <w:vAlign w:val="center"/>
                </w:tcPr>
                <w:p w14:paraId="14E38F64">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u w:val="single"/>
                    </w:rPr>
                  </w:pPr>
                  <w:r>
                    <w:rPr>
                      <w:rFonts w:hint="eastAsia" w:ascii="Times New Roman" w:hAnsi="Times New Roman" w:eastAsia="宋体" w:cs="Times New Roman"/>
                      <w:color w:val="auto"/>
                      <w:sz w:val="21"/>
                      <w:szCs w:val="21"/>
                      <w:u w:val="single"/>
                      <w:lang w:val="en-US" w:eastAsia="zh-CN"/>
                    </w:rPr>
                    <w:t>0.0</w:t>
                  </w:r>
                  <w:r>
                    <w:rPr>
                      <w:rFonts w:hint="eastAsia" w:ascii="Times New Roman" w:hAnsi="Times New Roman" w:cs="Times New Roman"/>
                      <w:color w:val="auto"/>
                      <w:sz w:val="21"/>
                      <w:szCs w:val="21"/>
                      <w:u w:val="single"/>
                      <w:lang w:val="en-US" w:eastAsia="zh-CN"/>
                    </w:rPr>
                    <w:t>4</w:t>
                  </w:r>
                </w:p>
              </w:tc>
              <w:tc>
                <w:tcPr>
                  <w:tcW w:w="956" w:type="dxa"/>
                  <w:noWrap w:val="0"/>
                  <w:tcMar>
                    <w:left w:w="28" w:type="dxa"/>
                    <w:right w:w="28" w:type="dxa"/>
                  </w:tcMar>
                  <w:vAlign w:val="center"/>
                </w:tcPr>
                <w:p w14:paraId="306E298E">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single"/>
                    </w:rPr>
                  </w:pPr>
                  <w:r>
                    <w:rPr>
                      <w:rFonts w:hint="eastAsia" w:ascii="Times New Roman" w:hAnsi="Times New Roman" w:cs="Times New Roman"/>
                      <w:color w:val="auto"/>
                      <w:sz w:val="21"/>
                      <w:szCs w:val="21"/>
                      <w:u w:val="single"/>
                      <w:lang w:val="en-US" w:eastAsia="zh-CN"/>
                    </w:rPr>
                    <w:t>0.016</w:t>
                  </w:r>
                </w:p>
              </w:tc>
              <w:tc>
                <w:tcPr>
                  <w:tcW w:w="393" w:type="pct"/>
                  <w:vMerge w:val="restart"/>
                  <w:noWrap w:val="0"/>
                  <w:tcMar>
                    <w:left w:w="28" w:type="dxa"/>
                    <w:right w:w="28" w:type="dxa"/>
                  </w:tcMar>
                  <w:vAlign w:val="center"/>
                </w:tcPr>
                <w:p w14:paraId="23E5714B">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u w:val="single"/>
                    </w:rPr>
                  </w:pPr>
                  <w:r>
                    <w:rPr>
                      <w:rFonts w:hint="eastAsia" w:ascii="Times New Roman" w:hAnsi="Times New Roman" w:cs="Times New Roman"/>
                      <w:sz w:val="21"/>
                      <w:szCs w:val="21"/>
                      <w:u w:val="single"/>
                      <w:lang w:val="en-US" w:eastAsia="zh-CN"/>
                    </w:rPr>
                    <w:t>15</w:t>
                  </w:r>
                  <w:r>
                    <w:rPr>
                      <w:rFonts w:hint="default" w:ascii="Times New Roman" w:hAnsi="Times New Roman" w:cs="Times New Roman"/>
                      <w:sz w:val="21"/>
                      <w:szCs w:val="21"/>
                      <w:u w:val="single"/>
                    </w:rPr>
                    <w:t>m高排气筒</w:t>
                  </w:r>
                </w:p>
                <w:p w14:paraId="7DED3C62">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DA001</w:t>
                  </w:r>
                </w:p>
              </w:tc>
            </w:tr>
            <w:tr w14:paraId="2714A6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389" w:type="pct"/>
                  <w:vMerge w:val="continue"/>
                  <w:noWrap w:val="0"/>
                  <w:tcMar>
                    <w:left w:w="28" w:type="dxa"/>
                    <w:right w:w="28" w:type="dxa"/>
                  </w:tcMar>
                  <w:vAlign w:val="center"/>
                </w:tcPr>
                <w:p w14:paraId="7297B26B">
                  <w:pPr>
                    <w:pStyle w:val="170"/>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textAlignment w:val="auto"/>
                    <w:rPr>
                      <w:rFonts w:hint="default" w:ascii="Times New Roman" w:hAnsi="Times New Roman" w:eastAsia="宋体" w:cs="Times New Roman"/>
                      <w:kern w:val="2"/>
                      <w:sz w:val="21"/>
                      <w:szCs w:val="21"/>
                      <w:u w:val="single"/>
                    </w:rPr>
                  </w:pPr>
                </w:p>
              </w:tc>
              <w:tc>
                <w:tcPr>
                  <w:tcW w:w="520" w:type="pct"/>
                  <w:vMerge w:val="continue"/>
                  <w:noWrap w:val="0"/>
                  <w:tcMar>
                    <w:left w:w="28" w:type="dxa"/>
                    <w:right w:w="28" w:type="dxa"/>
                  </w:tcMar>
                  <w:vAlign w:val="center"/>
                </w:tcPr>
                <w:p w14:paraId="7EDF3983">
                  <w:pPr>
                    <w:pStyle w:val="170"/>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textAlignment w:val="auto"/>
                    <w:rPr>
                      <w:rFonts w:hint="default" w:ascii="Times New Roman" w:hAnsi="Times New Roman" w:eastAsia="宋体" w:cs="Times New Roman"/>
                      <w:kern w:val="2"/>
                      <w:sz w:val="21"/>
                      <w:szCs w:val="21"/>
                      <w:u w:val="single"/>
                    </w:rPr>
                  </w:pPr>
                </w:p>
              </w:tc>
              <w:tc>
                <w:tcPr>
                  <w:tcW w:w="338" w:type="pct"/>
                  <w:noWrap w:val="0"/>
                  <w:tcMar>
                    <w:left w:w="28" w:type="dxa"/>
                    <w:right w:w="28" w:type="dxa"/>
                  </w:tcMar>
                  <w:vAlign w:val="center"/>
                </w:tcPr>
                <w:p w14:paraId="14008A4A">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氮氧化物</w:t>
                  </w:r>
                </w:p>
              </w:tc>
              <w:tc>
                <w:tcPr>
                  <w:tcW w:w="482" w:type="pct"/>
                  <w:noWrap w:val="0"/>
                  <w:tcMar>
                    <w:left w:w="28" w:type="dxa"/>
                    <w:right w:w="28" w:type="dxa"/>
                  </w:tcMar>
                  <w:vAlign w:val="center"/>
                </w:tcPr>
                <w:p w14:paraId="45A903AD">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u w:val="single"/>
                    </w:rPr>
                  </w:pPr>
                  <w:r>
                    <w:rPr>
                      <w:rFonts w:hint="eastAsia" w:ascii="Times New Roman" w:hAnsi="Times New Roman" w:eastAsia="宋体" w:cs="Times New Roman"/>
                      <w:color w:val="auto"/>
                      <w:sz w:val="21"/>
                      <w:szCs w:val="21"/>
                      <w:u w:val="single"/>
                      <w:lang w:val="en-US" w:eastAsia="zh-CN"/>
                    </w:rPr>
                    <w:t>240.975</w:t>
                  </w:r>
                </w:p>
              </w:tc>
              <w:tc>
                <w:tcPr>
                  <w:tcW w:w="400" w:type="pct"/>
                  <w:noWrap w:val="0"/>
                  <w:tcMar>
                    <w:left w:w="28" w:type="dxa"/>
                    <w:right w:w="28" w:type="dxa"/>
                  </w:tcMar>
                  <w:vAlign w:val="center"/>
                </w:tcPr>
                <w:p w14:paraId="0A16A072">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0.241</w:t>
                  </w:r>
                </w:p>
              </w:tc>
              <w:tc>
                <w:tcPr>
                  <w:tcW w:w="405" w:type="pct"/>
                  <w:noWrap w:val="0"/>
                  <w:tcMar>
                    <w:left w:w="28" w:type="dxa"/>
                    <w:right w:w="28" w:type="dxa"/>
                  </w:tcMar>
                  <w:vAlign w:val="center"/>
                </w:tcPr>
                <w:p w14:paraId="684F03A1">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0.0964</w:t>
                  </w:r>
                </w:p>
              </w:tc>
              <w:tc>
                <w:tcPr>
                  <w:tcW w:w="499" w:type="pct"/>
                  <w:noWrap w:val="0"/>
                  <w:tcMar>
                    <w:left w:w="28" w:type="dxa"/>
                    <w:right w:w="28" w:type="dxa"/>
                  </w:tcMar>
                  <w:vAlign w:val="center"/>
                </w:tcPr>
                <w:p w14:paraId="35D64958">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color w:val="000000"/>
                      <w:sz w:val="21"/>
                      <w:szCs w:val="21"/>
                      <w:u w:val="single"/>
                    </w:rPr>
                  </w:pPr>
                  <w:r>
                    <w:rPr>
                      <w:rFonts w:hint="default" w:ascii="Times New Roman" w:hAnsi="Times New Roman" w:cs="Times New Roman"/>
                      <w:color w:val="000000"/>
                      <w:sz w:val="21"/>
                      <w:szCs w:val="21"/>
                      <w:u w:val="single"/>
                    </w:rPr>
                    <w:t>0</w:t>
                  </w:r>
                </w:p>
              </w:tc>
              <w:tc>
                <w:tcPr>
                  <w:tcW w:w="459" w:type="pct"/>
                  <w:noWrap w:val="0"/>
                  <w:tcMar>
                    <w:left w:w="28" w:type="dxa"/>
                    <w:right w:w="28" w:type="dxa"/>
                  </w:tcMar>
                  <w:vAlign w:val="center"/>
                </w:tcPr>
                <w:p w14:paraId="484227FB">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u w:val="single"/>
                    </w:rPr>
                  </w:pPr>
                  <w:r>
                    <w:rPr>
                      <w:rFonts w:hint="eastAsia" w:ascii="Times New Roman" w:hAnsi="Times New Roman" w:eastAsia="宋体" w:cs="Times New Roman"/>
                      <w:color w:val="auto"/>
                      <w:sz w:val="21"/>
                      <w:szCs w:val="21"/>
                      <w:u w:val="single"/>
                      <w:lang w:val="en-US" w:eastAsia="zh-CN"/>
                    </w:rPr>
                    <w:t>240.975</w:t>
                  </w:r>
                </w:p>
              </w:tc>
              <w:tc>
                <w:tcPr>
                  <w:tcW w:w="585" w:type="pct"/>
                  <w:noWrap w:val="0"/>
                  <w:tcMar>
                    <w:left w:w="28" w:type="dxa"/>
                    <w:right w:w="28" w:type="dxa"/>
                  </w:tcMar>
                  <w:vAlign w:val="center"/>
                </w:tcPr>
                <w:p w14:paraId="510FA9F3">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u w:val="single"/>
                    </w:rPr>
                  </w:pPr>
                  <w:r>
                    <w:rPr>
                      <w:rFonts w:hint="eastAsia" w:ascii="Times New Roman" w:hAnsi="Times New Roman" w:eastAsia="宋体" w:cs="Times New Roman"/>
                      <w:color w:val="auto"/>
                      <w:sz w:val="21"/>
                      <w:szCs w:val="21"/>
                      <w:u w:val="single"/>
                      <w:lang w:val="en-US" w:eastAsia="zh-CN"/>
                    </w:rPr>
                    <w:t>0.241</w:t>
                  </w:r>
                </w:p>
              </w:tc>
              <w:tc>
                <w:tcPr>
                  <w:tcW w:w="522" w:type="pct"/>
                  <w:noWrap w:val="0"/>
                  <w:tcMar>
                    <w:left w:w="28" w:type="dxa"/>
                    <w:right w:w="28" w:type="dxa"/>
                  </w:tcMar>
                  <w:vAlign w:val="center"/>
                </w:tcPr>
                <w:p w14:paraId="196BD757">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single"/>
                    </w:rPr>
                  </w:pPr>
                  <w:r>
                    <w:rPr>
                      <w:rFonts w:hint="eastAsia" w:ascii="Times New Roman" w:hAnsi="Times New Roman" w:cs="Times New Roman"/>
                      <w:color w:val="000000"/>
                      <w:sz w:val="21"/>
                      <w:szCs w:val="21"/>
                      <w:u w:val="single"/>
                      <w:lang w:val="en-US" w:eastAsia="zh-CN"/>
                    </w:rPr>
                    <w:t>0.0964</w:t>
                  </w:r>
                </w:p>
              </w:tc>
              <w:tc>
                <w:tcPr>
                  <w:tcW w:w="393" w:type="pct"/>
                  <w:vMerge w:val="continue"/>
                  <w:noWrap w:val="0"/>
                  <w:tcMar>
                    <w:left w:w="28" w:type="dxa"/>
                    <w:right w:w="28" w:type="dxa"/>
                  </w:tcMar>
                  <w:vAlign w:val="center"/>
                </w:tcPr>
                <w:p w14:paraId="7407FEE4">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u w:val="single"/>
                    </w:rPr>
                  </w:pPr>
                </w:p>
              </w:tc>
            </w:tr>
            <w:tr w14:paraId="2FDA48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389" w:type="pct"/>
                  <w:vMerge w:val="continue"/>
                  <w:noWrap w:val="0"/>
                  <w:tcMar>
                    <w:left w:w="28" w:type="dxa"/>
                    <w:right w:w="28" w:type="dxa"/>
                  </w:tcMar>
                  <w:vAlign w:val="center"/>
                </w:tcPr>
                <w:p w14:paraId="00A757EE">
                  <w:pPr>
                    <w:pStyle w:val="170"/>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textAlignment w:val="auto"/>
                    <w:rPr>
                      <w:rFonts w:hint="default" w:ascii="Times New Roman" w:hAnsi="Times New Roman" w:eastAsia="宋体" w:cs="Times New Roman"/>
                      <w:kern w:val="2"/>
                      <w:sz w:val="21"/>
                      <w:szCs w:val="21"/>
                      <w:u w:val="single"/>
                    </w:rPr>
                  </w:pPr>
                </w:p>
              </w:tc>
              <w:tc>
                <w:tcPr>
                  <w:tcW w:w="520" w:type="pct"/>
                  <w:vMerge w:val="continue"/>
                  <w:noWrap w:val="0"/>
                  <w:tcMar>
                    <w:left w:w="28" w:type="dxa"/>
                    <w:right w:w="28" w:type="dxa"/>
                  </w:tcMar>
                  <w:vAlign w:val="center"/>
                </w:tcPr>
                <w:p w14:paraId="18B7EBD5">
                  <w:pPr>
                    <w:pStyle w:val="170"/>
                    <w:keepNext w:val="0"/>
                    <w:keepLines w:val="0"/>
                    <w:pageBreakBefore w:val="0"/>
                    <w:widowControl w:val="0"/>
                    <w:pBdr>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textAlignment w:val="auto"/>
                    <w:rPr>
                      <w:rFonts w:hint="default" w:ascii="Times New Roman" w:hAnsi="Times New Roman" w:eastAsia="宋体" w:cs="Times New Roman"/>
                      <w:kern w:val="2"/>
                      <w:sz w:val="21"/>
                      <w:szCs w:val="21"/>
                      <w:u w:val="single"/>
                    </w:rPr>
                  </w:pPr>
                </w:p>
              </w:tc>
              <w:tc>
                <w:tcPr>
                  <w:tcW w:w="338" w:type="pct"/>
                  <w:noWrap w:val="0"/>
                  <w:tcMar>
                    <w:left w:w="28" w:type="dxa"/>
                    <w:right w:w="28" w:type="dxa"/>
                  </w:tcMar>
                  <w:vAlign w:val="center"/>
                </w:tcPr>
                <w:p w14:paraId="2C643DE0">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颗粒物</w:t>
                  </w:r>
                </w:p>
              </w:tc>
              <w:tc>
                <w:tcPr>
                  <w:tcW w:w="482" w:type="pct"/>
                  <w:noWrap w:val="0"/>
                  <w:tcMar>
                    <w:left w:w="28" w:type="dxa"/>
                    <w:right w:w="28" w:type="dxa"/>
                  </w:tcMar>
                  <w:vAlign w:val="center"/>
                </w:tcPr>
                <w:p w14:paraId="4AA75502">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u w:val="single"/>
                    </w:rPr>
                  </w:pPr>
                  <w:r>
                    <w:rPr>
                      <w:rFonts w:hint="eastAsia" w:ascii="Times New Roman" w:hAnsi="Times New Roman" w:eastAsia="宋体" w:cs="Times New Roman"/>
                      <w:color w:val="auto"/>
                      <w:sz w:val="21"/>
                      <w:szCs w:val="21"/>
                      <w:u w:val="single"/>
                      <w:lang w:val="en-US" w:eastAsia="zh-CN"/>
                    </w:rPr>
                    <w:t>118.125</w:t>
                  </w:r>
                </w:p>
              </w:tc>
              <w:tc>
                <w:tcPr>
                  <w:tcW w:w="400" w:type="pct"/>
                  <w:noWrap w:val="0"/>
                  <w:tcMar>
                    <w:left w:w="28" w:type="dxa"/>
                    <w:right w:w="28" w:type="dxa"/>
                  </w:tcMar>
                  <w:vAlign w:val="center"/>
                </w:tcPr>
                <w:p w14:paraId="42FDEDF6">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0.1183</w:t>
                  </w:r>
                </w:p>
              </w:tc>
              <w:tc>
                <w:tcPr>
                  <w:tcW w:w="405" w:type="pct"/>
                  <w:noWrap w:val="0"/>
                  <w:tcMar>
                    <w:left w:w="28" w:type="dxa"/>
                    <w:right w:w="28" w:type="dxa"/>
                  </w:tcMar>
                  <w:vAlign w:val="center"/>
                </w:tcPr>
                <w:p w14:paraId="5BB2F070">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u w:val="single"/>
                      <w:lang w:val="en-US" w:eastAsia="zh-CN"/>
                    </w:rPr>
                  </w:pPr>
                  <w:r>
                    <w:rPr>
                      <w:rFonts w:hint="eastAsia" w:ascii="Times New Roman" w:hAnsi="Times New Roman" w:cs="Times New Roman"/>
                      <w:color w:val="auto"/>
                      <w:sz w:val="21"/>
                      <w:szCs w:val="21"/>
                      <w:u w:val="single"/>
                      <w:lang w:val="en-US" w:eastAsia="zh-CN"/>
                    </w:rPr>
                    <w:t>0.0473</w:t>
                  </w:r>
                </w:p>
              </w:tc>
              <w:tc>
                <w:tcPr>
                  <w:tcW w:w="499" w:type="pct"/>
                  <w:noWrap w:val="0"/>
                  <w:tcMar>
                    <w:left w:w="28" w:type="dxa"/>
                    <w:right w:w="28" w:type="dxa"/>
                  </w:tcMar>
                  <w:vAlign w:val="center"/>
                </w:tcPr>
                <w:p w14:paraId="231AE5BC">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color w:val="000000"/>
                      <w:sz w:val="21"/>
                      <w:szCs w:val="21"/>
                      <w:u w:val="single"/>
                    </w:rPr>
                  </w:pPr>
                  <w:r>
                    <w:rPr>
                      <w:rFonts w:hint="eastAsia" w:ascii="Times New Roman" w:hAnsi="Times New Roman" w:cs="Times New Roman"/>
                      <w:color w:val="000000"/>
                      <w:sz w:val="21"/>
                      <w:szCs w:val="21"/>
                      <w:u w:val="single"/>
                      <w:lang w:val="en-US" w:eastAsia="zh-CN"/>
                    </w:rPr>
                    <w:t>99.7</w:t>
                  </w:r>
                  <w:r>
                    <w:rPr>
                      <w:rFonts w:hint="default" w:ascii="Times New Roman" w:hAnsi="Times New Roman" w:cs="Times New Roman"/>
                      <w:color w:val="000000"/>
                      <w:sz w:val="21"/>
                      <w:szCs w:val="21"/>
                      <w:u w:val="single"/>
                    </w:rPr>
                    <w:t>%</w:t>
                  </w:r>
                </w:p>
              </w:tc>
              <w:tc>
                <w:tcPr>
                  <w:tcW w:w="459" w:type="pct"/>
                  <w:noWrap w:val="0"/>
                  <w:tcMar>
                    <w:left w:w="28" w:type="dxa"/>
                    <w:right w:w="28" w:type="dxa"/>
                  </w:tcMar>
                  <w:vAlign w:val="center"/>
                </w:tcPr>
                <w:p w14:paraId="22FA4485">
                  <w:pPr>
                    <w:keepNext w:val="0"/>
                    <w:keepLines w:val="0"/>
                    <w:widowControl/>
                    <w:suppressLineNumbers w:val="0"/>
                    <w:jc w:val="center"/>
                    <w:textAlignment w:val="center"/>
                    <w:rPr>
                      <w:rFonts w:hint="default" w:ascii="Times New Roman" w:hAnsi="Times New Roman" w:cs="Times New Roman"/>
                      <w:color w:val="000000"/>
                      <w:sz w:val="21"/>
                      <w:szCs w:val="21"/>
                      <w:u w:val="single"/>
                      <w:lang w:val="en-US"/>
                    </w:rPr>
                  </w:pPr>
                  <w:r>
                    <w:rPr>
                      <w:rFonts w:hint="default" w:ascii="Times New Roman" w:hAnsi="Times New Roman" w:eastAsia="宋体" w:cs="Times New Roman"/>
                      <w:i w:val="0"/>
                      <w:iCs w:val="0"/>
                      <w:color w:val="000000"/>
                      <w:kern w:val="0"/>
                      <w:sz w:val="21"/>
                      <w:szCs w:val="21"/>
                      <w:u w:val="single"/>
                      <w:lang w:val="en-US" w:eastAsia="zh-CN" w:bidi="ar"/>
                    </w:rPr>
                    <w:t>0.354</w:t>
                  </w:r>
                  <w:r>
                    <w:rPr>
                      <w:rFonts w:hint="eastAsia" w:ascii="Times New Roman" w:hAnsi="Times New Roman" w:eastAsia="宋体" w:cs="Times New Roman"/>
                      <w:i w:val="0"/>
                      <w:iCs w:val="0"/>
                      <w:color w:val="000000"/>
                      <w:kern w:val="0"/>
                      <w:sz w:val="21"/>
                      <w:szCs w:val="21"/>
                      <w:u w:val="single"/>
                      <w:lang w:val="en-US" w:eastAsia="zh-CN" w:bidi="ar"/>
                    </w:rPr>
                    <w:t>4</w:t>
                  </w:r>
                </w:p>
              </w:tc>
              <w:tc>
                <w:tcPr>
                  <w:tcW w:w="585" w:type="pct"/>
                  <w:noWrap w:val="0"/>
                  <w:tcMar>
                    <w:left w:w="28" w:type="dxa"/>
                    <w:right w:w="28" w:type="dxa"/>
                  </w:tcMar>
                  <w:vAlign w:val="center"/>
                </w:tcPr>
                <w:p w14:paraId="5DA2D0FF">
                  <w:pPr>
                    <w:keepNext w:val="0"/>
                    <w:keepLines w:val="0"/>
                    <w:widowControl/>
                    <w:suppressLineNumbers w:val="0"/>
                    <w:jc w:val="center"/>
                    <w:textAlignment w:val="center"/>
                    <w:rPr>
                      <w:rFonts w:hint="default" w:ascii="Times New Roman" w:hAnsi="Times New Roman" w:cs="Times New Roman"/>
                      <w:color w:val="000000"/>
                      <w:sz w:val="21"/>
                      <w:szCs w:val="21"/>
                      <w:u w:val="single"/>
                      <w:lang w:val="en-US"/>
                    </w:rPr>
                  </w:pPr>
                  <w:r>
                    <w:rPr>
                      <w:rFonts w:hint="default" w:ascii="Times New Roman" w:hAnsi="Times New Roman" w:eastAsia="宋体" w:cs="Times New Roman"/>
                      <w:i w:val="0"/>
                      <w:iCs w:val="0"/>
                      <w:color w:val="000000"/>
                      <w:kern w:val="0"/>
                      <w:sz w:val="21"/>
                      <w:szCs w:val="21"/>
                      <w:u w:val="single"/>
                      <w:lang w:val="en-US" w:eastAsia="zh-CN" w:bidi="ar"/>
                    </w:rPr>
                    <w:t>0.000</w:t>
                  </w:r>
                  <w:r>
                    <w:rPr>
                      <w:rFonts w:hint="eastAsia" w:ascii="Times New Roman" w:hAnsi="Times New Roman" w:eastAsia="宋体" w:cs="Times New Roman"/>
                      <w:i w:val="0"/>
                      <w:iCs w:val="0"/>
                      <w:color w:val="000000"/>
                      <w:kern w:val="0"/>
                      <w:sz w:val="21"/>
                      <w:szCs w:val="21"/>
                      <w:u w:val="single"/>
                      <w:lang w:val="en-US" w:eastAsia="zh-CN" w:bidi="ar"/>
                    </w:rPr>
                    <w:t>4</w:t>
                  </w:r>
                </w:p>
              </w:tc>
              <w:tc>
                <w:tcPr>
                  <w:tcW w:w="522" w:type="pct"/>
                  <w:noWrap w:val="0"/>
                  <w:tcMar>
                    <w:left w:w="28" w:type="dxa"/>
                    <w:right w:w="28" w:type="dxa"/>
                  </w:tcMar>
                  <w:vAlign w:val="center"/>
                </w:tcPr>
                <w:p w14:paraId="18E334F2">
                  <w:pPr>
                    <w:keepNext w:val="0"/>
                    <w:keepLines w:val="0"/>
                    <w:widowControl/>
                    <w:suppressLineNumbers w:val="0"/>
                    <w:jc w:val="center"/>
                    <w:textAlignment w:val="center"/>
                    <w:rPr>
                      <w:rFonts w:hint="default" w:ascii="Times New Roman" w:hAnsi="Times New Roman" w:cs="Times New Roman"/>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0.0001</w:t>
                  </w:r>
                </w:p>
              </w:tc>
              <w:tc>
                <w:tcPr>
                  <w:tcW w:w="393" w:type="pct"/>
                  <w:vMerge w:val="continue"/>
                  <w:noWrap w:val="0"/>
                  <w:tcMar>
                    <w:left w:w="28" w:type="dxa"/>
                    <w:right w:w="28" w:type="dxa"/>
                  </w:tcMar>
                  <w:vAlign w:val="center"/>
                </w:tcPr>
                <w:p w14:paraId="424D40F5">
                  <w:pPr>
                    <w:keepNext w:val="0"/>
                    <w:keepLines w:val="0"/>
                    <w:pageBreakBefore w:val="0"/>
                    <w:kinsoku/>
                    <w:wordWrap/>
                    <w:overflowPunct/>
                    <w:topLinePunct w:val="0"/>
                    <w:autoSpaceDE/>
                    <w:autoSpaceDN/>
                    <w:bidi w:val="0"/>
                    <w:adjustRightInd/>
                    <w:snapToGrid/>
                    <w:ind w:left="0"/>
                    <w:jc w:val="center"/>
                    <w:textAlignment w:val="auto"/>
                    <w:rPr>
                      <w:rFonts w:hint="default" w:ascii="Times New Roman" w:hAnsi="Times New Roman" w:cs="Times New Roman"/>
                      <w:sz w:val="21"/>
                      <w:szCs w:val="21"/>
                      <w:u w:val="single"/>
                    </w:rPr>
                  </w:pPr>
                </w:p>
              </w:tc>
            </w:tr>
          </w:tbl>
          <w:p w14:paraId="25179D3D">
            <w:pPr>
              <w:spacing w:line="360" w:lineRule="auto"/>
              <w:ind w:firstLine="482" w:firstLineChars="200"/>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rPr>
              <w:t>4.</w:t>
            </w:r>
            <w:r>
              <w:rPr>
                <w:rFonts w:hint="eastAsia" w:ascii="Times New Roman" w:hAnsi="Times New Roman" w:cs="Times New Roman"/>
                <w:b/>
                <w:bCs/>
                <w:sz w:val="24"/>
                <w:szCs w:val="24"/>
                <w:u w:val="none"/>
                <w:lang w:val="en-US" w:eastAsia="zh-CN"/>
              </w:rPr>
              <w:t>1</w:t>
            </w:r>
            <w:r>
              <w:rPr>
                <w:rFonts w:hint="default" w:ascii="Times New Roman" w:hAnsi="Times New Roman" w:cs="Times New Roman"/>
                <w:b/>
                <w:bCs/>
                <w:sz w:val="24"/>
                <w:szCs w:val="24"/>
                <w:u w:val="none"/>
              </w:rPr>
              <w:t xml:space="preserve">.2废气产生情况汇总 </w:t>
            </w:r>
          </w:p>
          <w:p w14:paraId="08129699">
            <w:pPr>
              <w:spacing w:line="360" w:lineRule="auto"/>
              <w:ind w:firstLine="482" w:firstLineChars="200"/>
              <w:jc w:val="center"/>
              <w:rPr>
                <w:rFonts w:hint="default" w:ascii="Times New Roman" w:hAnsi="Times New Roman" w:cs="Times New Roman"/>
                <w:b/>
                <w:bCs/>
                <w:kern w:val="0"/>
                <w:sz w:val="24"/>
                <w:szCs w:val="24"/>
                <w:u w:val="none"/>
              </w:rPr>
            </w:pPr>
          </w:p>
          <w:p w14:paraId="5404551D">
            <w:pPr>
              <w:spacing w:line="360" w:lineRule="auto"/>
              <w:ind w:firstLine="482" w:firstLineChars="200"/>
              <w:jc w:val="center"/>
              <w:rPr>
                <w:rFonts w:hint="default" w:ascii="Times New Roman" w:hAnsi="Times New Roman" w:cs="Times New Roman"/>
                <w:b/>
                <w:bCs/>
                <w:kern w:val="0"/>
                <w:sz w:val="24"/>
                <w:szCs w:val="24"/>
                <w:u w:val="none"/>
              </w:rPr>
            </w:pPr>
          </w:p>
          <w:p w14:paraId="73F35FD3">
            <w:pPr>
              <w:spacing w:line="360" w:lineRule="auto"/>
              <w:ind w:firstLine="482" w:firstLineChars="200"/>
              <w:jc w:val="center"/>
              <w:rPr>
                <w:rFonts w:hint="default" w:ascii="Times New Roman" w:hAnsi="Times New Roman" w:cs="Times New Roman"/>
                <w:b/>
                <w:bCs/>
                <w:kern w:val="0"/>
                <w:sz w:val="24"/>
                <w:szCs w:val="24"/>
                <w:u w:val="none"/>
              </w:rPr>
            </w:pPr>
          </w:p>
          <w:p w14:paraId="7D7FDAD7">
            <w:pPr>
              <w:spacing w:line="360" w:lineRule="auto"/>
              <w:ind w:firstLine="482" w:firstLineChars="200"/>
              <w:jc w:val="center"/>
              <w:rPr>
                <w:rFonts w:hint="default" w:ascii="Times New Roman" w:hAnsi="Times New Roman" w:cs="Times New Roman"/>
                <w:b/>
                <w:bCs/>
                <w:kern w:val="0"/>
                <w:sz w:val="24"/>
                <w:szCs w:val="24"/>
                <w:u w:val="none"/>
              </w:rPr>
            </w:pPr>
            <w:r>
              <w:rPr>
                <w:rFonts w:hint="default" w:ascii="Times New Roman" w:hAnsi="Times New Roman" w:cs="Times New Roman"/>
                <w:b/>
                <w:bCs/>
                <w:kern w:val="0"/>
                <w:sz w:val="24"/>
                <w:szCs w:val="24"/>
                <w:u w:val="none"/>
              </w:rPr>
              <w:t>4-</w:t>
            </w:r>
            <w:r>
              <w:rPr>
                <w:rFonts w:hint="eastAsia" w:ascii="Times New Roman" w:hAnsi="Times New Roman" w:cs="Times New Roman"/>
                <w:b/>
                <w:bCs/>
                <w:kern w:val="0"/>
                <w:sz w:val="24"/>
                <w:szCs w:val="24"/>
                <w:u w:val="none"/>
                <w:lang w:val="en-US" w:eastAsia="zh-CN"/>
              </w:rPr>
              <w:t>3</w:t>
            </w:r>
            <w:r>
              <w:rPr>
                <w:rFonts w:hint="default" w:ascii="Times New Roman" w:hAnsi="Times New Roman" w:cs="Times New Roman"/>
                <w:b/>
                <w:bCs/>
                <w:kern w:val="0"/>
                <w:sz w:val="24"/>
                <w:szCs w:val="24"/>
                <w:u w:val="none"/>
              </w:rPr>
              <w:t xml:space="preserve">   本项目大气污染物排放量核算表</w:t>
            </w:r>
          </w:p>
          <w:tbl>
            <w:tblPr>
              <w:tblStyle w:val="39"/>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35"/>
              <w:gridCol w:w="1061"/>
              <w:gridCol w:w="952"/>
              <w:gridCol w:w="1620"/>
              <w:gridCol w:w="2166"/>
              <w:gridCol w:w="1071"/>
              <w:gridCol w:w="976"/>
            </w:tblGrid>
            <w:tr w14:paraId="6CC1B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vMerge w:val="restart"/>
                  <w:tcBorders>
                    <w:tl2br w:val="nil"/>
                    <w:tr2bl w:val="nil"/>
                  </w:tcBorders>
                  <w:vAlign w:val="center"/>
                </w:tcPr>
                <w:p w14:paraId="268BE416">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序号</w:t>
                  </w:r>
                </w:p>
              </w:tc>
              <w:tc>
                <w:tcPr>
                  <w:tcW w:w="457" w:type="pct"/>
                  <w:vMerge w:val="restart"/>
                  <w:tcBorders>
                    <w:tl2br w:val="nil"/>
                    <w:tr2bl w:val="nil"/>
                  </w:tcBorders>
                  <w:vAlign w:val="center"/>
                </w:tcPr>
                <w:p w14:paraId="60846C84">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排放口编号</w:t>
                  </w:r>
                </w:p>
              </w:tc>
              <w:tc>
                <w:tcPr>
                  <w:tcW w:w="583" w:type="pct"/>
                  <w:vMerge w:val="restart"/>
                  <w:tcBorders>
                    <w:tl2br w:val="nil"/>
                    <w:tr2bl w:val="nil"/>
                  </w:tcBorders>
                  <w:vAlign w:val="center"/>
                </w:tcPr>
                <w:p w14:paraId="443A63F9">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产污环节</w:t>
                  </w:r>
                </w:p>
              </w:tc>
              <w:tc>
                <w:tcPr>
                  <w:tcW w:w="522" w:type="pct"/>
                  <w:vMerge w:val="restart"/>
                  <w:tcBorders>
                    <w:tl2br w:val="nil"/>
                    <w:tr2bl w:val="nil"/>
                  </w:tcBorders>
                  <w:vAlign w:val="center"/>
                </w:tcPr>
                <w:p w14:paraId="6C36B58E">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污染物</w:t>
                  </w:r>
                </w:p>
              </w:tc>
              <w:tc>
                <w:tcPr>
                  <w:tcW w:w="890" w:type="pct"/>
                  <w:vMerge w:val="restart"/>
                  <w:tcBorders>
                    <w:tl2br w:val="nil"/>
                    <w:tr2bl w:val="nil"/>
                  </w:tcBorders>
                  <w:vAlign w:val="center"/>
                </w:tcPr>
                <w:p w14:paraId="3EE09A55">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主要污染防治措施</w:t>
                  </w:r>
                </w:p>
              </w:tc>
              <w:tc>
                <w:tcPr>
                  <w:tcW w:w="1778" w:type="pct"/>
                  <w:gridSpan w:val="2"/>
                  <w:tcBorders>
                    <w:tl2br w:val="nil"/>
                    <w:tr2bl w:val="nil"/>
                  </w:tcBorders>
                  <w:vAlign w:val="center"/>
                </w:tcPr>
                <w:p w14:paraId="2647C9E1">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国家或地方污染物排放标准</w:t>
                  </w:r>
                </w:p>
              </w:tc>
              <w:tc>
                <w:tcPr>
                  <w:tcW w:w="534" w:type="pct"/>
                  <w:vMerge w:val="restart"/>
                  <w:tcBorders>
                    <w:tl2br w:val="nil"/>
                    <w:tr2bl w:val="nil"/>
                  </w:tcBorders>
                  <w:vAlign w:val="center"/>
                </w:tcPr>
                <w:p w14:paraId="2A458521">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年排放量/(t/a)</w:t>
                  </w:r>
                </w:p>
              </w:tc>
            </w:tr>
            <w:tr w14:paraId="17431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vMerge w:val="continue"/>
                  <w:tcBorders>
                    <w:tl2br w:val="nil"/>
                    <w:tr2bl w:val="nil"/>
                  </w:tcBorders>
                  <w:vAlign w:val="center"/>
                </w:tcPr>
                <w:p w14:paraId="1D6A3A34">
                  <w:pPr>
                    <w:keepNext w:val="0"/>
                    <w:keepLines w:val="0"/>
                    <w:pageBreakBefore w:val="0"/>
                    <w:widowControl/>
                    <w:kinsoku/>
                    <w:wordWrap/>
                    <w:overflowPunct/>
                    <w:topLinePunct w:val="0"/>
                    <w:autoSpaceDE/>
                    <w:autoSpaceDN/>
                    <w:bidi w:val="0"/>
                    <w:adjustRightInd w:val="0"/>
                    <w:snapToGrid w:val="0"/>
                    <w:ind w:firstLine="0"/>
                    <w:jc w:val="left"/>
                    <w:rPr>
                      <w:rFonts w:hint="default" w:ascii="Times New Roman" w:hAnsi="Times New Roman" w:cs="Times New Roman"/>
                      <w:sz w:val="21"/>
                      <w:szCs w:val="21"/>
                      <w:u w:val="none"/>
                    </w:rPr>
                  </w:pPr>
                </w:p>
              </w:tc>
              <w:tc>
                <w:tcPr>
                  <w:tcW w:w="457" w:type="pct"/>
                  <w:vMerge w:val="continue"/>
                  <w:tcBorders>
                    <w:tl2br w:val="nil"/>
                    <w:tr2bl w:val="nil"/>
                  </w:tcBorders>
                  <w:vAlign w:val="center"/>
                </w:tcPr>
                <w:p w14:paraId="661D33DF">
                  <w:pPr>
                    <w:keepNext w:val="0"/>
                    <w:keepLines w:val="0"/>
                    <w:pageBreakBefore w:val="0"/>
                    <w:widowControl/>
                    <w:kinsoku/>
                    <w:wordWrap/>
                    <w:overflowPunct/>
                    <w:topLinePunct w:val="0"/>
                    <w:autoSpaceDE/>
                    <w:autoSpaceDN/>
                    <w:bidi w:val="0"/>
                    <w:adjustRightInd w:val="0"/>
                    <w:snapToGrid w:val="0"/>
                    <w:ind w:firstLine="0"/>
                    <w:jc w:val="left"/>
                    <w:rPr>
                      <w:rFonts w:hint="default" w:ascii="Times New Roman" w:hAnsi="Times New Roman" w:cs="Times New Roman"/>
                      <w:sz w:val="21"/>
                      <w:szCs w:val="21"/>
                      <w:u w:val="none"/>
                    </w:rPr>
                  </w:pPr>
                </w:p>
              </w:tc>
              <w:tc>
                <w:tcPr>
                  <w:tcW w:w="583" w:type="pct"/>
                  <w:vMerge w:val="continue"/>
                  <w:tcBorders>
                    <w:tl2br w:val="nil"/>
                    <w:tr2bl w:val="nil"/>
                  </w:tcBorders>
                  <w:vAlign w:val="center"/>
                </w:tcPr>
                <w:p w14:paraId="74974126">
                  <w:pPr>
                    <w:keepNext w:val="0"/>
                    <w:keepLines w:val="0"/>
                    <w:pageBreakBefore w:val="0"/>
                    <w:widowControl/>
                    <w:kinsoku/>
                    <w:wordWrap/>
                    <w:overflowPunct/>
                    <w:topLinePunct w:val="0"/>
                    <w:autoSpaceDE/>
                    <w:autoSpaceDN/>
                    <w:bidi w:val="0"/>
                    <w:adjustRightInd w:val="0"/>
                    <w:snapToGrid w:val="0"/>
                    <w:ind w:firstLine="0"/>
                    <w:jc w:val="left"/>
                    <w:rPr>
                      <w:rFonts w:hint="default" w:ascii="Times New Roman" w:hAnsi="Times New Roman" w:cs="Times New Roman"/>
                      <w:sz w:val="21"/>
                      <w:szCs w:val="21"/>
                      <w:u w:val="none"/>
                    </w:rPr>
                  </w:pPr>
                </w:p>
              </w:tc>
              <w:tc>
                <w:tcPr>
                  <w:tcW w:w="522" w:type="pct"/>
                  <w:vMerge w:val="continue"/>
                  <w:tcBorders>
                    <w:tl2br w:val="nil"/>
                    <w:tr2bl w:val="nil"/>
                  </w:tcBorders>
                  <w:vAlign w:val="center"/>
                </w:tcPr>
                <w:p w14:paraId="38735C6C">
                  <w:pPr>
                    <w:keepNext w:val="0"/>
                    <w:keepLines w:val="0"/>
                    <w:pageBreakBefore w:val="0"/>
                    <w:widowControl/>
                    <w:kinsoku/>
                    <w:wordWrap/>
                    <w:overflowPunct/>
                    <w:topLinePunct w:val="0"/>
                    <w:autoSpaceDE/>
                    <w:autoSpaceDN/>
                    <w:bidi w:val="0"/>
                    <w:adjustRightInd w:val="0"/>
                    <w:snapToGrid w:val="0"/>
                    <w:ind w:firstLine="0"/>
                    <w:jc w:val="left"/>
                    <w:rPr>
                      <w:rFonts w:hint="default" w:ascii="Times New Roman" w:hAnsi="Times New Roman" w:cs="Times New Roman"/>
                      <w:sz w:val="21"/>
                      <w:szCs w:val="21"/>
                      <w:u w:val="none"/>
                    </w:rPr>
                  </w:pPr>
                </w:p>
              </w:tc>
              <w:tc>
                <w:tcPr>
                  <w:tcW w:w="890" w:type="pct"/>
                  <w:vMerge w:val="continue"/>
                  <w:tcBorders>
                    <w:tl2br w:val="nil"/>
                    <w:tr2bl w:val="nil"/>
                  </w:tcBorders>
                  <w:vAlign w:val="center"/>
                </w:tcPr>
                <w:p w14:paraId="2D683513">
                  <w:pPr>
                    <w:keepNext w:val="0"/>
                    <w:keepLines w:val="0"/>
                    <w:pageBreakBefore w:val="0"/>
                    <w:widowControl/>
                    <w:kinsoku/>
                    <w:wordWrap/>
                    <w:overflowPunct/>
                    <w:topLinePunct w:val="0"/>
                    <w:autoSpaceDE/>
                    <w:autoSpaceDN/>
                    <w:bidi w:val="0"/>
                    <w:adjustRightInd w:val="0"/>
                    <w:snapToGrid w:val="0"/>
                    <w:ind w:firstLine="0"/>
                    <w:jc w:val="left"/>
                    <w:rPr>
                      <w:rFonts w:hint="default" w:ascii="Times New Roman" w:hAnsi="Times New Roman" w:cs="Times New Roman"/>
                      <w:sz w:val="21"/>
                      <w:szCs w:val="21"/>
                      <w:u w:val="none"/>
                    </w:rPr>
                  </w:pPr>
                </w:p>
              </w:tc>
              <w:tc>
                <w:tcPr>
                  <w:tcW w:w="1190" w:type="pct"/>
                  <w:tcBorders>
                    <w:tl2br w:val="nil"/>
                    <w:tr2bl w:val="nil"/>
                  </w:tcBorders>
                  <w:vAlign w:val="center"/>
                </w:tcPr>
                <w:p w14:paraId="079A72A1">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标准名称</w:t>
                  </w:r>
                </w:p>
              </w:tc>
              <w:tc>
                <w:tcPr>
                  <w:tcW w:w="587" w:type="pct"/>
                  <w:tcBorders>
                    <w:tl2br w:val="nil"/>
                    <w:tr2bl w:val="nil"/>
                  </w:tcBorders>
                  <w:vAlign w:val="center"/>
                </w:tcPr>
                <w:p w14:paraId="61966329">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浓度限值/(mg/m</w:t>
                  </w:r>
                  <w:r>
                    <w:rPr>
                      <w:rFonts w:hint="default" w:ascii="Times New Roman" w:hAnsi="Times New Roman" w:cs="Times New Roman"/>
                      <w:sz w:val="21"/>
                      <w:szCs w:val="21"/>
                      <w:u w:val="none"/>
                      <w:vertAlign w:val="superscript"/>
                    </w:rPr>
                    <w:t>3</w:t>
                  </w:r>
                  <w:r>
                    <w:rPr>
                      <w:rFonts w:hint="default" w:ascii="Times New Roman" w:hAnsi="Times New Roman" w:cs="Times New Roman"/>
                      <w:sz w:val="21"/>
                      <w:szCs w:val="21"/>
                      <w:u w:val="none"/>
                    </w:rPr>
                    <w:t>)</w:t>
                  </w:r>
                </w:p>
              </w:tc>
              <w:tc>
                <w:tcPr>
                  <w:tcW w:w="534" w:type="pct"/>
                  <w:vMerge w:val="continue"/>
                  <w:tcBorders>
                    <w:tl2br w:val="nil"/>
                    <w:tr2bl w:val="nil"/>
                  </w:tcBorders>
                  <w:vAlign w:val="center"/>
                </w:tcPr>
                <w:p w14:paraId="2B86783F">
                  <w:pPr>
                    <w:keepNext w:val="0"/>
                    <w:keepLines w:val="0"/>
                    <w:pageBreakBefore w:val="0"/>
                    <w:widowControl/>
                    <w:kinsoku/>
                    <w:wordWrap/>
                    <w:overflowPunct/>
                    <w:topLinePunct w:val="0"/>
                    <w:autoSpaceDE/>
                    <w:autoSpaceDN/>
                    <w:bidi w:val="0"/>
                    <w:adjustRightInd w:val="0"/>
                    <w:snapToGrid w:val="0"/>
                    <w:ind w:firstLine="0"/>
                    <w:jc w:val="left"/>
                    <w:rPr>
                      <w:rFonts w:hint="default" w:ascii="Times New Roman" w:hAnsi="Times New Roman" w:cs="Times New Roman"/>
                      <w:sz w:val="21"/>
                      <w:szCs w:val="21"/>
                      <w:u w:val="none"/>
                    </w:rPr>
                  </w:pPr>
                </w:p>
              </w:tc>
            </w:tr>
            <w:tr w14:paraId="70BE6C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vMerge w:val="restart"/>
                  <w:tcBorders>
                    <w:tl2br w:val="nil"/>
                    <w:tr2bl w:val="nil"/>
                  </w:tcBorders>
                  <w:shd w:val="clear" w:color="auto" w:fill="auto"/>
                  <w:vAlign w:val="center"/>
                </w:tcPr>
                <w:p w14:paraId="0377A046">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1</w:t>
                  </w:r>
                </w:p>
              </w:tc>
              <w:tc>
                <w:tcPr>
                  <w:tcW w:w="457" w:type="pct"/>
                  <w:vMerge w:val="restart"/>
                  <w:tcBorders>
                    <w:tl2br w:val="nil"/>
                    <w:tr2bl w:val="nil"/>
                  </w:tcBorders>
                  <w:vAlign w:val="center"/>
                </w:tcPr>
                <w:p w14:paraId="54FA4E12">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DA001</w:t>
                  </w:r>
                </w:p>
              </w:tc>
              <w:tc>
                <w:tcPr>
                  <w:tcW w:w="583" w:type="pct"/>
                  <w:vMerge w:val="restart"/>
                  <w:tcBorders>
                    <w:tl2br w:val="nil"/>
                    <w:tr2bl w:val="nil"/>
                  </w:tcBorders>
                  <w:vAlign w:val="center"/>
                </w:tcPr>
                <w:p w14:paraId="372DB056">
                  <w:pPr>
                    <w:keepNext w:val="0"/>
                    <w:keepLines w:val="0"/>
                    <w:pageBreakBefore w:val="0"/>
                    <w:widowControl/>
                    <w:kinsoku/>
                    <w:wordWrap/>
                    <w:overflowPunct/>
                    <w:topLinePunct w:val="0"/>
                    <w:autoSpaceDE/>
                    <w:autoSpaceDN/>
                    <w:bidi w:val="0"/>
                    <w:adjustRightInd w:val="0"/>
                    <w:snapToGrid w:val="0"/>
                    <w:ind w:firstLine="0"/>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生物质蒸发器</w:t>
                  </w:r>
                </w:p>
              </w:tc>
              <w:tc>
                <w:tcPr>
                  <w:tcW w:w="522" w:type="pct"/>
                  <w:tcBorders>
                    <w:tl2br w:val="nil"/>
                    <w:tr2bl w:val="nil"/>
                  </w:tcBorders>
                  <w:vAlign w:val="center"/>
                </w:tcPr>
                <w:p w14:paraId="4CCF4FA4">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颗粒物</w:t>
                  </w:r>
                </w:p>
              </w:tc>
              <w:tc>
                <w:tcPr>
                  <w:tcW w:w="890" w:type="pct"/>
                  <w:vMerge w:val="restart"/>
                  <w:tcBorders>
                    <w:tl2br w:val="nil"/>
                    <w:tr2bl w:val="nil"/>
                  </w:tcBorders>
                  <w:vAlign w:val="center"/>
                </w:tcPr>
                <w:p w14:paraId="23F61EF8">
                  <w:pPr>
                    <w:pStyle w:val="20"/>
                    <w:keepNext w:val="0"/>
                    <w:keepLines w:val="0"/>
                    <w:pageBreakBefore w:val="0"/>
                    <w:widowControl/>
                    <w:kinsoku/>
                    <w:wordWrap/>
                    <w:overflowPunct/>
                    <w:topLinePunct w:val="0"/>
                    <w:autoSpaceDE/>
                    <w:autoSpaceDN/>
                    <w:bidi w:val="0"/>
                    <w:adjustRightInd w:val="0"/>
                    <w:snapToGrid w:val="0"/>
                    <w:ind w:firstLine="0"/>
                    <w:rPr>
                      <w:rFonts w:hint="eastAsia" w:ascii="Times New Roman" w:hAnsi="Times New Roman" w:eastAsia="宋体" w:cs="Times New Roman"/>
                      <w:sz w:val="21"/>
                      <w:szCs w:val="21"/>
                      <w:u w:val="none"/>
                      <w:lang w:eastAsia="zh-CN"/>
                    </w:rPr>
                  </w:pPr>
                  <w:r>
                    <w:rPr>
                      <w:rFonts w:hint="eastAsia" w:ascii="Times New Roman" w:hAnsi="Times New Roman" w:eastAsia="宋体" w:cs="Times New Roman"/>
                      <w:sz w:val="21"/>
                      <w:szCs w:val="21"/>
                      <w:u w:val="none"/>
                      <w:lang w:eastAsia="zh-CN"/>
                    </w:rPr>
                    <w:t>布袋除尘器</w:t>
                  </w:r>
                </w:p>
              </w:tc>
              <w:tc>
                <w:tcPr>
                  <w:tcW w:w="1190" w:type="pct"/>
                  <w:vMerge w:val="restart"/>
                  <w:tcBorders>
                    <w:tl2br w:val="nil"/>
                    <w:tr2bl w:val="nil"/>
                  </w:tcBorders>
                  <w:vAlign w:val="center"/>
                </w:tcPr>
                <w:p w14:paraId="06CEAF7A">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《湖南省工业炉窑大气污染综合治理实施方案》附件1中相关排放限值</w:t>
                  </w:r>
                </w:p>
              </w:tc>
              <w:tc>
                <w:tcPr>
                  <w:tcW w:w="587" w:type="pct"/>
                  <w:tcBorders>
                    <w:tl2br w:val="nil"/>
                    <w:tr2bl w:val="nil"/>
                  </w:tcBorders>
                  <w:vAlign w:val="center"/>
                </w:tcPr>
                <w:p w14:paraId="408C9A01">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30</w:t>
                  </w:r>
                </w:p>
              </w:tc>
              <w:tc>
                <w:tcPr>
                  <w:tcW w:w="534" w:type="pct"/>
                  <w:tcBorders>
                    <w:tl2br w:val="nil"/>
                    <w:tr2bl w:val="nil"/>
                  </w:tcBorders>
                  <w:vAlign w:val="center"/>
                </w:tcPr>
                <w:p w14:paraId="6E6B7043">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0.0001</w:t>
                  </w:r>
                </w:p>
              </w:tc>
            </w:tr>
            <w:tr w14:paraId="36438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vMerge w:val="continue"/>
                  <w:tcBorders>
                    <w:tl2br w:val="nil"/>
                    <w:tr2bl w:val="nil"/>
                  </w:tcBorders>
                  <w:shd w:val="clear" w:color="auto" w:fill="auto"/>
                  <w:vAlign w:val="center"/>
                </w:tcPr>
                <w:p w14:paraId="24CF6617">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cs="Times New Roman"/>
                      <w:sz w:val="21"/>
                      <w:szCs w:val="21"/>
                      <w:u w:val="none"/>
                    </w:rPr>
                  </w:pPr>
                </w:p>
              </w:tc>
              <w:tc>
                <w:tcPr>
                  <w:tcW w:w="457" w:type="pct"/>
                  <w:vMerge w:val="continue"/>
                  <w:tcBorders>
                    <w:tl2br w:val="nil"/>
                    <w:tr2bl w:val="nil"/>
                  </w:tcBorders>
                  <w:vAlign w:val="center"/>
                </w:tcPr>
                <w:p w14:paraId="7A442270">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583" w:type="pct"/>
                  <w:vMerge w:val="continue"/>
                  <w:tcBorders>
                    <w:tl2br w:val="nil"/>
                    <w:tr2bl w:val="nil"/>
                  </w:tcBorders>
                  <w:vAlign w:val="center"/>
                </w:tcPr>
                <w:p w14:paraId="10C6D5DA">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522" w:type="pct"/>
                  <w:tcBorders>
                    <w:tl2br w:val="nil"/>
                    <w:tr2bl w:val="nil"/>
                  </w:tcBorders>
                  <w:vAlign w:val="center"/>
                </w:tcPr>
                <w:p w14:paraId="0499B816">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SO</w:t>
                  </w:r>
                  <w:r>
                    <w:rPr>
                      <w:rFonts w:hint="eastAsia" w:ascii="Times New Roman" w:hAnsi="Times New Roman" w:cs="Times New Roman"/>
                      <w:sz w:val="21"/>
                      <w:szCs w:val="21"/>
                      <w:u w:val="none"/>
                      <w:vertAlign w:val="subscript"/>
                      <w:lang w:val="en-US" w:eastAsia="zh-CN"/>
                    </w:rPr>
                    <w:t>2</w:t>
                  </w:r>
                </w:p>
              </w:tc>
              <w:tc>
                <w:tcPr>
                  <w:tcW w:w="890" w:type="pct"/>
                  <w:vMerge w:val="continue"/>
                  <w:tcBorders>
                    <w:tl2br w:val="nil"/>
                    <w:tr2bl w:val="nil"/>
                  </w:tcBorders>
                  <w:vAlign w:val="center"/>
                </w:tcPr>
                <w:p w14:paraId="2A841A32">
                  <w:pPr>
                    <w:pStyle w:val="20"/>
                    <w:keepNext w:val="0"/>
                    <w:keepLines w:val="0"/>
                    <w:pageBreakBefore w:val="0"/>
                    <w:widowControl/>
                    <w:kinsoku/>
                    <w:wordWrap/>
                    <w:overflowPunct/>
                    <w:topLinePunct w:val="0"/>
                    <w:autoSpaceDE/>
                    <w:autoSpaceDN/>
                    <w:bidi w:val="0"/>
                    <w:adjustRightInd w:val="0"/>
                    <w:snapToGrid w:val="0"/>
                    <w:ind w:firstLine="0"/>
                    <w:rPr>
                      <w:rFonts w:hint="default" w:ascii="Times New Roman" w:hAnsi="Times New Roman" w:eastAsia="宋体" w:cs="Times New Roman"/>
                      <w:sz w:val="21"/>
                      <w:szCs w:val="21"/>
                      <w:u w:val="none"/>
                    </w:rPr>
                  </w:pPr>
                </w:p>
              </w:tc>
              <w:tc>
                <w:tcPr>
                  <w:tcW w:w="1190" w:type="pct"/>
                  <w:vMerge w:val="continue"/>
                  <w:tcBorders>
                    <w:tl2br w:val="nil"/>
                    <w:tr2bl w:val="nil"/>
                  </w:tcBorders>
                  <w:vAlign w:val="center"/>
                </w:tcPr>
                <w:p w14:paraId="0B7E6699">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587" w:type="pct"/>
                  <w:tcBorders>
                    <w:tl2br w:val="nil"/>
                    <w:tr2bl w:val="nil"/>
                  </w:tcBorders>
                  <w:vAlign w:val="center"/>
                </w:tcPr>
                <w:p w14:paraId="5D9E6D45">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200</w:t>
                  </w:r>
                </w:p>
              </w:tc>
              <w:tc>
                <w:tcPr>
                  <w:tcW w:w="534" w:type="pct"/>
                  <w:tcBorders>
                    <w:tl2br w:val="nil"/>
                    <w:tr2bl w:val="nil"/>
                  </w:tcBorders>
                  <w:vAlign w:val="center"/>
                </w:tcPr>
                <w:p w14:paraId="5E79F22C">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none"/>
                      <w:lang w:val="en-US"/>
                    </w:rPr>
                  </w:pPr>
                  <w:r>
                    <w:rPr>
                      <w:rFonts w:hint="eastAsia" w:ascii="Times New Roman" w:hAnsi="Times New Roman" w:cs="Times New Roman"/>
                      <w:sz w:val="21"/>
                      <w:szCs w:val="21"/>
                      <w:u w:val="none"/>
                      <w:lang w:val="en-US" w:eastAsia="zh-CN"/>
                    </w:rPr>
                    <w:t>0.016</w:t>
                  </w:r>
                </w:p>
              </w:tc>
            </w:tr>
            <w:tr w14:paraId="13FE8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vMerge w:val="continue"/>
                  <w:tcBorders>
                    <w:tl2br w:val="nil"/>
                    <w:tr2bl w:val="nil"/>
                  </w:tcBorders>
                  <w:shd w:val="clear" w:color="auto" w:fill="auto"/>
                  <w:vAlign w:val="center"/>
                </w:tcPr>
                <w:p w14:paraId="34D233E3">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cs="Times New Roman"/>
                      <w:sz w:val="21"/>
                      <w:szCs w:val="21"/>
                      <w:u w:val="none"/>
                    </w:rPr>
                  </w:pPr>
                </w:p>
              </w:tc>
              <w:tc>
                <w:tcPr>
                  <w:tcW w:w="457" w:type="pct"/>
                  <w:vMerge w:val="continue"/>
                  <w:tcBorders>
                    <w:tl2br w:val="nil"/>
                    <w:tr2bl w:val="nil"/>
                  </w:tcBorders>
                  <w:vAlign w:val="center"/>
                </w:tcPr>
                <w:p w14:paraId="0A56A55C">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583" w:type="pct"/>
                  <w:vMerge w:val="continue"/>
                  <w:tcBorders>
                    <w:tl2br w:val="nil"/>
                    <w:tr2bl w:val="nil"/>
                  </w:tcBorders>
                  <w:vAlign w:val="center"/>
                </w:tcPr>
                <w:p w14:paraId="7171CD24">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522" w:type="pct"/>
                  <w:tcBorders>
                    <w:tl2br w:val="nil"/>
                    <w:tr2bl w:val="nil"/>
                  </w:tcBorders>
                  <w:vAlign w:val="center"/>
                </w:tcPr>
                <w:p w14:paraId="62B5411B">
                  <w:pPr>
                    <w:keepNext w:val="0"/>
                    <w:keepLines w:val="0"/>
                    <w:pageBreakBefore w:val="0"/>
                    <w:widowControl/>
                    <w:kinsoku/>
                    <w:wordWrap/>
                    <w:overflowPunct/>
                    <w:topLinePunct w:val="0"/>
                    <w:autoSpaceDE/>
                    <w:autoSpaceDN/>
                    <w:bidi w:val="0"/>
                    <w:adjustRightInd w:val="0"/>
                    <w:snapToGrid w:val="0"/>
                    <w:ind w:firstLine="0"/>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氮氧化物</w:t>
                  </w:r>
                </w:p>
              </w:tc>
              <w:tc>
                <w:tcPr>
                  <w:tcW w:w="890" w:type="pct"/>
                  <w:vMerge w:val="continue"/>
                  <w:tcBorders>
                    <w:tl2br w:val="nil"/>
                    <w:tr2bl w:val="nil"/>
                  </w:tcBorders>
                  <w:vAlign w:val="center"/>
                </w:tcPr>
                <w:p w14:paraId="5B73FAC3">
                  <w:pPr>
                    <w:pStyle w:val="20"/>
                    <w:keepNext w:val="0"/>
                    <w:keepLines w:val="0"/>
                    <w:pageBreakBefore w:val="0"/>
                    <w:widowControl/>
                    <w:kinsoku/>
                    <w:wordWrap/>
                    <w:overflowPunct/>
                    <w:topLinePunct w:val="0"/>
                    <w:autoSpaceDE/>
                    <w:autoSpaceDN/>
                    <w:bidi w:val="0"/>
                    <w:adjustRightInd w:val="0"/>
                    <w:snapToGrid w:val="0"/>
                    <w:ind w:firstLine="0"/>
                    <w:rPr>
                      <w:rFonts w:hint="default" w:ascii="Times New Roman" w:hAnsi="Times New Roman" w:eastAsia="宋体" w:cs="Times New Roman"/>
                      <w:sz w:val="21"/>
                      <w:szCs w:val="21"/>
                      <w:u w:val="none"/>
                    </w:rPr>
                  </w:pPr>
                </w:p>
              </w:tc>
              <w:tc>
                <w:tcPr>
                  <w:tcW w:w="1190" w:type="pct"/>
                  <w:vMerge w:val="continue"/>
                  <w:tcBorders>
                    <w:tl2br w:val="nil"/>
                    <w:tr2bl w:val="nil"/>
                  </w:tcBorders>
                  <w:vAlign w:val="center"/>
                </w:tcPr>
                <w:p w14:paraId="1C34E87C">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587" w:type="pct"/>
                  <w:tcBorders>
                    <w:tl2br w:val="nil"/>
                    <w:tr2bl w:val="nil"/>
                  </w:tcBorders>
                  <w:vAlign w:val="center"/>
                </w:tcPr>
                <w:p w14:paraId="679B84C1">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300</w:t>
                  </w:r>
                </w:p>
              </w:tc>
              <w:tc>
                <w:tcPr>
                  <w:tcW w:w="534" w:type="pct"/>
                  <w:tcBorders>
                    <w:tl2br w:val="nil"/>
                    <w:tr2bl w:val="nil"/>
                  </w:tcBorders>
                  <w:vAlign w:val="center"/>
                </w:tcPr>
                <w:p w14:paraId="2D2418CE">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0.0964</w:t>
                  </w:r>
                </w:p>
              </w:tc>
            </w:tr>
            <w:tr w14:paraId="48CAFE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tcBorders>
                    <w:tl2br w:val="nil"/>
                    <w:tr2bl w:val="nil"/>
                  </w:tcBorders>
                  <w:shd w:val="clear" w:color="auto" w:fill="auto"/>
                  <w:vAlign w:val="center"/>
                </w:tcPr>
                <w:p w14:paraId="060B33C5">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lang w:val="en-US" w:eastAsia="zh-CN"/>
                    </w:rPr>
                    <w:t>2</w:t>
                  </w:r>
                </w:p>
              </w:tc>
              <w:tc>
                <w:tcPr>
                  <w:tcW w:w="457" w:type="pct"/>
                  <w:vMerge w:val="restart"/>
                  <w:tcBorders>
                    <w:tl2br w:val="nil"/>
                    <w:tr2bl w:val="nil"/>
                  </w:tcBorders>
                  <w:vAlign w:val="center"/>
                </w:tcPr>
                <w:p w14:paraId="0ADF3B0E">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w:t>
                  </w:r>
                </w:p>
              </w:tc>
              <w:tc>
                <w:tcPr>
                  <w:tcW w:w="583" w:type="pct"/>
                  <w:tcBorders>
                    <w:tl2br w:val="nil"/>
                    <w:tr2bl w:val="nil"/>
                  </w:tcBorders>
                  <w:vAlign w:val="center"/>
                </w:tcPr>
                <w:p w14:paraId="1820D329">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输送粉尘</w:t>
                  </w:r>
                </w:p>
              </w:tc>
              <w:tc>
                <w:tcPr>
                  <w:tcW w:w="522" w:type="pct"/>
                  <w:tcBorders>
                    <w:tl2br w:val="nil"/>
                    <w:tr2bl w:val="nil"/>
                  </w:tcBorders>
                  <w:vAlign w:val="center"/>
                </w:tcPr>
                <w:p w14:paraId="2756E7BC">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颗粒物</w:t>
                  </w:r>
                </w:p>
              </w:tc>
              <w:tc>
                <w:tcPr>
                  <w:tcW w:w="890" w:type="pct"/>
                  <w:tcBorders>
                    <w:tl2br w:val="nil"/>
                    <w:tr2bl w:val="nil"/>
                  </w:tcBorders>
                  <w:vAlign w:val="center"/>
                </w:tcPr>
                <w:p w14:paraId="38F8304C">
                  <w:pPr>
                    <w:pStyle w:val="20"/>
                    <w:keepNext w:val="0"/>
                    <w:keepLines w:val="0"/>
                    <w:pageBreakBefore w:val="0"/>
                    <w:widowControl/>
                    <w:kinsoku/>
                    <w:wordWrap/>
                    <w:overflowPunct/>
                    <w:topLinePunct w:val="0"/>
                    <w:autoSpaceDE/>
                    <w:autoSpaceDN/>
                    <w:bidi w:val="0"/>
                    <w:adjustRightInd w:val="0"/>
                    <w:snapToGrid w:val="0"/>
                    <w:ind w:firstLine="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无组织</w:t>
                  </w:r>
                </w:p>
              </w:tc>
              <w:tc>
                <w:tcPr>
                  <w:tcW w:w="1190" w:type="pct"/>
                  <w:vMerge w:val="restart"/>
                  <w:tcBorders>
                    <w:tl2br w:val="nil"/>
                    <w:tr2bl w:val="nil"/>
                  </w:tcBorders>
                  <w:vAlign w:val="center"/>
                </w:tcPr>
                <w:p w14:paraId="066C324D">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《水泥工业大气污染物排放标准》（GB4915-2013）表3浓度限值</w:t>
                  </w:r>
                </w:p>
              </w:tc>
              <w:tc>
                <w:tcPr>
                  <w:tcW w:w="587" w:type="pct"/>
                  <w:vMerge w:val="restart"/>
                  <w:tcBorders>
                    <w:tl2br w:val="nil"/>
                    <w:tr2bl w:val="nil"/>
                  </w:tcBorders>
                  <w:vAlign w:val="center"/>
                </w:tcPr>
                <w:p w14:paraId="280AE6BA">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0.5</w:t>
                  </w:r>
                </w:p>
              </w:tc>
              <w:tc>
                <w:tcPr>
                  <w:tcW w:w="534" w:type="pct"/>
                  <w:tcBorders>
                    <w:tl2br w:val="nil"/>
                    <w:tr2bl w:val="nil"/>
                  </w:tcBorders>
                  <w:vAlign w:val="center"/>
                </w:tcPr>
                <w:p w14:paraId="09CE61EA">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w:t>
                  </w:r>
                </w:p>
              </w:tc>
            </w:tr>
            <w:tr w14:paraId="627DC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tcBorders>
                    <w:tl2br w:val="nil"/>
                    <w:tr2bl w:val="nil"/>
                  </w:tcBorders>
                  <w:shd w:val="clear" w:color="auto" w:fill="auto"/>
                  <w:vAlign w:val="center"/>
                </w:tcPr>
                <w:p w14:paraId="280205D4">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lang w:val="en-US" w:eastAsia="zh-CN"/>
                    </w:rPr>
                    <w:t>3</w:t>
                  </w:r>
                </w:p>
              </w:tc>
              <w:tc>
                <w:tcPr>
                  <w:tcW w:w="457" w:type="pct"/>
                  <w:vMerge w:val="continue"/>
                  <w:tcBorders>
                    <w:tl2br w:val="nil"/>
                    <w:tr2bl w:val="nil"/>
                  </w:tcBorders>
                  <w:vAlign w:val="center"/>
                </w:tcPr>
                <w:p w14:paraId="0FB93F91">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583" w:type="pct"/>
                  <w:tcBorders>
                    <w:tl2br w:val="nil"/>
                    <w:tr2bl w:val="nil"/>
                  </w:tcBorders>
                  <w:vAlign w:val="center"/>
                </w:tcPr>
                <w:p w14:paraId="2A18FAED">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石子、沙子堆放区扬尘</w:t>
                  </w:r>
                </w:p>
              </w:tc>
              <w:tc>
                <w:tcPr>
                  <w:tcW w:w="522" w:type="pct"/>
                  <w:tcBorders>
                    <w:tl2br w:val="nil"/>
                    <w:tr2bl w:val="nil"/>
                  </w:tcBorders>
                  <w:vAlign w:val="center"/>
                </w:tcPr>
                <w:p w14:paraId="21CBC07F">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颗粒物</w:t>
                  </w:r>
                </w:p>
              </w:tc>
              <w:tc>
                <w:tcPr>
                  <w:tcW w:w="890" w:type="pct"/>
                  <w:tcBorders>
                    <w:tl2br w:val="nil"/>
                    <w:tr2bl w:val="nil"/>
                  </w:tcBorders>
                  <w:vAlign w:val="center"/>
                </w:tcPr>
                <w:p w14:paraId="7DE6E54C">
                  <w:pPr>
                    <w:pStyle w:val="20"/>
                    <w:keepNext w:val="0"/>
                    <w:keepLines w:val="0"/>
                    <w:pageBreakBefore w:val="0"/>
                    <w:widowControl/>
                    <w:kinsoku/>
                    <w:wordWrap/>
                    <w:overflowPunct/>
                    <w:topLinePunct w:val="0"/>
                    <w:autoSpaceDE/>
                    <w:autoSpaceDN/>
                    <w:bidi w:val="0"/>
                    <w:adjustRightInd w:val="0"/>
                    <w:snapToGrid w:val="0"/>
                    <w:ind w:firstLine="0"/>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设围挡、顶棚、洒水降尘</w:t>
                  </w:r>
                </w:p>
              </w:tc>
              <w:tc>
                <w:tcPr>
                  <w:tcW w:w="1190" w:type="pct"/>
                  <w:vMerge w:val="continue"/>
                  <w:tcBorders>
                    <w:tl2br w:val="nil"/>
                    <w:tr2bl w:val="nil"/>
                  </w:tcBorders>
                  <w:vAlign w:val="center"/>
                </w:tcPr>
                <w:p w14:paraId="1A15CF61">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587" w:type="pct"/>
                  <w:vMerge w:val="continue"/>
                  <w:tcBorders>
                    <w:tl2br w:val="nil"/>
                    <w:tr2bl w:val="nil"/>
                  </w:tcBorders>
                  <w:vAlign w:val="center"/>
                </w:tcPr>
                <w:p w14:paraId="634E8212">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979" w:type="dxa"/>
                  <w:tcBorders>
                    <w:tl2br w:val="nil"/>
                    <w:tr2bl w:val="nil"/>
                  </w:tcBorders>
                  <w:vAlign w:val="center"/>
                </w:tcPr>
                <w:p w14:paraId="27143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lang w:val="en-US" w:eastAsia="zh-CN"/>
                    </w:rPr>
                    <w:t>0.799</w:t>
                  </w:r>
                </w:p>
              </w:tc>
            </w:tr>
            <w:tr w14:paraId="7D971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tcBorders>
                    <w:tl2br w:val="nil"/>
                    <w:tr2bl w:val="nil"/>
                  </w:tcBorders>
                  <w:shd w:val="clear" w:color="auto" w:fill="auto"/>
                  <w:vAlign w:val="center"/>
                </w:tcPr>
                <w:p w14:paraId="27931FF7">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4</w:t>
                  </w:r>
                </w:p>
              </w:tc>
              <w:tc>
                <w:tcPr>
                  <w:tcW w:w="457" w:type="pct"/>
                  <w:vMerge w:val="continue"/>
                  <w:tcBorders>
                    <w:tl2br w:val="nil"/>
                    <w:tr2bl w:val="nil"/>
                  </w:tcBorders>
                  <w:vAlign w:val="center"/>
                </w:tcPr>
                <w:p w14:paraId="33B9DA6D">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583" w:type="pct"/>
                  <w:tcBorders>
                    <w:tl2br w:val="nil"/>
                    <w:tr2bl w:val="nil"/>
                  </w:tcBorders>
                  <w:vAlign w:val="center"/>
                </w:tcPr>
                <w:p w14:paraId="461FE200">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筒仓粉尘</w:t>
                  </w:r>
                </w:p>
              </w:tc>
              <w:tc>
                <w:tcPr>
                  <w:tcW w:w="522" w:type="pct"/>
                  <w:tcBorders>
                    <w:tl2br w:val="nil"/>
                    <w:tr2bl w:val="nil"/>
                  </w:tcBorders>
                  <w:vAlign w:val="center"/>
                </w:tcPr>
                <w:p w14:paraId="4E6BFF5E">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颗粒物</w:t>
                  </w:r>
                </w:p>
              </w:tc>
              <w:tc>
                <w:tcPr>
                  <w:tcW w:w="890" w:type="pct"/>
                  <w:tcBorders>
                    <w:tl2br w:val="nil"/>
                    <w:tr2bl w:val="nil"/>
                  </w:tcBorders>
                  <w:vAlign w:val="center"/>
                </w:tcPr>
                <w:p w14:paraId="4C2F59DA">
                  <w:pPr>
                    <w:pStyle w:val="20"/>
                    <w:keepNext w:val="0"/>
                    <w:keepLines w:val="0"/>
                    <w:pageBreakBefore w:val="0"/>
                    <w:widowControl/>
                    <w:kinsoku/>
                    <w:wordWrap/>
                    <w:overflowPunct/>
                    <w:topLinePunct w:val="0"/>
                    <w:autoSpaceDE/>
                    <w:autoSpaceDN/>
                    <w:bidi w:val="0"/>
                    <w:adjustRightInd w:val="0"/>
                    <w:snapToGrid w:val="0"/>
                    <w:ind w:firstLine="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滤芯收尘设施</w:t>
                  </w:r>
                </w:p>
              </w:tc>
              <w:tc>
                <w:tcPr>
                  <w:tcW w:w="1190" w:type="pct"/>
                  <w:vMerge w:val="continue"/>
                  <w:tcBorders>
                    <w:tl2br w:val="nil"/>
                    <w:tr2bl w:val="nil"/>
                  </w:tcBorders>
                  <w:vAlign w:val="center"/>
                </w:tcPr>
                <w:p w14:paraId="416C2AFC">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587" w:type="pct"/>
                  <w:vMerge w:val="continue"/>
                  <w:tcBorders>
                    <w:tl2br w:val="nil"/>
                    <w:tr2bl w:val="nil"/>
                  </w:tcBorders>
                  <w:vAlign w:val="center"/>
                </w:tcPr>
                <w:p w14:paraId="32132F85">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979" w:type="dxa"/>
                  <w:tcBorders>
                    <w:tl2br w:val="nil"/>
                    <w:tr2bl w:val="nil"/>
                  </w:tcBorders>
                  <w:vAlign w:val="center"/>
                </w:tcPr>
                <w:p w14:paraId="0A15F8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lang w:val="en-US" w:eastAsia="zh-CN"/>
                    </w:rPr>
                    <w:t>0.078</w:t>
                  </w:r>
                </w:p>
              </w:tc>
            </w:tr>
            <w:tr w14:paraId="7FE24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tcBorders>
                    <w:tl2br w:val="nil"/>
                    <w:tr2bl w:val="nil"/>
                  </w:tcBorders>
                  <w:shd w:val="clear" w:color="auto" w:fill="auto"/>
                  <w:vAlign w:val="center"/>
                </w:tcPr>
                <w:p w14:paraId="6E5AD076">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5</w:t>
                  </w:r>
                </w:p>
              </w:tc>
              <w:tc>
                <w:tcPr>
                  <w:tcW w:w="457" w:type="pct"/>
                  <w:vMerge w:val="continue"/>
                  <w:tcBorders>
                    <w:tl2br w:val="nil"/>
                    <w:tr2bl w:val="nil"/>
                  </w:tcBorders>
                  <w:vAlign w:val="center"/>
                </w:tcPr>
                <w:p w14:paraId="77187989">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583" w:type="pct"/>
                  <w:tcBorders>
                    <w:tl2br w:val="nil"/>
                    <w:tr2bl w:val="nil"/>
                  </w:tcBorders>
                  <w:vAlign w:val="center"/>
                </w:tcPr>
                <w:p w14:paraId="49A76655">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搅拌粉尘</w:t>
                  </w:r>
                </w:p>
              </w:tc>
              <w:tc>
                <w:tcPr>
                  <w:tcW w:w="522" w:type="pct"/>
                  <w:tcBorders>
                    <w:tl2br w:val="nil"/>
                    <w:tr2bl w:val="nil"/>
                  </w:tcBorders>
                  <w:vAlign w:val="center"/>
                </w:tcPr>
                <w:p w14:paraId="7EFEE6D5">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颗粒物</w:t>
                  </w:r>
                </w:p>
              </w:tc>
              <w:tc>
                <w:tcPr>
                  <w:tcW w:w="890" w:type="pct"/>
                  <w:tcBorders>
                    <w:tl2br w:val="nil"/>
                    <w:tr2bl w:val="nil"/>
                  </w:tcBorders>
                  <w:vAlign w:val="center"/>
                </w:tcPr>
                <w:p w14:paraId="15D5C708">
                  <w:pPr>
                    <w:pStyle w:val="20"/>
                    <w:keepNext w:val="0"/>
                    <w:keepLines w:val="0"/>
                    <w:pageBreakBefore w:val="0"/>
                    <w:widowControl/>
                    <w:kinsoku/>
                    <w:wordWrap/>
                    <w:overflowPunct/>
                    <w:topLinePunct w:val="0"/>
                    <w:autoSpaceDE/>
                    <w:autoSpaceDN/>
                    <w:bidi w:val="0"/>
                    <w:adjustRightInd w:val="0"/>
                    <w:snapToGrid w:val="0"/>
                    <w:ind w:firstLine="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布袋除尘器</w:t>
                  </w:r>
                </w:p>
              </w:tc>
              <w:tc>
                <w:tcPr>
                  <w:tcW w:w="1190" w:type="pct"/>
                  <w:vMerge w:val="continue"/>
                  <w:tcBorders>
                    <w:tl2br w:val="nil"/>
                    <w:tr2bl w:val="nil"/>
                  </w:tcBorders>
                  <w:vAlign w:val="center"/>
                </w:tcPr>
                <w:p w14:paraId="7BCE6333">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eastAsia="宋体" w:cs="Times New Roman"/>
                      <w:sz w:val="21"/>
                      <w:szCs w:val="21"/>
                      <w:u w:val="none"/>
                      <w:lang w:eastAsia="zh-CN"/>
                    </w:rPr>
                  </w:pPr>
                </w:p>
              </w:tc>
              <w:tc>
                <w:tcPr>
                  <w:tcW w:w="587" w:type="pct"/>
                  <w:vMerge w:val="continue"/>
                  <w:tcBorders>
                    <w:tl2br w:val="nil"/>
                    <w:tr2bl w:val="nil"/>
                  </w:tcBorders>
                  <w:vAlign w:val="center"/>
                </w:tcPr>
                <w:p w14:paraId="04536085">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979" w:type="dxa"/>
                  <w:tcBorders>
                    <w:tl2br w:val="nil"/>
                    <w:tr2bl w:val="nil"/>
                  </w:tcBorders>
                  <w:vAlign w:val="center"/>
                </w:tcPr>
                <w:p w14:paraId="1A2799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lang w:val="en-US" w:eastAsia="zh-CN"/>
                    </w:rPr>
                    <w:t>0.043</w:t>
                  </w:r>
                </w:p>
              </w:tc>
            </w:tr>
            <w:tr w14:paraId="336AD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tcBorders>
                    <w:tl2br w:val="nil"/>
                    <w:tr2bl w:val="nil"/>
                  </w:tcBorders>
                  <w:shd w:val="clear" w:color="auto" w:fill="auto"/>
                  <w:vAlign w:val="center"/>
                </w:tcPr>
                <w:p w14:paraId="13AD27FC">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lang w:val="en-US" w:eastAsia="zh-CN"/>
                    </w:rPr>
                    <w:t>6</w:t>
                  </w:r>
                </w:p>
              </w:tc>
              <w:tc>
                <w:tcPr>
                  <w:tcW w:w="457" w:type="pct"/>
                  <w:vMerge w:val="continue"/>
                  <w:tcBorders>
                    <w:tl2br w:val="nil"/>
                    <w:tr2bl w:val="nil"/>
                  </w:tcBorders>
                  <w:vAlign w:val="center"/>
                </w:tcPr>
                <w:p w14:paraId="760F38D8">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583" w:type="pct"/>
                  <w:tcBorders>
                    <w:tl2br w:val="nil"/>
                    <w:tr2bl w:val="nil"/>
                  </w:tcBorders>
                  <w:vAlign w:val="center"/>
                </w:tcPr>
                <w:p w14:paraId="5C64DAF1">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焊接烟尘</w:t>
                  </w:r>
                </w:p>
              </w:tc>
              <w:tc>
                <w:tcPr>
                  <w:tcW w:w="522" w:type="pct"/>
                  <w:tcBorders>
                    <w:tl2br w:val="nil"/>
                    <w:tr2bl w:val="nil"/>
                  </w:tcBorders>
                  <w:vAlign w:val="center"/>
                </w:tcPr>
                <w:p w14:paraId="733689FC">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烟尘</w:t>
                  </w:r>
                </w:p>
              </w:tc>
              <w:tc>
                <w:tcPr>
                  <w:tcW w:w="890" w:type="pct"/>
                  <w:tcBorders>
                    <w:tl2br w:val="nil"/>
                    <w:tr2bl w:val="nil"/>
                  </w:tcBorders>
                  <w:vAlign w:val="center"/>
                </w:tcPr>
                <w:p w14:paraId="67F98BCB">
                  <w:pPr>
                    <w:pStyle w:val="20"/>
                    <w:keepNext w:val="0"/>
                    <w:keepLines w:val="0"/>
                    <w:pageBreakBefore w:val="0"/>
                    <w:widowControl/>
                    <w:kinsoku/>
                    <w:wordWrap/>
                    <w:overflowPunct/>
                    <w:topLinePunct w:val="0"/>
                    <w:autoSpaceDE/>
                    <w:autoSpaceDN/>
                    <w:bidi w:val="0"/>
                    <w:adjustRightInd w:val="0"/>
                    <w:snapToGrid w:val="0"/>
                    <w:ind w:firstLine="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焊接烟尘净化器</w:t>
                  </w:r>
                </w:p>
              </w:tc>
              <w:tc>
                <w:tcPr>
                  <w:tcW w:w="1190" w:type="pct"/>
                  <w:vMerge w:val="restart"/>
                  <w:tcBorders>
                    <w:tl2br w:val="nil"/>
                    <w:tr2bl w:val="nil"/>
                  </w:tcBorders>
                  <w:vAlign w:val="center"/>
                </w:tcPr>
                <w:p w14:paraId="16802C8E">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lang w:val="en-US"/>
                    </w:rPr>
                  </w:pPr>
                  <w:r>
                    <w:rPr>
                      <w:rFonts w:hint="default" w:ascii="Times New Roman" w:hAnsi="Times New Roman" w:cs="Times New Roman"/>
                      <w:sz w:val="21"/>
                      <w:szCs w:val="21"/>
                      <w:u w:val="none"/>
                      <w:lang w:eastAsia="zh-CN"/>
                    </w:rPr>
                    <w:t>《大气污染物综合排放标准》（GB 16297-1996）</w:t>
                  </w:r>
                  <w:r>
                    <w:rPr>
                      <w:rFonts w:hint="default" w:ascii="Times New Roman" w:hAnsi="Times New Roman" w:cs="Times New Roman"/>
                      <w:sz w:val="21"/>
                      <w:szCs w:val="21"/>
                      <w:u w:val="none"/>
                      <w:lang w:val="en-US" w:eastAsia="zh-CN"/>
                    </w:rPr>
                    <w:t>表2</w:t>
                  </w:r>
                  <w:r>
                    <w:rPr>
                      <w:rFonts w:hint="default" w:ascii="Times New Roman" w:hAnsi="Times New Roman" w:cs="Times New Roman"/>
                      <w:sz w:val="21"/>
                      <w:szCs w:val="21"/>
                      <w:u w:val="none"/>
                    </w:rPr>
                    <w:t>浓度限值</w:t>
                  </w:r>
                </w:p>
              </w:tc>
              <w:tc>
                <w:tcPr>
                  <w:tcW w:w="587" w:type="pct"/>
                  <w:vMerge w:val="restart"/>
                  <w:tcBorders>
                    <w:tl2br w:val="nil"/>
                    <w:tr2bl w:val="nil"/>
                  </w:tcBorders>
                  <w:vAlign w:val="center"/>
                </w:tcPr>
                <w:p w14:paraId="5B723ECC">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1.0</w:t>
                  </w:r>
                </w:p>
              </w:tc>
              <w:tc>
                <w:tcPr>
                  <w:tcW w:w="979" w:type="dxa"/>
                  <w:tcBorders>
                    <w:tl2br w:val="nil"/>
                    <w:tr2bl w:val="nil"/>
                  </w:tcBorders>
                  <w:vAlign w:val="center"/>
                </w:tcPr>
                <w:p w14:paraId="5E2052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cs="Times New Roman"/>
                      <w:sz w:val="21"/>
                      <w:szCs w:val="21"/>
                      <w:u w:val="none"/>
                    </w:rPr>
                  </w:pPr>
                  <w:r>
                    <w:rPr>
                      <w:rFonts w:hint="default" w:ascii="Times New Roman" w:hAnsi="Times New Roman" w:cs="Times New Roman"/>
                      <w:lang w:val="en-US" w:eastAsia="zh-CN"/>
                    </w:rPr>
                    <w:t>0.00064</w:t>
                  </w:r>
                </w:p>
              </w:tc>
            </w:tr>
            <w:tr w14:paraId="653F83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 w:type="pct"/>
                  <w:tcBorders>
                    <w:tl2br w:val="nil"/>
                    <w:tr2bl w:val="nil"/>
                  </w:tcBorders>
                  <w:vAlign w:val="center"/>
                </w:tcPr>
                <w:p w14:paraId="7DADFA3E">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kern w:val="2"/>
                      <w:sz w:val="21"/>
                      <w:szCs w:val="21"/>
                      <w:u w:val="none"/>
                      <w:lang w:val="en-US" w:eastAsia="zh-CN" w:bidi="ar-SA"/>
                    </w:rPr>
                    <w:t>7</w:t>
                  </w:r>
                </w:p>
              </w:tc>
              <w:tc>
                <w:tcPr>
                  <w:tcW w:w="457" w:type="pct"/>
                  <w:vMerge w:val="continue"/>
                  <w:tcBorders>
                    <w:tl2br w:val="nil"/>
                    <w:tr2bl w:val="nil"/>
                  </w:tcBorders>
                  <w:vAlign w:val="center"/>
                </w:tcPr>
                <w:p w14:paraId="3FB18467">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583" w:type="pct"/>
                  <w:tcBorders>
                    <w:tl2br w:val="nil"/>
                    <w:tr2bl w:val="nil"/>
                  </w:tcBorders>
                  <w:vAlign w:val="center"/>
                </w:tcPr>
                <w:p w14:paraId="7A366302">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汽车运输扬尘</w:t>
                  </w:r>
                </w:p>
              </w:tc>
              <w:tc>
                <w:tcPr>
                  <w:tcW w:w="522" w:type="pct"/>
                  <w:tcBorders>
                    <w:tl2br w:val="nil"/>
                    <w:tr2bl w:val="nil"/>
                  </w:tcBorders>
                  <w:vAlign w:val="center"/>
                </w:tcPr>
                <w:p w14:paraId="66ACDFD7">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颗粒物</w:t>
                  </w:r>
                </w:p>
              </w:tc>
              <w:tc>
                <w:tcPr>
                  <w:tcW w:w="890" w:type="pct"/>
                  <w:tcBorders>
                    <w:tl2br w:val="nil"/>
                    <w:tr2bl w:val="nil"/>
                  </w:tcBorders>
                  <w:vAlign w:val="center"/>
                </w:tcPr>
                <w:p w14:paraId="5CC5BF08">
                  <w:pPr>
                    <w:pStyle w:val="20"/>
                    <w:keepNext w:val="0"/>
                    <w:keepLines w:val="0"/>
                    <w:pageBreakBefore w:val="0"/>
                    <w:widowControl/>
                    <w:kinsoku/>
                    <w:wordWrap/>
                    <w:overflowPunct/>
                    <w:topLinePunct w:val="0"/>
                    <w:autoSpaceDE/>
                    <w:autoSpaceDN/>
                    <w:bidi w:val="0"/>
                    <w:adjustRightInd w:val="0"/>
                    <w:snapToGrid w:val="0"/>
                    <w:ind w:firstLine="0" w:firstLineChars="0"/>
                    <w:rPr>
                      <w:rFonts w:hint="default" w:ascii="Times New Roman" w:hAnsi="Times New Roman" w:eastAsia="宋体" w:cs="Times New Roman"/>
                      <w:kern w:val="0"/>
                      <w:sz w:val="21"/>
                      <w:szCs w:val="21"/>
                      <w:u w:val="none"/>
                      <w:lang w:val="en-US" w:eastAsia="zh-CN" w:bidi="ar-SA"/>
                    </w:rPr>
                  </w:pPr>
                  <w:r>
                    <w:rPr>
                      <w:rFonts w:hint="default" w:ascii="Times New Roman" w:hAnsi="Times New Roman" w:eastAsia="宋体" w:cs="Times New Roman"/>
                      <w:sz w:val="21"/>
                      <w:szCs w:val="21"/>
                      <w:u w:val="none"/>
                    </w:rPr>
                    <w:t>洒水降尘</w:t>
                  </w:r>
                </w:p>
              </w:tc>
              <w:tc>
                <w:tcPr>
                  <w:tcW w:w="1190" w:type="pct"/>
                  <w:vMerge w:val="continue"/>
                  <w:tcBorders>
                    <w:tl2br w:val="nil"/>
                    <w:tr2bl w:val="nil"/>
                  </w:tcBorders>
                  <w:vAlign w:val="center"/>
                </w:tcPr>
                <w:p w14:paraId="2C7399E0">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587" w:type="pct"/>
                  <w:vMerge w:val="continue"/>
                  <w:tcBorders>
                    <w:tl2br w:val="nil"/>
                    <w:tr2bl w:val="nil"/>
                  </w:tcBorders>
                  <w:vAlign w:val="center"/>
                </w:tcPr>
                <w:p w14:paraId="0203AC1B">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534" w:type="pct"/>
                  <w:tcBorders>
                    <w:tl2br w:val="nil"/>
                    <w:tr2bl w:val="nil"/>
                  </w:tcBorders>
                  <w:vAlign w:val="center"/>
                </w:tcPr>
                <w:p w14:paraId="53CFB367">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w:t>
                  </w:r>
                </w:p>
              </w:tc>
            </w:tr>
            <w:tr w14:paraId="183610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8"/>
                  <w:tcBorders>
                    <w:tl2br w:val="nil"/>
                    <w:tr2bl w:val="nil"/>
                  </w:tcBorders>
                  <w:vAlign w:val="center"/>
                </w:tcPr>
                <w:p w14:paraId="03E39185">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r>
                    <w:rPr>
                      <w:rFonts w:hint="default" w:ascii="Times New Roman" w:hAnsi="Times New Roman" w:cs="Times New Roman"/>
                      <w:sz w:val="21"/>
                      <w:szCs w:val="21"/>
                      <w:u w:val="none"/>
                    </w:rPr>
                    <w:t>排放总计</w:t>
                  </w:r>
                </w:p>
              </w:tc>
            </w:tr>
            <w:tr w14:paraId="65F59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96" w:type="pct"/>
                  <w:gridSpan w:val="4"/>
                  <w:vMerge w:val="restart"/>
                  <w:tcBorders>
                    <w:tl2br w:val="nil"/>
                    <w:tr2bl w:val="nil"/>
                  </w:tcBorders>
                  <w:vAlign w:val="center"/>
                </w:tcPr>
                <w:p w14:paraId="2E79C353">
                  <w:pPr>
                    <w:keepNext w:val="0"/>
                    <w:keepLines w:val="0"/>
                    <w:pageBreakBefore w:val="0"/>
                    <w:widowControl/>
                    <w:kinsoku/>
                    <w:wordWrap/>
                    <w:overflowPunct/>
                    <w:topLinePunct w:val="0"/>
                    <w:autoSpaceDE/>
                    <w:autoSpaceDN/>
                    <w:bidi w:val="0"/>
                    <w:adjustRightInd w:val="0"/>
                    <w:snapToGrid w:val="0"/>
                    <w:ind w:firstLine="0"/>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有组织</w:t>
                  </w:r>
                </w:p>
              </w:tc>
              <w:tc>
                <w:tcPr>
                  <w:tcW w:w="2080" w:type="pct"/>
                  <w:gridSpan w:val="2"/>
                  <w:tcBorders>
                    <w:tl2br w:val="nil"/>
                    <w:tr2bl w:val="nil"/>
                  </w:tcBorders>
                  <w:shd w:val="clear" w:color="auto" w:fill="auto"/>
                  <w:vAlign w:val="center"/>
                </w:tcPr>
                <w:p w14:paraId="26CCFF02">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sz w:val="21"/>
                      <w:szCs w:val="21"/>
                      <w:u w:val="none"/>
                      <w:lang w:val="en-US" w:eastAsia="zh-CN"/>
                    </w:rPr>
                    <w:t>颗粒物</w:t>
                  </w:r>
                </w:p>
              </w:tc>
              <w:tc>
                <w:tcPr>
                  <w:tcW w:w="1122" w:type="pct"/>
                  <w:gridSpan w:val="2"/>
                  <w:tcBorders>
                    <w:tl2br w:val="nil"/>
                    <w:tr2bl w:val="nil"/>
                  </w:tcBorders>
                  <w:shd w:val="clear" w:color="auto" w:fill="auto"/>
                  <w:vAlign w:val="center"/>
                </w:tcPr>
                <w:p w14:paraId="6408AA0D">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lang w:val="en-US" w:eastAsia="zh-CN" w:bidi="ar-SA"/>
                    </w:rPr>
                  </w:pPr>
                  <w:r>
                    <w:rPr>
                      <w:rFonts w:hint="eastAsia" w:ascii="Times New Roman" w:hAnsi="Times New Roman" w:cs="Times New Roman"/>
                      <w:sz w:val="21"/>
                      <w:szCs w:val="21"/>
                      <w:u w:val="none"/>
                      <w:lang w:val="en-US" w:eastAsia="zh-CN"/>
                    </w:rPr>
                    <w:t>0.0001</w:t>
                  </w:r>
                </w:p>
              </w:tc>
            </w:tr>
            <w:tr w14:paraId="70DF40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96" w:type="pct"/>
                  <w:gridSpan w:val="4"/>
                  <w:vMerge w:val="continue"/>
                  <w:tcBorders>
                    <w:tl2br w:val="nil"/>
                    <w:tr2bl w:val="nil"/>
                  </w:tcBorders>
                  <w:vAlign w:val="center"/>
                </w:tcPr>
                <w:p w14:paraId="511F83BE">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2080" w:type="pct"/>
                  <w:gridSpan w:val="2"/>
                  <w:tcBorders>
                    <w:tl2br w:val="nil"/>
                    <w:tr2bl w:val="nil"/>
                  </w:tcBorders>
                  <w:shd w:val="clear" w:color="auto" w:fill="auto"/>
                  <w:vAlign w:val="center"/>
                </w:tcPr>
                <w:p w14:paraId="43E6458C">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sz w:val="21"/>
                      <w:szCs w:val="21"/>
                      <w:u w:val="none"/>
                      <w:lang w:val="en-US" w:eastAsia="zh-CN"/>
                    </w:rPr>
                    <w:t>SO</w:t>
                  </w:r>
                  <w:r>
                    <w:rPr>
                      <w:rFonts w:hint="eastAsia" w:ascii="Times New Roman" w:hAnsi="Times New Roman" w:cs="Times New Roman"/>
                      <w:sz w:val="21"/>
                      <w:szCs w:val="21"/>
                      <w:u w:val="none"/>
                      <w:vertAlign w:val="subscript"/>
                      <w:lang w:val="en-US" w:eastAsia="zh-CN"/>
                    </w:rPr>
                    <w:t>2</w:t>
                  </w:r>
                </w:p>
              </w:tc>
              <w:tc>
                <w:tcPr>
                  <w:tcW w:w="1122" w:type="pct"/>
                  <w:gridSpan w:val="2"/>
                  <w:tcBorders>
                    <w:tl2br w:val="nil"/>
                    <w:tr2bl w:val="nil"/>
                  </w:tcBorders>
                  <w:shd w:val="clear" w:color="auto" w:fill="auto"/>
                  <w:vAlign w:val="center"/>
                </w:tcPr>
                <w:p w14:paraId="2B956488">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lang w:val="en-US" w:eastAsia="zh-CN" w:bidi="ar-SA"/>
                    </w:rPr>
                  </w:pPr>
                  <w:r>
                    <w:rPr>
                      <w:rFonts w:hint="eastAsia" w:ascii="Times New Roman" w:hAnsi="Times New Roman" w:cs="Times New Roman"/>
                      <w:sz w:val="21"/>
                      <w:szCs w:val="21"/>
                      <w:u w:val="none"/>
                      <w:lang w:val="en-US" w:eastAsia="zh-CN"/>
                    </w:rPr>
                    <w:t>0.016</w:t>
                  </w:r>
                </w:p>
              </w:tc>
            </w:tr>
            <w:tr w14:paraId="4CAA2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96" w:type="pct"/>
                  <w:gridSpan w:val="4"/>
                  <w:vMerge w:val="continue"/>
                  <w:tcBorders>
                    <w:tl2br w:val="nil"/>
                    <w:tr2bl w:val="nil"/>
                  </w:tcBorders>
                  <w:vAlign w:val="center"/>
                </w:tcPr>
                <w:p w14:paraId="4E036C8A">
                  <w:pPr>
                    <w:keepNext w:val="0"/>
                    <w:keepLines w:val="0"/>
                    <w:pageBreakBefore w:val="0"/>
                    <w:widowControl/>
                    <w:kinsoku/>
                    <w:wordWrap/>
                    <w:overflowPunct/>
                    <w:topLinePunct w:val="0"/>
                    <w:autoSpaceDE/>
                    <w:autoSpaceDN/>
                    <w:bidi w:val="0"/>
                    <w:adjustRightInd w:val="0"/>
                    <w:snapToGrid w:val="0"/>
                    <w:ind w:firstLine="0"/>
                    <w:jc w:val="center"/>
                    <w:rPr>
                      <w:rFonts w:hint="default" w:ascii="Times New Roman" w:hAnsi="Times New Roman" w:cs="Times New Roman"/>
                      <w:sz w:val="21"/>
                      <w:szCs w:val="21"/>
                      <w:u w:val="none"/>
                    </w:rPr>
                  </w:pPr>
                </w:p>
              </w:tc>
              <w:tc>
                <w:tcPr>
                  <w:tcW w:w="2080" w:type="pct"/>
                  <w:gridSpan w:val="2"/>
                  <w:tcBorders>
                    <w:tl2br w:val="nil"/>
                    <w:tr2bl w:val="nil"/>
                  </w:tcBorders>
                  <w:shd w:val="clear" w:color="auto" w:fill="auto"/>
                  <w:vAlign w:val="center"/>
                </w:tcPr>
                <w:p w14:paraId="04C292FE">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sz w:val="21"/>
                      <w:szCs w:val="21"/>
                      <w:u w:val="none"/>
                      <w:lang w:eastAsia="zh-CN"/>
                    </w:rPr>
                    <w:t>氮氧化物</w:t>
                  </w:r>
                </w:p>
              </w:tc>
              <w:tc>
                <w:tcPr>
                  <w:tcW w:w="1122" w:type="pct"/>
                  <w:gridSpan w:val="2"/>
                  <w:tcBorders>
                    <w:tl2br w:val="nil"/>
                    <w:tr2bl w:val="nil"/>
                  </w:tcBorders>
                  <w:shd w:val="clear" w:color="auto" w:fill="auto"/>
                  <w:vAlign w:val="center"/>
                </w:tcPr>
                <w:p w14:paraId="497DFEC9">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lang w:val="en-US" w:eastAsia="zh-CN" w:bidi="ar-SA"/>
                    </w:rPr>
                  </w:pPr>
                  <w:r>
                    <w:rPr>
                      <w:rFonts w:hint="eastAsia" w:ascii="Times New Roman" w:hAnsi="Times New Roman" w:cs="Times New Roman"/>
                      <w:sz w:val="21"/>
                      <w:szCs w:val="21"/>
                      <w:u w:val="none"/>
                      <w:lang w:val="en-US" w:eastAsia="zh-CN"/>
                    </w:rPr>
                    <w:t>0.0964</w:t>
                  </w:r>
                </w:p>
              </w:tc>
            </w:tr>
            <w:tr w14:paraId="024A81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96" w:type="pct"/>
                  <w:gridSpan w:val="4"/>
                  <w:tcBorders>
                    <w:tl2br w:val="nil"/>
                    <w:tr2bl w:val="nil"/>
                  </w:tcBorders>
                  <w:vAlign w:val="center"/>
                </w:tcPr>
                <w:p w14:paraId="7D5A89B3">
                  <w:pPr>
                    <w:keepNext w:val="0"/>
                    <w:keepLines w:val="0"/>
                    <w:pageBreakBefore w:val="0"/>
                    <w:widowControl/>
                    <w:kinsoku/>
                    <w:wordWrap/>
                    <w:overflowPunct/>
                    <w:topLinePunct w:val="0"/>
                    <w:autoSpaceDE/>
                    <w:autoSpaceDN/>
                    <w:bidi w:val="0"/>
                    <w:adjustRightInd w:val="0"/>
                    <w:snapToGrid w:val="0"/>
                    <w:ind w:firstLine="0"/>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无组织</w:t>
                  </w:r>
                </w:p>
              </w:tc>
              <w:tc>
                <w:tcPr>
                  <w:tcW w:w="2080" w:type="pct"/>
                  <w:gridSpan w:val="2"/>
                  <w:tcBorders>
                    <w:tl2br w:val="nil"/>
                    <w:tr2bl w:val="nil"/>
                  </w:tcBorders>
                  <w:vAlign w:val="center"/>
                </w:tcPr>
                <w:p w14:paraId="113163F4">
                  <w:pPr>
                    <w:keepNext w:val="0"/>
                    <w:keepLines w:val="0"/>
                    <w:pageBreakBefore w:val="0"/>
                    <w:widowControl/>
                    <w:kinsoku/>
                    <w:wordWrap/>
                    <w:overflowPunct/>
                    <w:topLinePunct w:val="0"/>
                    <w:autoSpaceDE/>
                    <w:autoSpaceDN/>
                    <w:bidi w:val="0"/>
                    <w:adjustRightInd w:val="0"/>
                    <w:snapToGrid w:val="0"/>
                    <w:ind w:firstLine="0"/>
                    <w:jc w:val="center"/>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eastAsia="zh-CN"/>
                    </w:rPr>
                    <w:t>颗粒物</w:t>
                  </w:r>
                </w:p>
              </w:tc>
              <w:tc>
                <w:tcPr>
                  <w:tcW w:w="1122" w:type="pct"/>
                  <w:gridSpan w:val="2"/>
                  <w:tcBorders>
                    <w:tl2br w:val="nil"/>
                    <w:tr2bl w:val="nil"/>
                  </w:tcBorders>
                  <w:vAlign w:val="center"/>
                </w:tcPr>
                <w:p w14:paraId="144D8B13">
                  <w:pPr>
                    <w:keepNext w:val="0"/>
                    <w:keepLines w:val="0"/>
                    <w:pageBreakBefore w:val="0"/>
                    <w:widowControl/>
                    <w:kinsoku/>
                    <w:wordWrap/>
                    <w:overflowPunct/>
                    <w:topLinePunct w:val="0"/>
                    <w:autoSpaceDE/>
                    <w:autoSpaceDN/>
                    <w:bidi w:val="0"/>
                    <w:adjustRightInd w:val="0"/>
                    <w:snapToGrid w:val="0"/>
                    <w:ind w:firstLine="0"/>
                    <w:jc w:val="center"/>
                    <w:textAlignment w:val="center"/>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0.921</w:t>
                  </w:r>
                </w:p>
              </w:tc>
            </w:tr>
          </w:tbl>
          <w:p w14:paraId="05205B33">
            <w:pPr>
              <w:keepNext w:val="0"/>
              <w:keepLines w:val="0"/>
              <w:pageBreakBefore w:val="0"/>
              <w:widowControl/>
              <w:kinsoku/>
              <w:wordWrap/>
              <w:overflowPunct/>
              <w:topLinePunct w:val="0"/>
              <w:autoSpaceDE/>
              <w:autoSpaceDN/>
              <w:bidi w:val="0"/>
              <w:adjustRightInd/>
              <w:snapToGrid/>
              <w:spacing w:line="360" w:lineRule="auto"/>
              <w:ind w:firstLine="482" w:firstLineChars="200"/>
              <w:jc w:val="center"/>
              <w:textAlignment w:val="auto"/>
              <w:rPr>
                <w:rFonts w:hint="default" w:ascii="Times New Roman" w:hAnsi="Times New Roman" w:eastAsia="宋体" w:cs="Times New Roman"/>
                <w:b/>
                <w:bCs/>
                <w:kern w:val="0"/>
                <w:sz w:val="24"/>
                <w:szCs w:val="24"/>
                <w:u w:val="none"/>
              </w:rPr>
            </w:pPr>
            <w:r>
              <w:rPr>
                <w:rFonts w:hint="default" w:ascii="Times New Roman" w:hAnsi="Times New Roman" w:eastAsia="宋体" w:cs="Times New Roman"/>
                <w:b/>
                <w:bCs/>
                <w:kern w:val="0"/>
                <w:sz w:val="24"/>
                <w:szCs w:val="24"/>
                <w:u w:val="none"/>
              </w:rPr>
              <w:t>表4</w:t>
            </w:r>
            <w:r>
              <w:rPr>
                <w:rFonts w:hint="eastAsia" w:ascii="Times New Roman" w:hAnsi="Times New Roman" w:eastAsia="宋体" w:cs="Times New Roman"/>
                <w:b/>
                <w:bCs/>
                <w:kern w:val="0"/>
                <w:sz w:val="24"/>
                <w:szCs w:val="24"/>
                <w:u w:val="none"/>
                <w:lang w:val="en-US" w:eastAsia="zh-CN"/>
              </w:rPr>
              <w:t>-4</w:t>
            </w:r>
            <w:r>
              <w:rPr>
                <w:rFonts w:hint="default" w:ascii="Times New Roman" w:hAnsi="Times New Roman" w:eastAsia="宋体" w:cs="Times New Roman"/>
                <w:b/>
                <w:bCs/>
                <w:kern w:val="0"/>
                <w:sz w:val="24"/>
                <w:szCs w:val="24"/>
                <w:u w:val="none"/>
              </w:rPr>
              <w:t xml:space="preserve">     大气污染物年排放量核算表</w:t>
            </w:r>
          </w:p>
          <w:tbl>
            <w:tblPr>
              <w:tblStyle w:val="3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3257"/>
              <w:gridCol w:w="4395"/>
            </w:tblGrid>
            <w:tr w14:paraId="154BD5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tcBorders>
                    <w:tl2br w:val="nil"/>
                    <w:tr2bl w:val="nil"/>
                  </w:tcBorders>
                  <w:vAlign w:val="center"/>
                </w:tcPr>
                <w:p w14:paraId="7DDAE88D">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序号</w:t>
                  </w:r>
                </w:p>
              </w:tc>
              <w:tc>
                <w:tcPr>
                  <w:tcW w:w="1786" w:type="pct"/>
                  <w:tcBorders>
                    <w:tl2br w:val="nil"/>
                    <w:tr2bl w:val="nil"/>
                  </w:tcBorders>
                  <w:vAlign w:val="center"/>
                </w:tcPr>
                <w:p w14:paraId="093003BD">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污染物</w:t>
                  </w:r>
                </w:p>
              </w:tc>
              <w:tc>
                <w:tcPr>
                  <w:tcW w:w="2410" w:type="pct"/>
                  <w:tcBorders>
                    <w:tl2br w:val="nil"/>
                    <w:tr2bl w:val="nil"/>
                  </w:tcBorders>
                  <w:vAlign w:val="center"/>
                </w:tcPr>
                <w:p w14:paraId="402AACD4">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年排放量/(t/a)</w:t>
                  </w:r>
                </w:p>
              </w:tc>
            </w:tr>
            <w:tr w14:paraId="04E25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tcBorders>
                    <w:tl2br w:val="nil"/>
                    <w:tr2bl w:val="nil"/>
                  </w:tcBorders>
                  <w:vAlign w:val="center"/>
                </w:tcPr>
                <w:p w14:paraId="2627DA99">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w:t>
                  </w:r>
                </w:p>
              </w:tc>
              <w:tc>
                <w:tcPr>
                  <w:tcW w:w="1786" w:type="pct"/>
                  <w:tcBorders>
                    <w:tl2br w:val="nil"/>
                    <w:tr2bl w:val="nil"/>
                  </w:tcBorders>
                  <w:vAlign w:val="center"/>
                </w:tcPr>
                <w:p w14:paraId="70B431F8">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颗粒物</w:t>
                  </w:r>
                </w:p>
              </w:tc>
              <w:tc>
                <w:tcPr>
                  <w:tcW w:w="2410" w:type="pct"/>
                  <w:tcBorders>
                    <w:tl2br w:val="nil"/>
                    <w:tr2bl w:val="nil"/>
                  </w:tcBorders>
                  <w:vAlign w:val="center"/>
                </w:tcPr>
                <w:p w14:paraId="2753E3B8">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0.9211</w:t>
                  </w:r>
                </w:p>
              </w:tc>
            </w:tr>
            <w:tr w14:paraId="43C679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tcBorders>
                    <w:tl2br w:val="nil"/>
                    <w:tr2bl w:val="nil"/>
                  </w:tcBorders>
                  <w:vAlign w:val="center"/>
                </w:tcPr>
                <w:p w14:paraId="3E8D9BE6">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2</w:t>
                  </w:r>
                </w:p>
              </w:tc>
              <w:tc>
                <w:tcPr>
                  <w:tcW w:w="1786" w:type="pct"/>
                  <w:tcBorders>
                    <w:tl2br w:val="nil"/>
                    <w:tr2bl w:val="nil"/>
                  </w:tcBorders>
                  <w:shd w:val="clear" w:color="auto" w:fill="auto"/>
                  <w:vAlign w:val="center"/>
                </w:tcPr>
                <w:p w14:paraId="47DE7DE4">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sz w:val="21"/>
                      <w:szCs w:val="21"/>
                      <w:u w:val="none"/>
                      <w:lang w:val="en-US" w:eastAsia="zh-CN"/>
                    </w:rPr>
                    <w:t>SO</w:t>
                  </w:r>
                  <w:r>
                    <w:rPr>
                      <w:rFonts w:hint="eastAsia" w:ascii="Times New Roman" w:hAnsi="Times New Roman" w:cs="Times New Roman"/>
                      <w:sz w:val="21"/>
                      <w:szCs w:val="21"/>
                      <w:u w:val="none"/>
                      <w:vertAlign w:val="subscript"/>
                      <w:lang w:val="en-US" w:eastAsia="zh-CN"/>
                    </w:rPr>
                    <w:t>2</w:t>
                  </w:r>
                </w:p>
              </w:tc>
              <w:tc>
                <w:tcPr>
                  <w:tcW w:w="4345" w:type="dxa"/>
                  <w:tcBorders>
                    <w:tl2br w:val="nil"/>
                    <w:tr2bl w:val="nil"/>
                  </w:tcBorders>
                  <w:vAlign w:val="center"/>
                </w:tcPr>
                <w:p w14:paraId="16DC6F97">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none"/>
                      <w:lang w:val="en-US"/>
                    </w:rPr>
                  </w:pPr>
                  <w:r>
                    <w:rPr>
                      <w:rFonts w:hint="eastAsia" w:ascii="Times New Roman" w:hAnsi="Times New Roman" w:cs="Times New Roman"/>
                      <w:sz w:val="21"/>
                      <w:szCs w:val="21"/>
                      <w:u w:val="none"/>
                      <w:lang w:val="en-US" w:eastAsia="zh-CN"/>
                    </w:rPr>
                    <w:t>0.016</w:t>
                  </w:r>
                </w:p>
              </w:tc>
            </w:tr>
            <w:tr w14:paraId="7BC2B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 w:type="pct"/>
                  <w:tcBorders>
                    <w:tl2br w:val="nil"/>
                    <w:tr2bl w:val="nil"/>
                  </w:tcBorders>
                  <w:vAlign w:val="center"/>
                </w:tcPr>
                <w:p w14:paraId="06D33B39">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val="en-US" w:eastAsia="zh-CN"/>
                    </w:rPr>
                    <w:t>3</w:t>
                  </w:r>
                </w:p>
              </w:tc>
              <w:tc>
                <w:tcPr>
                  <w:tcW w:w="1786" w:type="pct"/>
                  <w:tcBorders>
                    <w:tl2br w:val="nil"/>
                    <w:tr2bl w:val="nil"/>
                  </w:tcBorders>
                  <w:shd w:val="clear" w:color="auto" w:fill="auto"/>
                  <w:vAlign w:val="center"/>
                </w:tcPr>
                <w:p w14:paraId="07F67C3D">
                  <w:pPr>
                    <w:keepNext w:val="0"/>
                    <w:keepLines w:val="0"/>
                    <w:pageBreakBefore w:val="0"/>
                    <w:widowControl/>
                    <w:kinsoku/>
                    <w:wordWrap/>
                    <w:overflowPunct/>
                    <w:topLinePunct w:val="0"/>
                    <w:autoSpaceDE/>
                    <w:autoSpaceDN/>
                    <w:bidi w:val="0"/>
                    <w:adjustRightInd w:val="0"/>
                    <w:snapToGrid w:val="0"/>
                    <w:ind w:firstLine="0" w:firstLineChars="0"/>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sz w:val="21"/>
                      <w:szCs w:val="21"/>
                      <w:u w:val="none"/>
                      <w:lang w:eastAsia="zh-CN"/>
                    </w:rPr>
                    <w:t>氮氧化物</w:t>
                  </w:r>
                </w:p>
              </w:tc>
              <w:tc>
                <w:tcPr>
                  <w:tcW w:w="4345" w:type="dxa"/>
                  <w:tcBorders>
                    <w:tl2br w:val="nil"/>
                    <w:tr2bl w:val="nil"/>
                  </w:tcBorders>
                  <w:vAlign w:val="center"/>
                </w:tcPr>
                <w:p w14:paraId="58CAA760">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none"/>
                      <w:lang w:val="en-US"/>
                    </w:rPr>
                  </w:pPr>
                  <w:r>
                    <w:rPr>
                      <w:rFonts w:hint="eastAsia" w:ascii="Times New Roman" w:hAnsi="Times New Roman" w:cs="Times New Roman"/>
                      <w:sz w:val="21"/>
                      <w:szCs w:val="21"/>
                      <w:u w:val="none"/>
                      <w:lang w:val="en-US" w:eastAsia="zh-CN"/>
                    </w:rPr>
                    <w:t>0.0964</w:t>
                  </w:r>
                </w:p>
              </w:tc>
            </w:tr>
          </w:tbl>
          <w:p w14:paraId="6896D59E">
            <w:pPr>
              <w:tabs>
                <w:tab w:val="left" w:pos="6090"/>
              </w:tabs>
              <w:spacing w:line="360" w:lineRule="auto"/>
              <w:ind w:firstLine="480" w:firstLineChars="200"/>
              <w:rPr>
                <w:rFonts w:hint="default" w:ascii="Times New Roman" w:hAnsi="Times New Roman" w:cs="Times New Roman"/>
                <w:kern w:val="0"/>
                <w:sz w:val="24"/>
                <w:szCs w:val="24"/>
                <w:u w:val="none"/>
              </w:rPr>
            </w:pPr>
            <w:r>
              <w:rPr>
                <w:rFonts w:hint="default" w:ascii="Times New Roman" w:hAnsi="Times New Roman" w:cs="Times New Roman"/>
                <w:kern w:val="0"/>
                <w:sz w:val="24"/>
                <w:szCs w:val="24"/>
                <w:u w:val="none"/>
              </w:rPr>
              <w:t>项目所在区域为达标区，项目周边最近环境保护目标位于厂界外东侧约</w:t>
            </w:r>
            <w:r>
              <w:rPr>
                <w:rFonts w:hint="eastAsia" w:ascii="Times New Roman" w:hAnsi="Times New Roman" w:cs="Times New Roman"/>
                <w:kern w:val="0"/>
                <w:sz w:val="24"/>
                <w:szCs w:val="24"/>
                <w:u w:val="none"/>
                <w:lang w:val="en-US" w:eastAsia="zh-CN"/>
              </w:rPr>
              <w:t>80</w:t>
            </w:r>
            <w:r>
              <w:rPr>
                <w:rFonts w:hint="default" w:ascii="Times New Roman" w:hAnsi="Times New Roman" w:cs="Times New Roman"/>
                <w:kern w:val="0"/>
                <w:sz w:val="24"/>
                <w:szCs w:val="24"/>
                <w:u w:val="none"/>
              </w:rPr>
              <w:t>m处，运营期</w:t>
            </w:r>
            <w:r>
              <w:rPr>
                <w:rFonts w:hint="default" w:ascii="Times New Roman" w:hAnsi="Times New Roman" w:cs="Times New Roman"/>
                <w:sz w:val="24"/>
                <w:szCs w:val="24"/>
                <w:u w:val="none"/>
              </w:rPr>
              <w:t>输送、运输产生的颗粒物</w:t>
            </w:r>
            <w:r>
              <w:rPr>
                <w:rFonts w:hint="default" w:ascii="Times New Roman" w:hAnsi="Times New Roman" w:cs="Times New Roman"/>
                <w:kern w:val="0"/>
                <w:sz w:val="24"/>
                <w:szCs w:val="24"/>
                <w:u w:val="none"/>
              </w:rPr>
              <w:t>无组织排放</w:t>
            </w:r>
            <w:r>
              <w:rPr>
                <w:rFonts w:hint="default" w:ascii="Times New Roman" w:hAnsi="Times New Roman" w:cs="Times New Roman"/>
                <w:sz w:val="24"/>
                <w:szCs w:val="24"/>
                <w:u w:val="none"/>
              </w:rPr>
              <w:t>，石子、沙子堆放区扬尘设</w:t>
            </w:r>
            <w:r>
              <w:rPr>
                <w:rFonts w:hint="default" w:ascii="Times New Roman" w:hAnsi="Times New Roman" w:cs="Times New Roman"/>
                <w:sz w:val="24"/>
                <w:szCs w:val="24"/>
                <w:u w:val="none"/>
                <w:lang w:val="en-US" w:eastAsia="zh-CN"/>
              </w:rPr>
              <w:t>三面</w:t>
            </w:r>
            <w:r>
              <w:rPr>
                <w:rFonts w:hint="default" w:ascii="Times New Roman" w:hAnsi="Times New Roman" w:cs="Times New Roman"/>
                <w:sz w:val="24"/>
                <w:szCs w:val="24"/>
                <w:u w:val="none"/>
              </w:rPr>
              <w:t>围挡</w:t>
            </w:r>
            <w:r>
              <w:rPr>
                <w:rFonts w:hint="default" w:ascii="Times New Roman" w:hAnsi="Times New Roman" w:cs="Times New Roman"/>
                <w:sz w:val="24"/>
                <w:szCs w:val="24"/>
                <w:u w:val="none"/>
                <w:lang w:val="en-US" w:eastAsia="zh-CN"/>
              </w:rPr>
              <w:t>+</w:t>
            </w:r>
            <w:r>
              <w:rPr>
                <w:rFonts w:hint="default" w:ascii="Times New Roman" w:hAnsi="Times New Roman" w:cs="Times New Roman"/>
                <w:sz w:val="24"/>
                <w:szCs w:val="24"/>
                <w:u w:val="none"/>
              </w:rPr>
              <w:t>顶棚、洒水降尘后</w:t>
            </w:r>
            <w:r>
              <w:rPr>
                <w:rFonts w:hint="default" w:ascii="Times New Roman" w:hAnsi="Times New Roman" w:cs="Times New Roman"/>
                <w:kern w:val="0"/>
                <w:sz w:val="24"/>
                <w:szCs w:val="24"/>
                <w:u w:val="none"/>
              </w:rPr>
              <w:t>无组织排放</w:t>
            </w:r>
            <w:r>
              <w:rPr>
                <w:rFonts w:hint="default" w:ascii="Times New Roman" w:hAnsi="Times New Roman" w:cs="Times New Roman"/>
                <w:sz w:val="24"/>
                <w:szCs w:val="24"/>
                <w:u w:val="none"/>
                <w:lang w:eastAsia="zh-CN"/>
              </w:rPr>
              <w:t>，</w:t>
            </w:r>
            <w:r>
              <w:rPr>
                <w:rFonts w:hint="default" w:ascii="Times New Roman" w:hAnsi="Times New Roman" w:cs="Times New Roman"/>
                <w:sz w:val="24"/>
                <w:szCs w:val="24"/>
                <w:u w:val="none"/>
              </w:rPr>
              <w:t>筒仓产生的颗粒物通过自带滤芯收尘设施处理后</w:t>
            </w:r>
            <w:r>
              <w:rPr>
                <w:rFonts w:hint="default" w:ascii="Times New Roman" w:hAnsi="Times New Roman" w:cs="Times New Roman"/>
                <w:kern w:val="0"/>
                <w:sz w:val="24"/>
                <w:szCs w:val="24"/>
                <w:u w:val="none"/>
              </w:rPr>
              <w:t>无组织排放，</w:t>
            </w:r>
            <w:r>
              <w:rPr>
                <w:rFonts w:hint="default" w:ascii="Times New Roman" w:hAnsi="Times New Roman" w:cs="Times New Roman"/>
                <w:sz w:val="24"/>
                <w:szCs w:val="24"/>
                <w:u w:val="none"/>
              </w:rPr>
              <w:t>搅拌产生的颗粒物经布袋除尘器处理后</w:t>
            </w:r>
            <w:r>
              <w:rPr>
                <w:rFonts w:hint="default" w:ascii="Times New Roman" w:hAnsi="Times New Roman" w:cs="Times New Roman"/>
                <w:kern w:val="0"/>
                <w:sz w:val="24"/>
                <w:szCs w:val="24"/>
                <w:u w:val="none"/>
              </w:rPr>
              <w:t>无组织排放</w:t>
            </w:r>
            <w:r>
              <w:rPr>
                <w:rFonts w:hint="default" w:ascii="Times New Roman" w:hAnsi="Times New Roman" w:cs="Times New Roman"/>
                <w:sz w:val="24"/>
                <w:szCs w:val="24"/>
                <w:u w:val="none"/>
              </w:rPr>
              <w:t>，焊接产生的颗粒物经移动式焊接烟尘净化器处理后</w:t>
            </w:r>
            <w:r>
              <w:rPr>
                <w:rFonts w:hint="default" w:ascii="Times New Roman" w:hAnsi="Times New Roman" w:cs="Times New Roman"/>
                <w:kern w:val="0"/>
                <w:sz w:val="24"/>
                <w:szCs w:val="24"/>
                <w:u w:val="none"/>
              </w:rPr>
              <w:t>无组织排放，</w:t>
            </w:r>
            <w:r>
              <w:rPr>
                <w:rFonts w:hint="default" w:ascii="Times New Roman" w:hAnsi="Times New Roman" w:cs="Times New Roman"/>
                <w:kern w:val="0"/>
                <w:sz w:val="24"/>
                <w:szCs w:val="24"/>
                <w:u w:val="none"/>
                <w:lang w:val="en-US" w:eastAsia="zh-CN"/>
              </w:rPr>
              <w:t>石子、沙子堆放区扬尘、</w:t>
            </w:r>
            <w:r>
              <w:rPr>
                <w:rFonts w:hint="default" w:ascii="Times New Roman" w:hAnsi="Times New Roman" w:cs="Times New Roman"/>
                <w:kern w:val="0"/>
                <w:sz w:val="24"/>
                <w:szCs w:val="24"/>
                <w:u w:val="none"/>
              </w:rPr>
              <w:t>筒仓粉尘、搅拌粉尘、焊接烟尘总排放量为</w:t>
            </w:r>
            <w:r>
              <w:rPr>
                <w:rFonts w:hint="eastAsia" w:ascii="Times New Roman" w:hAnsi="Times New Roman" w:cs="Times New Roman"/>
                <w:kern w:val="0"/>
                <w:sz w:val="24"/>
                <w:szCs w:val="24"/>
                <w:u w:val="none"/>
                <w:lang w:val="en-US" w:eastAsia="zh-CN"/>
              </w:rPr>
              <w:t>0.921</w:t>
            </w:r>
            <w:r>
              <w:rPr>
                <w:rFonts w:hint="default" w:ascii="Times New Roman" w:hAnsi="Times New Roman" w:cs="Times New Roman"/>
                <w:sz w:val="24"/>
                <w:szCs w:val="24"/>
                <w:u w:val="none"/>
              </w:rPr>
              <w:t>t/a</w:t>
            </w:r>
            <w:r>
              <w:rPr>
                <w:rFonts w:hint="default" w:ascii="Times New Roman" w:hAnsi="Times New Roman" w:cs="Times New Roman"/>
                <w:kern w:val="0"/>
                <w:sz w:val="24"/>
                <w:szCs w:val="24"/>
                <w:u w:val="none"/>
              </w:rPr>
              <w:t>，厂界满足《水泥工业大气污染物排放标准》（GB4915-2013）的表3浓度排放限值0.5mg/m</w:t>
            </w:r>
            <w:r>
              <w:rPr>
                <w:rFonts w:hint="default" w:ascii="Times New Roman" w:hAnsi="Times New Roman" w:cs="Times New Roman"/>
                <w:kern w:val="0"/>
                <w:sz w:val="24"/>
                <w:szCs w:val="24"/>
                <w:u w:val="none"/>
                <w:vertAlign w:val="superscript"/>
              </w:rPr>
              <w:t>3</w:t>
            </w:r>
            <w:r>
              <w:rPr>
                <w:rFonts w:hint="default" w:ascii="Times New Roman" w:hAnsi="Times New Roman" w:cs="Times New Roman"/>
                <w:kern w:val="0"/>
                <w:sz w:val="24"/>
                <w:szCs w:val="24"/>
                <w:u w:val="none"/>
                <w:lang w:val="en-US" w:eastAsia="zh-CN"/>
              </w:rPr>
              <w:t>及</w:t>
            </w:r>
            <w:r>
              <w:rPr>
                <w:rFonts w:hint="default" w:ascii="Times New Roman" w:hAnsi="Times New Roman" w:cs="Times New Roman"/>
                <w:kern w:val="0"/>
                <w:sz w:val="24"/>
                <w:szCs w:val="24"/>
                <w:u w:val="none"/>
              </w:rPr>
              <w:t>《大气污染物综合排放标准》（GB 16297-1996）表2浓度限值</w:t>
            </w:r>
            <w:r>
              <w:rPr>
                <w:rFonts w:hint="default" w:ascii="Times New Roman" w:hAnsi="Times New Roman" w:cs="Times New Roman"/>
                <w:kern w:val="0"/>
                <w:sz w:val="24"/>
                <w:szCs w:val="24"/>
                <w:u w:val="none"/>
                <w:lang w:val="en-US" w:eastAsia="zh-CN"/>
              </w:rPr>
              <w:t>1</w:t>
            </w:r>
            <w:r>
              <w:rPr>
                <w:rFonts w:hint="default" w:ascii="Times New Roman" w:hAnsi="Times New Roman" w:cs="Times New Roman"/>
                <w:kern w:val="0"/>
                <w:sz w:val="24"/>
                <w:szCs w:val="24"/>
                <w:u w:val="none"/>
              </w:rPr>
              <w:t>mg/m</w:t>
            </w:r>
            <w:r>
              <w:rPr>
                <w:rFonts w:hint="default" w:ascii="Times New Roman" w:hAnsi="Times New Roman" w:cs="Times New Roman"/>
                <w:kern w:val="0"/>
                <w:sz w:val="24"/>
                <w:szCs w:val="24"/>
                <w:u w:val="none"/>
                <w:vertAlign w:val="superscript"/>
              </w:rPr>
              <w:t>3</w:t>
            </w:r>
            <w:r>
              <w:rPr>
                <w:rFonts w:hint="default" w:ascii="Times New Roman" w:hAnsi="Times New Roman" w:cs="Times New Roman"/>
                <w:kern w:val="0"/>
                <w:sz w:val="24"/>
                <w:szCs w:val="24"/>
                <w:u w:val="none"/>
              </w:rPr>
              <w:t>。综上所述，本项目废气环保措施可行，对周边大气环境影响较小。</w:t>
            </w:r>
          </w:p>
          <w:p w14:paraId="134E6ECE">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4"/>
                <w:u w:val="single"/>
                <w:lang w:val="en-US" w:eastAsia="zh-CN"/>
              </w:rPr>
            </w:pPr>
            <w:r>
              <w:rPr>
                <w:rFonts w:hint="eastAsia" w:ascii="Times New Roman" w:hAnsi="Times New Roman" w:cs="Times New Roman"/>
                <w:b/>
                <w:bCs/>
                <w:sz w:val="24"/>
                <w:szCs w:val="24"/>
                <w:u w:val="single"/>
                <w:lang w:val="en-US" w:eastAsia="zh-CN"/>
              </w:rPr>
              <w:t>4.1.3非正常工况排放</w:t>
            </w:r>
          </w:p>
          <w:p w14:paraId="06CA119F">
            <w:pPr>
              <w:pStyle w:val="173"/>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color w:val="000000"/>
                <w:highlight w:val="none"/>
                <w:u w:val="single"/>
              </w:rPr>
            </w:pPr>
            <w:r>
              <w:rPr>
                <w:rFonts w:hint="default" w:ascii="Times New Roman" w:hAnsi="Times New Roman" w:cs="Times New Roman"/>
                <w:color w:val="000000"/>
                <w:highlight w:val="none"/>
                <w:u w:val="single"/>
              </w:rPr>
              <w:t>因工作人员工作失误，使废气环保措施故障或未启动，导致废气未经处理直接排放至项目所在区域大气环境。</w:t>
            </w:r>
          </w:p>
          <w:p w14:paraId="66206FFE">
            <w:pPr>
              <w:pStyle w:val="173"/>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Times New Roman" w:hAnsi="Times New Roman" w:cs="Times New Roman"/>
                <w:color w:val="000000"/>
                <w:highlight w:val="none"/>
                <w:u w:val="single"/>
              </w:rPr>
            </w:pPr>
            <w:r>
              <w:rPr>
                <w:rFonts w:hint="default" w:ascii="Times New Roman" w:hAnsi="Times New Roman" w:cs="Times New Roman"/>
                <w:color w:val="000000"/>
                <w:highlight w:val="none"/>
                <w:u w:val="single"/>
              </w:rPr>
              <w:t>本项目废气非正常排放情况见表4-</w:t>
            </w:r>
            <w:r>
              <w:rPr>
                <w:rFonts w:hint="eastAsia" w:ascii="Times New Roman" w:hAnsi="Times New Roman" w:cs="Times New Roman"/>
                <w:color w:val="000000"/>
                <w:highlight w:val="none"/>
                <w:u w:val="single"/>
                <w:lang w:val="en-US" w:eastAsia="zh-CN"/>
              </w:rPr>
              <w:t>5</w:t>
            </w:r>
            <w:r>
              <w:rPr>
                <w:rFonts w:hint="default" w:ascii="Times New Roman" w:hAnsi="Times New Roman" w:cs="Times New Roman"/>
                <w:color w:val="000000"/>
                <w:highlight w:val="none"/>
                <w:u w:val="single"/>
              </w:rPr>
              <w:t>。</w:t>
            </w:r>
          </w:p>
          <w:p w14:paraId="109DDB5E">
            <w:pPr>
              <w:pStyle w:val="176"/>
              <w:keepNext w:val="0"/>
              <w:keepLines w:val="0"/>
              <w:pageBreakBefore w:val="0"/>
              <w:widowControl/>
              <w:kinsoku/>
              <w:wordWrap/>
              <w:overflowPunct/>
              <w:topLinePunct w:val="0"/>
              <w:autoSpaceDE/>
              <w:autoSpaceDN/>
              <w:bidi w:val="0"/>
              <w:adjustRightInd/>
              <w:snapToGrid/>
              <w:spacing w:before="0" w:beforeLines="0" w:line="360" w:lineRule="auto"/>
              <w:textAlignment w:val="auto"/>
              <w:rPr>
                <w:rFonts w:hint="eastAsia" w:ascii="Times New Roman" w:hAnsi="Times New Roman" w:eastAsia="宋体" w:cs="Times New Roman"/>
                <w:color w:val="000000"/>
                <w:highlight w:val="none"/>
                <w:u w:val="single"/>
                <w:lang w:val="en-US" w:eastAsia="zh-CN"/>
              </w:rPr>
            </w:pPr>
            <w:r>
              <w:rPr>
                <w:rFonts w:hint="default" w:ascii="Times New Roman" w:hAnsi="Times New Roman" w:cs="Times New Roman"/>
                <w:color w:val="000000"/>
                <w:highlight w:val="none"/>
                <w:u w:val="single"/>
              </w:rPr>
              <w:t>表4-</w:t>
            </w:r>
            <w:r>
              <w:rPr>
                <w:rFonts w:hint="eastAsia" w:ascii="Times New Roman" w:hAnsi="Times New Roman" w:cs="Times New Roman"/>
                <w:color w:val="000000"/>
                <w:highlight w:val="none"/>
                <w:u w:val="single"/>
                <w:lang w:val="en-US" w:eastAsia="zh-CN"/>
              </w:rPr>
              <w:t>5</w:t>
            </w:r>
            <w:r>
              <w:rPr>
                <w:rFonts w:hint="default" w:ascii="Times New Roman" w:hAnsi="Times New Roman" w:cs="Times New Roman"/>
                <w:color w:val="000000"/>
                <w:highlight w:val="none"/>
                <w:u w:val="single"/>
              </w:rPr>
              <w:t xml:space="preserve">  废气非正常排放情况</w:t>
            </w:r>
            <w:r>
              <w:rPr>
                <w:rFonts w:hint="eastAsia" w:ascii="Times New Roman" w:hAnsi="Times New Roman" w:cs="Times New Roman"/>
                <w:color w:val="000000"/>
                <w:highlight w:val="none"/>
                <w:u w:val="single"/>
                <w:lang w:val="en-US" w:eastAsia="zh-CN"/>
              </w:rPr>
              <w:t xml:space="preserve"> </w:t>
            </w:r>
          </w:p>
          <w:tbl>
            <w:tblPr>
              <w:tblStyle w:val="39"/>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1204"/>
              <w:gridCol w:w="1377"/>
              <w:gridCol w:w="664"/>
              <w:gridCol w:w="939"/>
              <w:gridCol w:w="830"/>
              <w:gridCol w:w="1304"/>
              <w:gridCol w:w="959"/>
              <w:gridCol w:w="952"/>
            </w:tblGrid>
            <w:tr w14:paraId="78EEDB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pct"/>
                  <w:vMerge w:val="restart"/>
                  <w:tcBorders>
                    <w:tl2br w:val="nil"/>
                    <w:tr2bl w:val="nil"/>
                  </w:tcBorders>
                  <w:noWrap w:val="0"/>
                  <w:vAlign w:val="center"/>
                </w:tcPr>
                <w:p w14:paraId="6AA475C9">
                  <w:pPr>
                    <w:pStyle w:val="174"/>
                    <w:rPr>
                      <w:rFonts w:hint="default" w:ascii="Times New Roman" w:hAnsi="Times New Roman" w:cs="Times New Roman"/>
                      <w:color w:val="000000"/>
                      <w:sz w:val="21"/>
                      <w:szCs w:val="21"/>
                      <w:highlight w:val="none"/>
                      <w:u w:val="single"/>
                    </w:rPr>
                  </w:pPr>
                  <w:r>
                    <w:rPr>
                      <w:rFonts w:hint="default" w:ascii="Times New Roman" w:hAnsi="Times New Roman" w:cs="Times New Roman"/>
                      <w:color w:val="000000"/>
                      <w:sz w:val="21"/>
                      <w:szCs w:val="21"/>
                      <w:highlight w:val="none"/>
                      <w:u w:val="single"/>
                    </w:rPr>
                    <w:t>非正常排放源</w:t>
                  </w:r>
                </w:p>
              </w:tc>
              <w:tc>
                <w:tcPr>
                  <w:tcW w:w="660" w:type="pct"/>
                  <w:vMerge w:val="restart"/>
                  <w:tcBorders>
                    <w:tl2br w:val="nil"/>
                    <w:tr2bl w:val="nil"/>
                  </w:tcBorders>
                  <w:noWrap w:val="0"/>
                  <w:vAlign w:val="center"/>
                </w:tcPr>
                <w:p w14:paraId="76CB3A9B">
                  <w:pPr>
                    <w:pStyle w:val="174"/>
                    <w:rPr>
                      <w:rFonts w:hint="default" w:ascii="Times New Roman" w:hAnsi="Times New Roman" w:cs="Times New Roman"/>
                      <w:color w:val="000000"/>
                      <w:sz w:val="21"/>
                      <w:szCs w:val="21"/>
                      <w:highlight w:val="none"/>
                      <w:u w:val="single"/>
                    </w:rPr>
                  </w:pPr>
                  <w:r>
                    <w:rPr>
                      <w:rFonts w:hint="default" w:ascii="Times New Roman" w:hAnsi="Times New Roman" w:cs="Times New Roman"/>
                      <w:color w:val="000000"/>
                      <w:sz w:val="21"/>
                      <w:szCs w:val="21"/>
                      <w:highlight w:val="none"/>
                      <w:u w:val="single"/>
                    </w:rPr>
                    <w:t>非正常排放原因</w:t>
                  </w:r>
                </w:p>
              </w:tc>
              <w:tc>
                <w:tcPr>
                  <w:tcW w:w="755" w:type="pct"/>
                  <w:vMerge w:val="restart"/>
                  <w:tcBorders>
                    <w:tl2br w:val="nil"/>
                    <w:tr2bl w:val="nil"/>
                  </w:tcBorders>
                  <w:noWrap w:val="0"/>
                  <w:vAlign w:val="center"/>
                </w:tcPr>
                <w:p w14:paraId="50C91064">
                  <w:pPr>
                    <w:pStyle w:val="174"/>
                    <w:rPr>
                      <w:rFonts w:hint="default" w:ascii="Times New Roman" w:hAnsi="Times New Roman" w:cs="Times New Roman"/>
                      <w:color w:val="000000"/>
                      <w:sz w:val="21"/>
                      <w:szCs w:val="21"/>
                      <w:highlight w:val="none"/>
                      <w:u w:val="single"/>
                    </w:rPr>
                  </w:pPr>
                  <w:r>
                    <w:rPr>
                      <w:rFonts w:hint="default" w:ascii="Times New Roman" w:hAnsi="Times New Roman" w:cs="Times New Roman"/>
                      <w:color w:val="000000"/>
                      <w:sz w:val="21"/>
                      <w:szCs w:val="21"/>
                      <w:highlight w:val="none"/>
                      <w:u w:val="single"/>
                    </w:rPr>
                    <w:t>污染物</w:t>
                  </w:r>
                </w:p>
              </w:tc>
              <w:tc>
                <w:tcPr>
                  <w:tcW w:w="364" w:type="pct"/>
                  <w:vMerge w:val="restart"/>
                  <w:tcBorders>
                    <w:tl2br w:val="nil"/>
                    <w:tr2bl w:val="nil"/>
                  </w:tcBorders>
                  <w:noWrap w:val="0"/>
                  <w:vAlign w:val="center"/>
                </w:tcPr>
                <w:p w14:paraId="0943D5AE">
                  <w:pPr>
                    <w:pStyle w:val="174"/>
                    <w:rPr>
                      <w:rFonts w:hint="default" w:ascii="Times New Roman" w:hAnsi="Times New Roman" w:cs="Times New Roman"/>
                      <w:color w:val="000000"/>
                      <w:sz w:val="21"/>
                      <w:szCs w:val="21"/>
                      <w:highlight w:val="none"/>
                      <w:u w:val="single"/>
                    </w:rPr>
                  </w:pPr>
                  <w:r>
                    <w:rPr>
                      <w:rFonts w:hint="default" w:ascii="Times New Roman" w:hAnsi="Times New Roman" w:cs="Times New Roman"/>
                      <w:color w:val="000000"/>
                      <w:sz w:val="21"/>
                      <w:szCs w:val="21"/>
                      <w:highlight w:val="none"/>
                      <w:u w:val="single"/>
                    </w:rPr>
                    <w:t>处理效率</w:t>
                  </w:r>
                </w:p>
              </w:tc>
              <w:tc>
                <w:tcPr>
                  <w:tcW w:w="1685" w:type="pct"/>
                  <w:gridSpan w:val="3"/>
                  <w:tcBorders>
                    <w:tl2br w:val="nil"/>
                    <w:tr2bl w:val="nil"/>
                  </w:tcBorders>
                  <w:noWrap w:val="0"/>
                  <w:vAlign w:val="center"/>
                </w:tcPr>
                <w:p w14:paraId="5CA20F9B">
                  <w:pPr>
                    <w:pStyle w:val="174"/>
                    <w:rPr>
                      <w:rFonts w:hint="default" w:ascii="Times New Roman" w:hAnsi="Times New Roman" w:cs="Times New Roman"/>
                      <w:color w:val="000000"/>
                      <w:sz w:val="21"/>
                      <w:szCs w:val="21"/>
                      <w:highlight w:val="none"/>
                      <w:u w:val="single"/>
                    </w:rPr>
                  </w:pPr>
                  <w:r>
                    <w:rPr>
                      <w:rFonts w:hint="default" w:ascii="Times New Roman" w:hAnsi="Times New Roman" w:cs="Times New Roman"/>
                      <w:color w:val="000000"/>
                      <w:sz w:val="21"/>
                      <w:szCs w:val="21"/>
                      <w:highlight w:val="none"/>
                      <w:u w:val="single"/>
                    </w:rPr>
                    <w:t>非正常排放情况</w:t>
                  </w:r>
                </w:p>
              </w:tc>
              <w:tc>
                <w:tcPr>
                  <w:tcW w:w="526" w:type="pct"/>
                  <w:vMerge w:val="restart"/>
                  <w:tcBorders>
                    <w:tl2br w:val="nil"/>
                    <w:tr2bl w:val="nil"/>
                  </w:tcBorders>
                  <w:noWrap w:val="0"/>
                  <w:vAlign w:val="center"/>
                </w:tcPr>
                <w:p w14:paraId="082EE9BF">
                  <w:pPr>
                    <w:pStyle w:val="174"/>
                    <w:rPr>
                      <w:rFonts w:hint="default" w:ascii="Times New Roman" w:hAnsi="Times New Roman" w:cs="Times New Roman"/>
                      <w:color w:val="000000"/>
                      <w:sz w:val="21"/>
                      <w:szCs w:val="21"/>
                      <w:highlight w:val="none"/>
                      <w:u w:val="single"/>
                    </w:rPr>
                  </w:pPr>
                  <w:r>
                    <w:rPr>
                      <w:rFonts w:hint="default" w:ascii="Times New Roman" w:hAnsi="Times New Roman" w:cs="Times New Roman"/>
                      <w:color w:val="000000"/>
                      <w:sz w:val="21"/>
                      <w:szCs w:val="21"/>
                      <w:highlight w:val="none"/>
                      <w:u w:val="single"/>
                    </w:rPr>
                    <w:t>单次持续时间/h</w:t>
                  </w:r>
                </w:p>
              </w:tc>
              <w:tc>
                <w:tcPr>
                  <w:tcW w:w="522" w:type="pct"/>
                  <w:vMerge w:val="restart"/>
                  <w:tcBorders>
                    <w:tl2br w:val="nil"/>
                    <w:tr2bl w:val="nil"/>
                  </w:tcBorders>
                  <w:noWrap w:val="0"/>
                  <w:vAlign w:val="center"/>
                </w:tcPr>
                <w:p w14:paraId="0F7BE454">
                  <w:pPr>
                    <w:pStyle w:val="174"/>
                    <w:rPr>
                      <w:rFonts w:hint="default" w:ascii="Times New Roman" w:hAnsi="Times New Roman" w:cs="Times New Roman"/>
                      <w:color w:val="000000"/>
                      <w:sz w:val="21"/>
                      <w:szCs w:val="21"/>
                      <w:highlight w:val="none"/>
                      <w:u w:val="single"/>
                    </w:rPr>
                  </w:pPr>
                  <w:r>
                    <w:rPr>
                      <w:rFonts w:hint="default" w:ascii="Times New Roman" w:hAnsi="Times New Roman" w:cs="Times New Roman"/>
                      <w:color w:val="000000"/>
                      <w:sz w:val="21"/>
                      <w:szCs w:val="21"/>
                      <w:highlight w:val="none"/>
                      <w:u w:val="single"/>
                    </w:rPr>
                    <w:t>年发生频次/年</w:t>
                  </w:r>
                </w:p>
              </w:tc>
            </w:tr>
            <w:tr w14:paraId="5B646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pct"/>
                  <w:vMerge w:val="continue"/>
                  <w:tcBorders>
                    <w:tl2br w:val="nil"/>
                    <w:tr2bl w:val="nil"/>
                  </w:tcBorders>
                  <w:noWrap w:val="0"/>
                  <w:vAlign w:val="center"/>
                </w:tcPr>
                <w:p w14:paraId="25065437">
                  <w:pPr>
                    <w:pStyle w:val="174"/>
                    <w:rPr>
                      <w:rFonts w:hint="default" w:ascii="Times New Roman" w:hAnsi="Times New Roman" w:cs="Times New Roman"/>
                      <w:color w:val="000000"/>
                      <w:sz w:val="21"/>
                      <w:szCs w:val="21"/>
                      <w:highlight w:val="none"/>
                      <w:u w:val="single"/>
                    </w:rPr>
                  </w:pPr>
                </w:p>
              </w:tc>
              <w:tc>
                <w:tcPr>
                  <w:tcW w:w="660" w:type="pct"/>
                  <w:vMerge w:val="continue"/>
                  <w:tcBorders>
                    <w:tl2br w:val="nil"/>
                    <w:tr2bl w:val="nil"/>
                  </w:tcBorders>
                  <w:noWrap w:val="0"/>
                  <w:vAlign w:val="center"/>
                </w:tcPr>
                <w:p w14:paraId="1D6684C4">
                  <w:pPr>
                    <w:pStyle w:val="174"/>
                    <w:rPr>
                      <w:rFonts w:hint="default" w:ascii="Times New Roman" w:hAnsi="Times New Roman" w:cs="Times New Roman"/>
                      <w:color w:val="000000"/>
                      <w:sz w:val="21"/>
                      <w:szCs w:val="21"/>
                      <w:highlight w:val="none"/>
                      <w:u w:val="single"/>
                    </w:rPr>
                  </w:pPr>
                </w:p>
              </w:tc>
              <w:tc>
                <w:tcPr>
                  <w:tcW w:w="755" w:type="pct"/>
                  <w:vMerge w:val="continue"/>
                  <w:tcBorders>
                    <w:tl2br w:val="nil"/>
                    <w:tr2bl w:val="nil"/>
                  </w:tcBorders>
                  <w:noWrap w:val="0"/>
                  <w:vAlign w:val="center"/>
                </w:tcPr>
                <w:p w14:paraId="470B9EEC">
                  <w:pPr>
                    <w:pStyle w:val="174"/>
                    <w:rPr>
                      <w:rFonts w:hint="default" w:ascii="Times New Roman" w:hAnsi="Times New Roman" w:cs="Times New Roman"/>
                      <w:color w:val="000000"/>
                      <w:sz w:val="21"/>
                      <w:szCs w:val="21"/>
                      <w:highlight w:val="none"/>
                      <w:u w:val="single"/>
                    </w:rPr>
                  </w:pPr>
                </w:p>
              </w:tc>
              <w:tc>
                <w:tcPr>
                  <w:tcW w:w="364" w:type="pct"/>
                  <w:vMerge w:val="continue"/>
                  <w:tcBorders>
                    <w:tl2br w:val="nil"/>
                    <w:tr2bl w:val="nil"/>
                  </w:tcBorders>
                  <w:noWrap w:val="0"/>
                  <w:vAlign w:val="center"/>
                </w:tcPr>
                <w:p w14:paraId="5D92D88F">
                  <w:pPr>
                    <w:pStyle w:val="174"/>
                    <w:rPr>
                      <w:rFonts w:hint="default" w:ascii="Times New Roman" w:hAnsi="Times New Roman" w:cs="Times New Roman"/>
                      <w:color w:val="000000"/>
                      <w:sz w:val="21"/>
                      <w:szCs w:val="21"/>
                      <w:highlight w:val="none"/>
                      <w:u w:val="single"/>
                    </w:rPr>
                  </w:pPr>
                </w:p>
              </w:tc>
              <w:tc>
                <w:tcPr>
                  <w:tcW w:w="970" w:type="pct"/>
                  <w:gridSpan w:val="2"/>
                  <w:tcBorders>
                    <w:tl2br w:val="nil"/>
                    <w:tr2bl w:val="nil"/>
                  </w:tcBorders>
                  <w:noWrap w:val="0"/>
                  <w:vAlign w:val="center"/>
                </w:tcPr>
                <w:p w14:paraId="6554C618">
                  <w:pPr>
                    <w:pStyle w:val="174"/>
                    <w:rPr>
                      <w:rFonts w:hint="default" w:ascii="Times New Roman" w:hAnsi="Times New Roman" w:cs="Times New Roman"/>
                      <w:color w:val="000000"/>
                      <w:sz w:val="21"/>
                      <w:szCs w:val="21"/>
                      <w:highlight w:val="none"/>
                      <w:u w:val="single"/>
                    </w:rPr>
                  </w:pPr>
                  <w:r>
                    <w:rPr>
                      <w:rFonts w:hint="default" w:ascii="Times New Roman" w:hAnsi="Times New Roman" w:cs="Times New Roman"/>
                      <w:color w:val="000000"/>
                      <w:sz w:val="21"/>
                      <w:szCs w:val="21"/>
                      <w:highlight w:val="none"/>
                      <w:u w:val="single"/>
                    </w:rPr>
                    <w:t>排放量</w:t>
                  </w:r>
                </w:p>
              </w:tc>
              <w:tc>
                <w:tcPr>
                  <w:tcW w:w="714" w:type="pct"/>
                  <w:vMerge w:val="restart"/>
                  <w:tcBorders>
                    <w:tl2br w:val="nil"/>
                    <w:tr2bl w:val="nil"/>
                  </w:tcBorders>
                  <w:noWrap w:val="0"/>
                  <w:vAlign w:val="center"/>
                </w:tcPr>
                <w:p w14:paraId="24504539">
                  <w:pPr>
                    <w:pStyle w:val="174"/>
                    <w:rPr>
                      <w:rFonts w:hint="default" w:ascii="Times New Roman" w:hAnsi="Times New Roman" w:cs="Times New Roman"/>
                      <w:color w:val="000000"/>
                      <w:sz w:val="21"/>
                      <w:szCs w:val="21"/>
                      <w:highlight w:val="none"/>
                      <w:u w:val="single"/>
                    </w:rPr>
                  </w:pPr>
                  <w:r>
                    <w:rPr>
                      <w:rFonts w:hint="default" w:ascii="Times New Roman" w:hAnsi="Times New Roman" w:cs="Times New Roman"/>
                      <w:color w:val="000000"/>
                      <w:sz w:val="21"/>
                      <w:szCs w:val="21"/>
                      <w:highlight w:val="none"/>
                      <w:u w:val="single"/>
                    </w:rPr>
                    <w:t>排放浓度（mg/m</w:t>
                  </w:r>
                  <w:r>
                    <w:rPr>
                      <w:rFonts w:hint="default" w:ascii="Times New Roman" w:hAnsi="Times New Roman" w:cs="Times New Roman"/>
                      <w:color w:val="000000"/>
                      <w:sz w:val="21"/>
                      <w:szCs w:val="21"/>
                      <w:highlight w:val="none"/>
                      <w:u w:val="single"/>
                      <w:vertAlign w:val="superscript"/>
                    </w:rPr>
                    <w:t>3</w:t>
                  </w:r>
                  <w:r>
                    <w:rPr>
                      <w:rFonts w:hint="default" w:ascii="Times New Roman" w:hAnsi="Times New Roman" w:cs="Times New Roman"/>
                      <w:color w:val="000000"/>
                      <w:sz w:val="21"/>
                      <w:szCs w:val="21"/>
                      <w:highlight w:val="none"/>
                      <w:u w:val="single"/>
                    </w:rPr>
                    <w:t>）</w:t>
                  </w:r>
                </w:p>
              </w:tc>
              <w:tc>
                <w:tcPr>
                  <w:tcW w:w="526" w:type="pct"/>
                  <w:vMerge w:val="continue"/>
                  <w:tcBorders>
                    <w:tl2br w:val="nil"/>
                    <w:tr2bl w:val="nil"/>
                  </w:tcBorders>
                  <w:noWrap w:val="0"/>
                  <w:vAlign w:val="center"/>
                </w:tcPr>
                <w:p w14:paraId="08F88ED5">
                  <w:pPr>
                    <w:pStyle w:val="174"/>
                    <w:rPr>
                      <w:rFonts w:hint="default" w:ascii="Times New Roman" w:hAnsi="Times New Roman" w:cs="Times New Roman"/>
                      <w:color w:val="000000"/>
                      <w:sz w:val="21"/>
                      <w:szCs w:val="21"/>
                      <w:highlight w:val="none"/>
                      <w:u w:val="single"/>
                    </w:rPr>
                  </w:pPr>
                </w:p>
              </w:tc>
              <w:tc>
                <w:tcPr>
                  <w:tcW w:w="522" w:type="pct"/>
                  <w:vMerge w:val="continue"/>
                  <w:tcBorders>
                    <w:tl2br w:val="nil"/>
                    <w:tr2bl w:val="nil"/>
                  </w:tcBorders>
                  <w:noWrap w:val="0"/>
                  <w:vAlign w:val="center"/>
                </w:tcPr>
                <w:p w14:paraId="4A98B2F9">
                  <w:pPr>
                    <w:pStyle w:val="174"/>
                    <w:rPr>
                      <w:rFonts w:hint="default" w:ascii="Times New Roman" w:hAnsi="Times New Roman" w:cs="Times New Roman"/>
                      <w:color w:val="000000"/>
                      <w:sz w:val="21"/>
                      <w:szCs w:val="21"/>
                      <w:highlight w:val="none"/>
                      <w:u w:val="single"/>
                    </w:rPr>
                  </w:pPr>
                </w:p>
              </w:tc>
            </w:tr>
            <w:tr w14:paraId="2E7E3F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pct"/>
                  <w:vMerge w:val="continue"/>
                  <w:tcBorders>
                    <w:tl2br w:val="nil"/>
                    <w:tr2bl w:val="nil"/>
                  </w:tcBorders>
                  <w:noWrap w:val="0"/>
                  <w:vAlign w:val="center"/>
                </w:tcPr>
                <w:p w14:paraId="14DBD830">
                  <w:pPr>
                    <w:pStyle w:val="174"/>
                    <w:rPr>
                      <w:rFonts w:hint="default" w:ascii="Times New Roman" w:hAnsi="Times New Roman" w:cs="Times New Roman"/>
                      <w:color w:val="000000"/>
                      <w:sz w:val="21"/>
                      <w:szCs w:val="21"/>
                      <w:highlight w:val="none"/>
                      <w:u w:val="single"/>
                    </w:rPr>
                  </w:pPr>
                </w:p>
              </w:tc>
              <w:tc>
                <w:tcPr>
                  <w:tcW w:w="660" w:type="pct"/>
                  <w:vMerge w:val="continue"/>
                  <w:tcBorders>
                    <w:tl2br w:val="nil"/>
                    <w:tr2bl w:val="nil"/>
                  </w:tcBorders>
                  <w:noWrap w:val="0"/>
                  <w:vAlign w:val="center"/>
                </w:tcPr>
                <w:p w14:paraId="55A685E1">
                  <w:pPr>
                    <w:pStyle w:val="174"/>
                    <w:rPr>
                      <w:rFonts w:hint="default" w:ascii="Times New Roman" w:hAnsi="Times New Roman" w:cs="Times New Roman"/>
                      <w:color w:val="000000"/>
                      <w:sz w:val="21"/>
                      <w:szCs w:val="21"/>
                      <w:highlight w:val="none"/>
                      <w:u w:val="single"/>
                    </w:rPr>
                  </w:pPr>
                </w:p>
              </w:tc>
              <w:tc>
                <w:tcPr>
                  <w:tcW w:w="755" w:type="pct"/>
                  <w:vMerge w:val="continue"/>
                  <w:tcBorders>
                    <w:tl2br w:val="nil"/>
                    <w:tr2bl w:val="nil"/>
                  </w:tcBorders>
                  <w:noWrap w:val="0"/>
                  <w:vAlign w:val="center"/>
                </w:tcPr>
                <w:p w14:paraId="7E354AE6">
                  <w:pPr>
                    <w:pStyle w:val="174"/>
                    <w:rPr>
                      <w:rFonts w:hint="default" w:ascii="Times New Roman" w:hAnsi="Times New Roman" w:cs="Times New Roman"/>
                      <w:color w:val="000000"/>
                      <w:sz w:val="21"/>
                      <w:szCs w:val="21"/>
                      <w:highlight w:val="none"/>
                      <w:u w:val="single"/>
                    </w:rPr>
                  </w:pPr>
                </w:p>
              </w:tc>
              <w:tc>
                <w:tcPr>
                  <w:tcW w:w="364" w:type="pct"/>
                  <w:vMerge w:val="continue"/>
                  <w:tcBorders>
                    <w:tl2br w:val="nil"/>
                    <w:tr2bl w:val="nil"/>
                  </w:tcBorders>
                  <w:noWrap w:val="0"/>
                  <w:vAlign w:val="center"/>
                </w:tcPr>
                <w:p w14:paraId="505780EB">
                  <w:pPr>
                    <w:pStyle w:val="174"/>
                    <w:rPr>
                      <w:rFonts w:hint="default" w:ascii="Times New Roman" w:hAnsi="Times New Roman" w:cs="Times New Roman"/>
                      <w:color w:val="000000"/>
                      <w:sz w:val="21"/>
                      <w:szCs w:val="21"/>
                      <w:highlight w:val="none"/>
                      <w:u w:val="single"/>
                    </w:rPr>
                  </w:pPr>
                </w:p>
              </w:tc>
              <w:tc>
                <w:tcPr>
                  <w:tcW w:w="515" w:type="pct"/>
                  <w:tcBorders>
                    <w:tl2br w:val="nil"/>
                    <w:tr2bl w:val="nil"/>
                  </w:tcBorders>
                  <w:noWrap w:val="0"/>
                  <w:vAlign w:val="center"/>
                </w:tcPr>
                <w:p w14:paraId="458320AD">
                  <w:pPr>
                    <w:pStyle w:val="174"/>
                    <w:rPr>
                      <w:rFonts w:hint="default" w:ascii="Times New Roman" w:hAnsi="Times New Roman" w:cs="Times New Roman"/>
                      <w:color w:val="000000"/>
                      <w:sz w:val="21"/>
                      <w:szCs w:val="21"/>
                      <w:highlight w:val="none"/>
                      <w:u w:val="single"/>
                    </w:rPr>
                  </w:pPr>
                  <w:r>
                    <w:rPr>
                      <w:rFonts w:hint="default" w:ascii="Times New Roman" w:hAnsi="Times New Roman" w:cs="Times New Roman"/>
                      <w:color w:val="000000"/>
                      <w:sz w:val="21"/>
                      <w:szCs w:val="21"/>
                      <w:highlight w:val="none"/>
                      <w:u w:val="single"/>
                    </w:rPr>
                    <w:t>kg/h</w:t>
                  </w:r>
                </w:p>
              </w:tc>
              <w:tc>
                <w:tcPr>
                  <w:tcW w:w="455" w:type="pct"/>
                  <w:tcBorders>
                    <w:tl2br w:val="nil"/>
                    <w:tr2bl w:val="nil"/>
                  </w:tcBorders>
                  <w:noWrap w:val="0"/>
                  <w:vAlign w:val="center"/>
                </w:tcPr>
                <w:p w14:paraId="471FAA49">
                  <w:pPr>
                    <w:pStyle w:val="174"/>
                    <w:rPr>
                      <w:rFonts w:hint="default" w:ascii="Times New Roman" w:hAnsi="Times New Roman" w:cs="Times New Roman"/>
                      <w:color w:val="000000"/>
                      <w:sz w:val="21"/>
                      <w:szCs w:val="21"/>
                      <w:highlight w:val="none"/>
                      <w:u w:val="single"/>
                    </w:rPr>
                  </w:pPr>
                  <w:r>
                    <w:rPr>
                      <w:rFonts w:hint="default" w:ascii="Times New Roman" w:hAnsi="Times New Roman" w:cs="Times New Roman"/>
                      <w:color w:val="000000"/>
                      <w:sz w:val="21"/>
                      <w:szCs w:val="21"/>
                      <w:highlight w:val="none"/>
                      <w:u w:val="single"/>
                    </w:rPr>
                    <w:t>t/a</w:t>
                  </w:r>
                </w:p>
              </w:tc>
              <w:tc>
                <w:tcPr>
                  <w:tcW w:w="714" w:type="pct"/>
                  <w:vMerge w:val="continue"/>
                  <w:tcBorders>
                    <w:tl2br w:val="nil"/>
                    <w:tr2bl w:val="nil"/>
                  </w:tcBorders>
                  <w:noWrap w:val="0"/>
                  <w:vAlign w:val="center"/>
                </w:tcPr>
                <w:p w14:paraId="4A43888B">
                  <w:pPr>
                    <w:pStyle w:val="174"/>
                    <w:rPr>
                      <w:rFonts w:hint="default" w:ascii="Times New Roman" w:hAnsi="Times New Roman" w:cs="Times New Roman"/>
                      <w:color w:val="000000"/>
                      <w:sz w:val="21"/>
                      <w:szCs w:val="21"/>
                      <w:highlight w:val="none"/>
                      <w:u w:val="single"/>
                    </w:rPr>
                  </w:pPr>
                </w:p>
              </w:tc>
              <w:tc>
                <w:tcPr>
                  <w:tcW w:w="526" w:type="pct"/>
                  <w:vMerge w:val="continue"/>
                  <w:tcBorders>
                    <w:tl2br w:val="nil"/>
                    <w:tr2bl w:val="nil"/>
                  </w:tcBorders>
                  <w:noWrap w:val="0"/>
                  <w:vAlign w:val="center"/>
                </w:tcPr>
                <w:p w14:paraId="166D9016">
                  <w:pPr>
                    <w:pStyle w:val="174"/>
                    <w:rPr>
                      <w:rFonts w:hint="default" w:ascii="Times New Roman" w:hAnsi="Times New Roman" w:cs="Times New Roman"/>
                      <w:color w:val="000000"/>
                      <w:sz w:val="21"/>
                      <w:szCs w:val="21"/>
                      <w:highlight w:val="none"/>
                      <w:u w:val="single"/>
                    </w:rPr>
                  </w:pPr>
                </w:p>
              </w:tc>
              <w:tc>
                <w:tcPr>
                  <w:tcW w:w="522" w:type="pct"/>
                  <w:vMerge w:val="continue"/>
                  <w:tcBorders>
                    <w:tl2br w:val="nil"/>
                    <w:tr2bl w:val="nil"/>
                  </w:tcBorders>
                  <w:noWrap w:val="0"/>
                  <w:vAlign w:val="center"/>
                </w:tcPr>
                <w:p w14:paraId="34F666A3">
                  <w:pPr>
                    <w:pStyle w:val="174"/>
                    <w:rPr>
                      <w:rFonts w:hint="default" w:ascii="Times New Roman" w:hAnsi="Times New Roman" w:cs="Times New Roman"/>
                      <w:color w:val="000000"/>
                      <w:sz w:val="21"/>
                      <w:szCs w:val="21"/>
                      <w:highlight w:val="none"/>
                      <w:u w:val="single"/>
                    </w:rPr>
                  </w:pPr>
                </w:p>
              </w:tc>
            </w:tr>
            <w:tr w14:paraId="4B4C2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pct"/>
                  <w:tcBorders>
                    <w:tl2br w:val="nil"/>
                    <w:tr2bl w:val="nil"/>
                  </w:tcBorders>
                  <w:noWrap w:val="0"/>
                  <w:vAlign w:val="center"/>
                </w:tcPr>
                <w:p w14:paraId="4CF70F1C">
                  <w:pPr>
                    <w:pStyle w:val="174"/>
                    <w:rPr>
                      <w:rFonts w:hint="default" w:ascii="Times New Roman" w:hAnsi="Times New Roman" w:cs="Times New Roman"/>
                      <w:color w:val="000000"/>
                      <w:sz w:val="21"/>
                      <w:szCs w:val="21"/>
                      <w:highlight w:val="none"/>
                      <w:u w:val="single"/>
                    </w:rPr>
                  </w:pPr>
                  <w:r>
                    <w:rPr>
                      <w:rFonts w:hint="default" w:ascii="Times New Roman" w:hAnsi="Times New Roman" w:cs="Times New Roman"/>
                      <w:color w:val="000000"/>
                      <w:sz w:val="21"/>
                      <w:szCs w:val="21"/>
                      <w:highlight w:val="none"/>
                      <w:u w:val="single"/>
                    </w:rPr>
                    <w:t>DA001</w:t>
                  </w:r>
                </w:p>
              </w:tc>
              <w:tc>
                <w:tcPr>
                  <w:tcW w:w="660" w:type="pct"/>
                  <w:tcBorders>
                    <w:tl2br w:val="nil"/>
                    <w:tr2bl w:val="nil"/>
                  </w:tcBorders>
                  <w:noWrap w:val="0"/>
                  <w:vAlign w:val="center"/>
                </w:tcPr>
                <w:p w14:paraId="23A193CD">
                  <w:pPr>
                    <w:pStyle w:val="174"/>
                    <w:spacing w:beforeLines="0" w:afterLines="0"/>
                    <w:ind w:firstLine="0" w:firstLineChars="0"/>
                    <w:rPr>
                      <w:rFonts w:hint="eastAsia" w:ascii="Times New Roman" w:hAnsi="Times New Roman" w:eastAsia="宋体" w:cs="Times New Roman"/>
                      <w:color w:val="000000"/>
                      <w:kern w:val="2"/>
                      <w:sz w:val="21"/>
                      <w:szCs w:val="21"/>
                      <w:highlight w:val="none"/>
                      <w:u w:val="single"/>
                      <w:lang w:val="en-US" w:eastAsia="zh-CN" w:bidi="ar-SA"/>
                    </w:rPr>
                  </w:pPr>
                  <w:r>
                    <w:rPr>
                      <w:rFonts w:hint="eastAsia" w:ascii="Times New Roman" w:hAnsi="Times New Roman" w:eastAsia="宋体" w:cs="Times New Roman"/>
                      <w:color w:val="000000"/>
                      <w:sz w:val="21"/>
                      <w:szCs w:val="21"/>
                      <w:highlight w:val="none"/>
                      <w:u w:val="single"/>
                      <w:lang w:eastAsia="zh-CN"/>
                    </w:rPr>
                    <w:t>布袋除尘设施故障</w:t>
                  </w:r>
                </w:p>
              </w:tc>
              <w:tc>
                <w:tcPr>
                  <w:tcW w:w="755" w:type="pct"/>
                  <w:tcBorders>
                    <w:tl2br w:val="nil"/>
                    <w:tr2bl w:val="nil"/>
                  </w:tcBorders>
                  <w:noWrap w:val="0"/>
                  <w:vAlign w:val="center"/>
                </w:tcPr>
                <w:p w14:paraId="3DAA92D5">
                  <w:pPr>
                    <w:pStyle w:val="174"/>
                    <w:spacing w:beforeLines="0" w:afterLines="0"/>
                    <w:ind w:firstLine="0" w:firstLineChars="0"/>
                    <w:rPr>
                      <w:rFonts w:hint="eastAsia" w:ascii="Times New Roman" w:hAnsi="Times New Roman" w:eastAsia="宋体" w:cs="Times New Roman"/>
                      <w:color w:val="000000"/>
                      <w:kern w:val="2"/>
                      <w:sz w:val="21"/>
                      <w:szCs w:val="21"/>
                      <w:highlight w:val="none"/>
                      <w:u w:val="single"/>
                      <w:lang w:val="en-US" w:eastAsia="zh-CN" w:bidi="ar-SA"/>
                    </w:rPr>
                  </w:pPr>
                  <w:r>
                    <w:rPr>
                      <w:rFonts w:hint="eastAsia" w:ascii="Times New Roman" w:hAnsi="Times New Roman" w:eastAsia="宋体" w:cs="Times New Roman"/>
                      <w:color w:val="000000"/>
                      <w:sz w:val="21"/>
                      <w:szCs w:val="21"/>
                      <w:highlight w:val="none"/>
                      <w:u w:val="single"/>
                      <w:lang w:eastAsia="zh-CN"/>
                    </w:rPr>
                    <w:t>颗粒物</w:t>
                  </w:r>
                </w:p>
              </w:tc>
              <w:tc>
                <w:tcPr>
                  <w:tcW w:w="364" w:type="pct"/>
                  <w:tcBorders>
                    <w:tl2br w:val="nil"/>
                    <w:tr2bl w:val="nil"/>
                  </w:tcBorders>
                  <w:shd w:val="clear" w:color="auto" w:fill="auto"/>
                  <w:noWrap w:val="0"/>
                  <w:vAlign w:val="center"/>
                </w:tcPr>
                <w:p w14:paraId="770C46B7">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u w:val="single"/>
                      <w:lang w:val="en-US" w:eastAsia="zh-CN" w:bidi="ar-SA"/>
                    </w:rPr>
                  </w:pPr>
                  <w:r>
                    <w:rPr>
                      <w:rFonts w:hint="eastAsia" w:ascii="Times New Roman" w:hAnsi="Times New Roman" w:eastAsia="宋体" w:cs="Times New Roman"/>
                      <w:i w:val="0"/>
                      <w:iCs w:val="0"/>
                      <w:color w:val="000000"/>
                      <w:kern w:val="0"/>
                      <w:sz w:val="21"/>
                      <w:szCs w:val="21"/>
                      <w:u w:val="single"/>
                      <w:lang w:val="en-US" w:eastAsia="zh-CN" w:bidi="ar"/>
                    </w:rPr>
                    <w:t>0</w:t>
                  </w:r>
                  <w:r>
                    <w:rPr>
                      <w:rFonts w:hint="default" w:ascii="Times New Roman" w:hAnsi="Times New Roman" w:eastAsia="宋体" w:cs="Times New Roman"/>
                      <w:i w:val="0"/>
                      <w:iCs w:val="0"/>
                      <w:color w:val="000000"/>
                      <w:kern w:val="0"/>
                      <w:sz w:val="21"/>
                      <w:szCs w:val="21"/>
                      <w:u w:val="single"/>
                      <w:lang w:val="en-US" w:eastAsia="zh-CN" w:bidi="ar"/>
                    </w:rPr>
                    <w:t xml:space="preserve"> </w:t>
                  </w:r>
                </w:p>
              </w:tc>
              <w:tc>
                <w:tcPr>
                  <w:tcW w:w="939" w:type="dxa"/>
                  <w:tcBorders>
                    <w:tl2br w:val="nil"/>
                    <w:tr2bl w:val="nil"/>
                  </w:tcBorders>
                  <w:shd w:val="clear" w:color="auto" w:fill="auto"/>
                  <w:noWrap w:val="0"/>
                  <w:vAlign w:val="center"/>
                </w:tcPr>
                <w:p w14:paraId="4BBFFDB9">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u w:val="single"/>
                      <w:lang w:val="en-US" w:eastAsia="zh-CN" w:bidi="ar-SA"/>
                    </w:rPr>
                  </w:pPr>
                  <w:r>
                    <w:rPr>
                      <w:rFonts w:hint="eastAsia" w:ascii="Times New Roman" w:hAnsi="Times New Roman" w:eastAsia="宋体" w:cs="Times New Roman"/>
                      <w:color w:val="auto"/>
                      <w:sz w:val="21"/>
                      <w:szCs w:val="21"/>
                      <w:u w:val="single"/>
                      <w:lang w:val="en-US" w:eastAsia="zh-CN"/>
                    </w:rPr>
                    <w:t>0.1183</w:t>
                  </w:r>
                </w:p>
              </w:tc>
              <w:tc>
                <w:tcPr>
                  <w:tcW w:w="830" w:type="dxa"/>
                  <w:tcBorders>
                    <w:tl2br w:val="nil"/>
                    <w:tr2bl w:val="nil"/>
                  </w:tcBorders>
                  <w:shd w:val="clear" w:color="auto" w:fill="auto"/>
                  <w:noWrap w:val="0"/>
                  <w:vAlign w:val="center"/>
                </w:tcPr>
                <w:p w14:paraId="5211BF18">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u w:val="single"/>
                      <w:lang w:val="en-US" w:eastAsia="zh-CN" w:bidi="ar-SA"/>
                    </w:rPr>
                  </w:pPr>
                  <w:r>
                    <w:rPr>
                      <w:rFonts w:hint="eastAsia" w:ascii="Times New Roman" w:hAnsi="Times New Roman" w:cs="Times New Roman"/>
                      <w:color w:val="auto"/>
                      <w:sz w:val="21"/>
                      <w:szCs w:val="21"/>
                      <w:u w:val="single"/>
                      <w:lang w:val="en-US" w:eastAsia="zh-CN"/>
                    </w:rPr>
                    <w:t>0.0473</w:t>
                  </w:r>
                </w:p>
              </w:tc>
              <w:tc>
                <w:tcPr>
                  <w:tcW w:w="1304" w:type="dxa"/>
                  <w:tcBorders>
                    <w:tl2br w:val="nil"/>
                    <w:tr2bl w:val="nil"/>
                  </w:tcBorders>
                  <w:noWrap w:val="0"/>
                  <w:vAlign w:val="center"/>
                </w:tcPr>
                <w:p w14:paraId="444BEC16">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kern w:val="2"/>
                      <w:sz w:val="21"/>
                      <w:szCs w:val="21"/>
                      <w:highlight w:val="none"/>
                      <w:u w:val="single"/>
                      <w:lang w:val="en-US" w:eastAsia="zh-CN" w:bidi="ar-SA"/>
                    </w:rPr>
                  </w:pPr>
                  <w:r>
                    <w:rPr>
                      <w:rFonts w:hint="eastAsia" w:ascii="Times New Roman" w:hAnsi="Times New Roman" w:eastAsia="宋体" w:cs="Times New Roman"/>
                      <w:color w:val="auto"/>
                      <w:sz w:val="21"/>
                      <w:szCs w:val="21"/>
                      <w:u w:val="single"/>
                      <w:lang w:val="en-US" w:eastAsia="zh-CN"/>
                    </w:rPr>
                    <w:t>118.125</w:t>
                  </w:r>
                </w:p>
              </w:tc>
              <w:tc>
                <w:tcPr>
                  <w:tcW w:w="526" w:type="pct"/>
                  <w:tcBorders>
                    <w:tl2br w:val="nil"/>
                    <w:tr2bl w:val="nil"/>
                  </w:tcBorders>
                  <w:noWrap w:val="0"/>
                  <w:vAlign w:val="center"/>
                </w:tcPr>
                <w:p w14:paraId="47338A8A">
                  <w:pPr>
                    <w:pStyle w:val="174"/>
                    <w:rPr>
                      <w:rFonts w:hint="default" w:ascii="Times New Roman" w:hAnsi="Times New Roman" w:cs="Times New Roman"/>
                      <w:color w:val="000000"/>
                      <w:sz w:val="21"/>
                      <w:szCs w:val="21"/>
                      <w:highlight w:val="none"/>
                      <w:u w:val="single"/>
                    </w:rPr>
                  </w:pPr>
                  <w:r>
                    <w:rPr>
                      <w:rFonts w:hint="default" w:ascii="Times New Roman" w:hAnsi="Times New Roman" w:cs="Times New Roman"/>
                      <w:color w:val="000000"/>
                      <w:sz w:val="21"/>
                      <w:szCs w:val="21"/>
                      <w:highlight w:val="none"/>
                      <w:u w:val="single"/>
                    </w:rPr>
                    <w:t>1</w:t>
                  </w:r>
                </w:p>
              </w:tc>
              <w:tc>
                <w:tcPr>
                  <w:tcW w:w="522" w:type="pct"/>
                  <w:tcBorders>
                    <w:tl2br w:val="nil"/>
                    <w:tr2bl w:val="nil"/>
                  </w:tcBorders>
                  <w:noWrap w:val="0"/>
                  <w:vAlign w:val="center"/>
                </w:tcPr>
                <w:p w14:paraId="1CD9ED2A">
                  <w:pPr>
                    <w:pStyle w:val="174"/>
                    <w:rPr>
                      <w:rFonts w:hint="default" w:ascii="Times New Roman" w:hAnsi="Times New Roman" w:cs="Times New Roman"/>
                      <w:color w:val="000000"/>
                      <w:sz w:val="21"/>
                      <w:szCs w:val="21"/>
                      <w:highlight w:val="none"/>
                      <w:u w:val="single"/>
                    </w:rPr>
                  </w:pPr>
                  <w:r>
                    <w:rPr>
                      <w:rFonts w:hint="default" w:ascii="Times New Roman" w:hAnsi="Times New Roman" w:cs="Times New Roman"/>
                      <w:color w:val="000000"/>
                      <w:sz w:val="21"/>
                      <w:szCs w:val="21"/>
                      <w:highlight w:val="none"/>
                      <w:u w:val="single"/>
                    </w:rPr>
                    <w:t>≤2</w:t>
                  </w:r>
                </w:p>
              </w:tc>
            </w:tr>
          </w:tbl>
          <w:p w14:paraId="52189C76">
            <w:pPr>
              <w:pStyle w:val="173"/>
              <w:bidi w:val="0"/>
              <w:rPr>
                <w:rFonts w:hint="eastAsia" w:ascii="Times New Roman" w:hAnsi="Times New Roman" w:eastAsia="宋体" w:cs="Times New Roman"/>
                <w:color w:val="000000"/>
                <w:highlight w:val="none"/>
                <w:u w:val="single"/>
                <w:lang w:val="en-US" w:eastAsia="zh-CN"/>
              </w:rPr>
            </w:pPr>
            <w:r>
              <w:rPr>
                <w:rFonts w:hint="default" w:ascii="Times New Roman" w:hAnsi="Times New Roman" w:eastAsia="宋体" w:cs="Times New Roman"/>
                <w:color w:val="000000"/>
                <w:highlight w:val="none"/>
                <w:u w:val="single"/>
              </w:rPr>
              <w:t>根据上述内容可知，</w:t>
            </w:r>
            <w:r>
              <w:rPr>
                <w:rFonts w:hint="eastAsia" w:ascii="Times New Roman" w:hAnsi="Times New Roman" w:eastAsia="宋体" w:cs="Times New Roman"/>
                <w:color w:val="000000"/>
                <w:highlight w:val="none"/>
                <w:u w:val="single"/>
                <w:lang w:eastAsia="zh-CN"/>
              </w:rPr>
              <w:t>布袋除尘设施</w:t>
            </w:r>
            <w:r>
              <w:rPr>
                <w:rFonts w:hint="default" w:ascii="Times New Roman" w:hAnsi="Times New Roman" w:eastAsia="宋体" w:cs="Times New Roman"/>
                <w:color w:val="000000"/>
                <w:highlight w:val="none"/>
                <w:u w:val="single"/>
              </w:rPr>
              <w:t>故障时，</w:t>
            </w:r>
            <w:r>
              <w:rPr>
                <w:rFonts w:hint="eastAsia" w:ascii="Times New Roman" w:hAnsi="Times New Roman" w:eastAsia="宋体" w:cs="Times New Roman"/>
                <w:color w:val="000000"/>
                <w:highlight w:val="none"/>
                <w:u w:val="single"/>
                <w:lang w:eastAsia="zh-CN"/>
              </w:rPr>
              <w:t>颗粒物超标排放</w:t>
            </w:r>
            <w:r>
              <w:rPr>
                <w:rFonts w:hint="default" w:ascii="Times New Roman" w:hAnsi="Times New Roman" w:eastAsia="宋体" w:cs="Times New Roman"/>
                <w:color w:val="000000"/>
                <w:highlight w:val="none"/>
                <w:u w:val="single"/>
              </w:rPr>
              <w:t>会对项目周边大气环境造成影响。</w:t>
            </w:r>
          </w:p>
          <w:p w14:paraId="1349029A">
            <w:pPr>
              <w:pStyle w:val="173"/>
              <w:bidi w:val="0"/>
              <w:rPr>
                <w:rFonts w:hint="default" w:ascii="Times New Roman" w:hAnsi="Times New Roman" w:eastAsia="宋体" w:cs="Times New Roman"/>
                <w:color w:val="000000"/>
                <w:highlight w:val="none"/>
                <w:u w:val="single"/>
              </w:rPr>
            </w:pPr>
            <w:r>
              <w:rPr>
                <w:rFonts w:hint="default" w:ascii="Times New Roman" w:hAnsi="Times New Roman" w:eastAsia="宋体" w:cs="Times New Roman"/>
                <w:color w:val="000000"/>
                <w:highlight w:val="none"/>
                <w:u w:val="single"/>
              </w:rPr>
              <w:t>为避免出现废气环保设施故障，本环评要求建设单位应定期对环保设施进行检修，建立台账管理制度，当设备出现故障时，应及时停止生产，并对废气环保设施进行检修。</w:t>
            </w:r>
          </w:p>
          <w:p w14:paraId="3F7C4FEC">
            <w:pPr>
              <w:spacing w:line="360" w:lineRule="auto"/>
              <w:ind w:firstLine="482" w:firstLineChars="200"/>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rPr>
              <w:t>4.</w:t>
            </w:r>
            <w:r>
              <w:rPr>
                <w:rFonts w:hint="eastAsia" w:ascii="Times New Roman" w:hAnsi="Times New Roman" w:cs="Times New Roman"/>
                <w:b/>
                <w:bCs/>
                <w:sz w:val="24"/>
                <w:szCs w:val="24"/>
                <w:u w:val="none"/>
                <w:lang w:val="en-US" w:eastAsia="zh-CN"/>
              </w:rPr>
              <w:t>1</w:t>
            </w:r>
            <w:r>
              <w:rPr>
                <w:rFonts w:hint="default" w:ascii="Times New Roman" w:hAnsi="Times New Roman" w:cs="Times New Roman"/>
                <w:b/>
                <w:bCs/>
                <w:sz w:val="24"/>
                <w:szCs w:val="24"/>
                <w:u w:val="none"/>
              </w:rPr>
              <w:t>.</w:t>
            </w:r>
            <w:r>
              <w:rPr>
                <w:rFonts w:hint="eastAsia" w:ascii="Times New Roman" w:hAnsi="Times New Roman" w:cs="Times New Roman"/>
                <w:b/>
                <w:bCs/>
                <w:sz w:val="24"/>
                <w:szCs w:val="24"/>
                <w:u w:val="none"/>
                <w:lang w:val="en-US" w:eastAsia="zh-CN"/>
              </w:rPr>
              <w:t>4</w:t>
            </w:r>
            <w:r>
              <w:rPr>
                <w:rFonts w:hint="default" w:ascii="Times New Roman" w:hAnsi="Times New Roman" w:cs="Times New Roman"/>
                <w:b/>
                <w:bCs/>
                <w:sz w:val="24"/>
                <w:szCs w:val="24"/>
                <w:u w:val="none"/>
              </w:rPr>
              <w:t>废气监测计划</w:t>
            </w:r>
          </w:p>
          <w:p w14:paraId="02D04DEE">
            <w:pPr>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根据《排污单位自行监测技术指南 总则》（HJ 819-2017）、《排污许可证申请与核发技术规范 总则》（HJ 942-2018），本项目废气监测要求详见下表。</w:t>
            </w:r>
          </w:p>
          <w:p w14:paraId="48512D23">
            <w:pPr>
              <w:spacing w:line="360" w:lineRule="auto"/>
              <w:jc w:val="center"/>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rPr>
              <w:t>4-</w:t>
            </w:r>
            <w:r>
              <w:rPr>
                <w:rFonts w:hint="eastAsia" w:ascii="Times New Roman" w:hAnsi="Times New Roman" w:cs="Times New Roman"/>
                <w:b/>
                <w:bCs/>
                <w:sz w:val="24"/>
                <w:szCs w:val="24"/>
                <w:u w:val="none"/>
                <w:lang w:val="en-US" w:eastAsia="zh-CN"/>
              </w:rPr>
              <w:t>5</w:t>
            </w:r>
            <w:r>
              <w:rPr>
                <w:rFonts w:hint="default" w:ascii="Times New Roman" w:hAnsi="Times New Roman" w:cs="Times New Roman"/>
                <w:b/>
                <w:bCs/>
                <w:sz w:val="24"/>
                <w:szCs w:val="24"/>
                <w:u w:val="none"/>
              </w:rPr>
              <w:t xml:space="preserve">    运营期废气污染源监测计划</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19"/>
              <w:gridCol w:w="1468"/>
              <w:gridCol w:w="1316"/>
              <w:gridCol w:w="1490"/>
              <w:gridCol w:w="1614"/>
              <w:gridCol w:w="2429"/>
            </w:tblGrid>
            <w:tr w14:paraId="2179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trPr>
              <w:tc>
                <w:tcPr>
                  <w:tcW w:w="448" w:type="pct"/>
                  <w:vMerge w:val="restart"/>
                  <w:vAlign w:val="center"/>
                </w:tcPr>
                <w:p w14:paraId="646970D3">
                  <w:pPr>
                    <w:keepNext w:val="0"/>
                    <w:keepLines w:val="0"/>
                    <w:pageBreakBefore w:val="0"/>
                    <w:widowControl/>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cs="Times New Roman"/>
                      <w:sz w:val="21"/>
                      <w:szCs w:val="21"/>
                      <w:u w:val="none"/>
                      <w:lang w:val="zh-CN"/>
                    </w:rPr>
                  </w:pPr>
                  <w:r>
                    <w:rPr>
                      <w:rFonts w:hint="default" w:ascii="Times New Roman" w:hAnsi="Times New Roman" w:cs="Times New Roman"/>
                      <w:sz w:val="21"/>
                      <w:szCs w:val="21"/>
                      <w:u w:val="none"/>
                      <w:lang w:val="zh-CN"/>
                    </w:rPr>
                    <w:t>监测类型</w:t>
                  </w:r>
                </w:p>
              </w:tc>
              <w:tc>
                <w:tcPr>
                  <w:tcW w:w="803" w:type="pct"/>
                  <w:vMerge w:val="restart"/>
                  <w:vAlign w:val="center"/>
                </w:tcPr>
                <w:p w14:paraId="5489F222">
                  <w:pPr>
                    <w:keepNext w:val="0"/>
                    <w:keepLines w:val="0"/>
                    <w:pageBreakBefore w:val="0"/>
                    <w:widowControl/>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cs="Times New Roman"/>
                      <w:sz w:val="21"/>
                      <w:szCs w:val="21"/>
                      <w:u w:val="none"/>
                      <w:lang w:val="zh-CN"/>
                    </w:rPr>
                  </w:pPr>
                  <w:r>
                    <w:rPr>
                      <w:rFonts w:hint="default" w:ascii="Times New Roman" w:hAnsi="Times New Roman" w:cs="Times New Roman"/>
                      <w:sz w:val="21"/>
                      <w:szCs w:val="21"/>
                      <w:u w:val="none"/>
                      <w:lang w:val="zh-CN"/>
                    </w:rPr>
                    <w:t>监测点位</w:t>
                  </w:r>
                </w:p>
              </w:tc>
              <w:tc>
                <w:tcPr>
                  <w:tcW w:w="1535" w:type="pct"/>
                  <w:gridSpan w:val="2"/>
                  <w:vAlign w:val="center"/>
                </w:tcPr>
                <w:p w14:paraId="51735C6B">
                  <w:pPr>
                    <w:keepNext w:val="0"/>
                    <w:keepLines w:val="0"/>
                    <w:pageBreakBefore w:val="0"/>
                    <w:widowControl/>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cs="Times New Roman"/>
                      <w:sz w:val="21"/>
                      <w:szCs w:val="21"/>
                      <w:u w:val="none"/>
                      <w:lang w:val="zh-CN"/>
                    </w:rPr>
                  </w:pPr>
                  <w:r>
                    <w:rPr>
                      <w:rFonts w:hint="default" w:ascii="Times New Roman" w:hAnsi="Times New Roman" w:cs="Times New Roman"/>
                      <w:sz w:val="21"/>
                      <w:szCs w:val="21"/>
                      <w:u w:val="none"/>
                      <w:lang w:val="zh-CN"/>
                    </w:rPr>
                    <w:t>监测项目</w:t>
                  </w:r>
                </w:p>
              </w:tc>
              <w:tc>
                <w:tcPr>
                  <w:tcW w:w="883" w:type="pct"/>
                  <w:vMerge w:val="restart"/>
                  <w:vAlign w:val="center"/>
                </w:tcPr>
                <w:p w14:paraId="1398DCAC">
                  <w:pPr>
                    <w:keepNext w:val="0"/>
                    <w:keepLines w:val="0"/>
                    <w:pageBreakBefore w:val="0"/>
                    <w:widowControl/>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cs="Times New Roman"/>
                      <w:sz w:val="21"/>
                      <w:szCs w:val="21"/>
                      <w:u w:val="none"/>
                      <w:lang w:val="zh-CN"/>
                    </w:rPr>
                  </w:pPr>
                  <w:r>
                    <w:rPr>
                      <w:rFonts w:hint="default" w:ascii="Times New Roman" w:hAnsi="Times New Roman" w:cs="Times New Roman"/>
                      <w:sz w:val="21"/>
                      <w:szCs w:val="21"/>
                      <w:u w:val="none"/>
                      <w:lang w:val="zh-CN"/>
                    </w:rPr>
                    <w:t>监测频率</w:t>
                  </w:r>
                </w:p>
              </w:tc>
              <w:tc>
                <w:tcPr>
                  <w:tcW w:w="1328" w:type="pct"/>
                  <w:vMerge w:val="restart"/>
                  <w:vAlign w:val="center"/>
                </w:tcPr>
                <w:p w14:paraId="65827791">
                  <w:pPr>
                    <w:keepNext w:val="0"/>
                    <w:keepLines w:val="0"/>
                    <w:pageBreakBefore w:val="0"/>
                    <w:widowControl/>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cs="Times New Roman"/>
                      <w:sz w:val="21"/>
                      <w:szCs w:val="21"/>
                      <w:u w:val="none"/>
                      <w:lang w:val="zh-CN"/>
                    </w:rPr>
                  </w:pPr>
                  <w:r>
                    <w:rPr>
                      <w:rFonts w:hint="default" w:ascii="Times New Roman" w:hAnsi="Times New Roman" w:cs="Times New Roman"/>
                      <w:sz w:val="21"/>
                      <w:szCs w:val="21"/>
                      <w:u w:val="none"/>
                      <w:lang w:val="zh-CN"/>
                    </w:rPr>
                    <w:t>执行标准</w:t>
                  </w:r>
                </w:p>
              </w:tc>
            </w:tr>
            <w:tr w14:paraId="3567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trPr>
              <w:tc>
                <w:tcPr>
                  <w:tcW w:w="448" w:type="pct"/>
                  <w:vMerge w:val="continue"/>
                  <w:vAlign w:val="center"/>
                </w:tcPr>
                <w:p w14:paraId="5CEFA6A6">
                  <w:pPr>
                    <w:keepNext w:val="0"/>
                    <w:keepLines w:val="0"/>
                    <w:pageBreakBefore w:val="0"/>
                    <w:widowControl/>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cs="Times New Roman"/>
                      <w:sz w:val="21"/>
                      <w:szCs w:val="21"/>
                      <w:u w:val="none"/>
                      <w:lang w:val="zh-CN"/>
                    </w:rPr>
                  </w:pPr>
                </w:p>
              </w:tc>
              <w:tc>
                <w:tcPr>
                  <w:tcW w:w="803" w:type="pct"/>
                  <w:vMerge w:val="continue"/>
                  <w:vAlign w:val="center"/>
                </w:tcPr>
                <w:p w14:paraId="76D1E4D4">
                  <w:pPr>
                    <w:keepNext w:val="0"/>
                    <w:keepLines w:val="0"/>
                    <w:pageBreakBefore w:val="0"/>
                    <w:widowControl/>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cs="Times New Roman"/>
                      <w:sz w:val="21"/>
                      <w:szCs w:val="21"/>
                      <w:u w:val="none"/>
                      <w:lang w:val="zh-CN"/>
                    </w:rPr>
                  </w:pPr>
                </w:p>
              </w:tc>
              <w:tc>
                <w:tcPr>
                  <w:tcW w:w="720" w:type="pct"/>
                  <w:vAlign w:val="center"/>
                </w:tcPr>
                <w:p w14:paraId="30C3D278">
                  <w:pPr>
                    <w:keepNext w:val="0"/>
                    <w:keepLines w:val="0"/>
                    <w:pageBreakBefore w:val="0"/>
                    <w:widowControl/>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cs="Times New Roman"/>
                      <w:sz w:val="21"/>
                      <w:szCs w:val="21"/>
                      <w:u w:val="none"/>
                      <w:lang w:val="zh-CN"/>
                    </w:rPr>
                  </w:pPr>
                  <w:r>
                    <w:rPr>
                      <w:rFonts w:hint="default" w:ascii="Times New Roman" w:hAnsi="Times New Roman" w:cs="Times New Roman"/>
                      <w:sz w:val="21"/>
                      <w:szCs w:val="21"/>
                      <w:u w:val="none"/>
                      <w:lang w:val="zh-CN"/>
                    </w:rPr>
                    <w:t>参数</w:t>
                  </w:r>
                </w:p>
              </w:tc>
              <w:tc>
                <w:tcPr>
                  <w:tcW w:w="814" w:type="pct"/>
                  <w:vAlign w:val="center"/>
                </w:tcPr>
                <w:p w14:paraId="2FB0740B">
                  <w:pPr>
                    <w:keepNext w:val="0"/>
                    <w:keepLines w:val="0"/>
                    <w:pageBreakBefore w:val="0"/>
                    <w:widowControl/>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cs="Times New Roman"/>
                      <w:sz w:val="21"/>
                      <w:szCs w:val="21"/>
                      <w:u w:val="none"/>
                      <w:lang w:val="zh-CN"/>
                    </w:rPr>
                  </w:pPr>
                  <w:r>
                    <w:rPr>
                      <w:rFonts w:hint="default" w:ascii="Times New Roman" w:hAnsi="Times New Roman" w:cs="Times New Roman"/>
                      <w:sz w:val="21"/>
                      <w:szCs w:val="21"/>
                      <w:u w:val="none"/>
                      <w:lang w:val="zh-CN"/>
                    </w:rPr>
                    <w:t>污染物</w:t>
                  </w:r>
                </w:p>
              </w:tc>
              <w:tc>
                <w:tcPr>
                  <w:tcW w:w="883" w:type="pct"/>
                  <w:vMerge w:val="continue"/>
                  <w:vAlign w:val="center"/>
                </w:tcPr>
                <w:p w14:paraId="5A88244D">
                  <w:pPr>
                    <w:keepNext w:val="0"/>
                    <w:keepLines w:val="0"/>
                    <w:pageBreakBefore w:val="0"/>
                    <w:widowControl/>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cs="Times New Roman"/>
                      <w:sz w:val="21"/>
                      <w:szCs w:val="21"/>
                      <w:u w:val="none"/>
                      <w:lang w:val="zh-CN"/>
                    </w:rPr>
                  </w:pPr>
                </w:p>
              </w:tc>
              <w:tc>
                <w:tcPr>
                  <w:tcW w:w="1328" w:type="pct"/>
                  <w:vMerge w:val="continue"/>
                  <w:vAlign w:val="center"/>
                </w:tcPr>
                <w:p w14:paraId="148120D1">
                  <w:pPr>
                    <w:keepNext w:val="0"/>
                    <w:keepLines w:val="0"/>
                    <w:pageBreakBefore w:val="0"/>
                    <w:widowControl/>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cs="Times New Roman"/>
                      <w:sz w:val="21"/>
                      <w:szCs w:val="21"/>
                      <w:u w:val="none"/>
                      <w:lang w:val="zh-CN"/>
                    </w:rPr>
                  </w:pPr>
                </w:p>
              </w:tc>
            </w:tr>
            <w:tr w14:paraId="63307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blHeader/>
              </w:trPr>
              <w:tc>
                <w:tcPr>
                  <w:tcW w:w="448" w:type="pct"/>
                  <w:vMerge w:val="restart"/>
                  <w:vAlign w:val="center"/>
                </w:tcPr>
                <w:p w14:paraId="356CD359">
                  <w:pPr>
                    <w:keepNext w:val="0"/>
                    <w:keepLines w:val="0"/>
                    <w:pageBreakBefore w:val="0"/>
                    <w:widowControl/>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cs="Times New Roman"/>
                      <w:sz w:val="21"/>
                      <w:szCs w:val="21"/>
                      <w:u w:val="none"/>
                      <w:lang w:val="zh-CN"/>
                    </w:rPr>
                  </w:pPr>
                  <w:r>
                    <w:rPr>
                      <w:rFonts w:hint="default" w:ascii="Times New Roman" w:hAnsi="Times New Roman" w:cs="Times New Roman"/>
                      <w:sz w:val="21"/>
                      <w:szCs w:val="21"/>
                      <w:u w:val="none"/>
                      <w:lang w:val="zh-CN"/>
                    </w:rPr>
                    <w:t>废气</w:t>
                  </w:r>
                </w:p>
              </w:tc>
              <w:tc>
                <w:tcPr>
                  <w:tcW w:w="803" w:type="pct"/>
                  <w:vAlign w:val="center"/>
                </w:tcPr>
                <w:p w14:paraId="3F2B9706">
                  <w:pPr>
                    <w:keepNext w:val="0"/>
                    <w:keepLines w:val="0"/>
                    <w:pageBreakBefore w:val="0"/>
                    <w:widowControl/>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kern w:val="0"/>
                      <w:sz w:val="21"/>
                      <w:szCs w:val="21"/>
                      <w:u w:val="none"/>
                      <w:lang w:val="en-US" w:eastAsia="zh-CN"/>
                    </w:rPr>
                  </w:pPr>
                  <w:r>
                    <w:rPr>
                      <w:rFonts w:hint="eastAsia" w:ascii="Times New Roman" w:hAnsi="Times New Roman" w:cs="Times New Roman"/>
                      <w:kern w:val="0"/>
                      <w:sz w:val="21"/>
                      <w:szCs w:val="21"/>
                      <w:u w:val="none"/>
                      <w:lang w:eastAsia="zh-CN"/>
                    </w:rPr>
                    <w:t>有组织</w:t>
                  </w:r>
                  <w:r>
                    <w:rPr>
                      <w:rFonts w:hint="eastAsia" w:ascii="Times New Roman" w:hAnsi="Times New Roman" w:cs="Times New Roman"/>
                      <w:kern w:val="0"/>
                      <w:sz w:val="21"/>
                      <w:szCs w:val="21"/>
                      <w:u w:val="none"/>
                      <w:lang w:val="en-US" w:eastAsia="zh-CN"/>
                    </w:rPr>
                    <w:t>DA001</w:t>
                  </w:r>
                </w:p>
              </w:tc>
              <w:tc>
                <w:tcPr>
                  <w:tcW w:w="720" w:type="pct"/>
                  <w:vAlign w:val="center"/>
                </w:tcPr>
                <w:p w14:paraId="12959E6B">
                  <w:pPr>
                    <w:keepNext w:val="0"/>
                    <w:keepLines w:val="0"/>
                    <w:pageBreakBefore w:val="0"/>
                    <w:widowControl/>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cs="Times New Roman"/>
                      <w:sz w:val="21"/>
                      <w:szCs w:val="21"/>
                      <w:u w:val="none"/>
                      <w:lang w:val="zh-CN"/>
                    </w:rPr>
                  </w:pPr>
                  <w:r>
                    <w:rPr>
                      <w:rFonts w:hint="eastAsia" w:ascii="Times New Roman" w:hAnsi="Times New Roman" w:cs="Times New Roman"/>
                      <w:sz w:val="21"/>
                      <w:szCs w:val="21"/>
                      <w:u w:val="none"/>
                      <w:lang w:val="zh-CN"/>
                    </w:rPr>
                    <w:t>烟气流速</w:t>
                  </w:r>
                </w:p>
              </w:tc>
              <w:tc>
                <w:tcPr>
                  <w:tcW w:w="814" w:type="pct"/>
                  <w:vAlign w:val="center"/>
                </w:tcPr>
                <w:p w14:paraId="4A9C3E63">
                  <w:pPr>
                    <w:keepNext w:val="0"/>
                    <w:keepLines w:val="0"/>
                    <w:pageBreakBefore w:val="0"/>
                    <w:widowControl/>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eastAsia="zh-CN"/>
                    </w:rPr>
                    <w:t>颗粒物、氮氧化物、</w:t>
                  </w:r>
                  <w:r>
                    <w:rPr>
                      <w:rFonts w:hint="eastAsia" w:ascii="Times New Roman" w:hAnsi="Times New Roman" w:cs="Times New Roman"/>
                      <w:sz w:val="21"/>
                      <w:szCs w:val="21"/>
                      <w:u w:val="none"/>
                      <w:lang w:val="en-US" w:eastAsia="zh-CN"/>
                    </w:rPr>
                    <w:t>SO</w:t>
                  </w:r>
                  <w:r>
                    <w:rPr>
                      <w:rFonts w:hint="eastAsia" w:ascii="Times New Roman" w:hAnsi="Times New Roman" w:cs="Times New Roman"/>
                      <w:sz w:val="21"/>
                      <w:szCs w:val="21"/>
                      <w:u w:val="none"/>
                      <w:vertAlign w:val="subscript"/>
                      <w:lang w:val="en-US" w:eastAsia="zh-CN"/>
                    </w:rPr>
                    <w:t>2</w:t>
                  </w:r>
                  <w:r>
                    <w:rPr>
                      <w:rFonts w:hint="eastAsia" w:ascii="Times New Roman" w:hAnsi="Times New Roman" w:cs="Times New Roman"/>
                      <w:sz w:val="21"/>
                      <w:szCs w:val="21"/>
                      <w:u w:val="none"/>
                      <w:vertAlign w:val="baseline"/>
                      <w:lang w:val="en-US" w:eastAsia="zh-CN"/>
                    </w:rPr>
                    <w:t>、林格曼黑度</w:t>
                  </w:r>
                </w:p>
              </w:tc>
              <w:tc>
                <w:tcPr>
                  <w:tcW w:w="883" w:type="pct"/>
                  <w:vAlign w:val="center"/>
                </w:tcPr>
                <w:p w14:paraId="7D95A7C5">
                  <w:pPr>
                    <w:keepNext w:val="0"/>
                    <w:keepLines w:val="0"/>
                    <w:pageBreakBefore w:val="0"/>
                    <w:widowControl/>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cs="Times New Roman"/>
                      <w:sz w:val="21"/>
                      <w:szCs w:val="21"/>
                      <w:u w:val="none"/>
                      <w:lang w:val="zh-CN"/>
                    </w:rPr>
                  </w:pPr>
                  <w:r>
                    <w:rPr>
                      <w:rFonts w:hint="default" w:ascii="Times New Roman" w:hAnsi="Times New Roman" w:cs="Times New Roman"/>
                      <w:sz w:val="21"/>
                      <w:szCs w:val="21"/>
                      <w:u w:val="none"/>
                    </w:rPr>
                    <w:t>1次/年</w:t>
                  </w:r>
                </w:p>
              </w:tc>
              <w:tc>
                <w:tcPr>
                  <w:tcW w:w="1328" w:type="pct"/>
                  <w:vAlign w:val="center"/>
                </w:tcPr>
                <w:p w14:paraId="36ADF48F">
                  <w:pPr>
                    <w:keepNext w:val="0"/>
                    <w:keepLines w:val="0"/>
                    <w:pageBreakBefore w:val="0"/>
                    <w:widowControl/>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《湖南省工业炉窑大气污染综合治理实施方案》附件1中相关排放限值</w:t>
                  </w:r>
                </w:p>
              </w:tc>
            </w:tr>
            <w:tr w14:paraId="43D4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blHeader/>
              </w:trPr>
              <w:tc>
                <w:tcPr>
                  <w:tcW w:w="448" w:type="pct"/>
                  <w:vMerge w:val="continue"/>
                  <w:vAlign w:val="center"/>
                </w:tcPr>
                <w:p w14:paraId="4E413221">
                  <w:pPr>
                    <w:keepNext w:val="0"/>
                    <w:keepLines w:val="0"/>
                    <w:pageBreakBefore w:val="0"/>
                    <w:widowControl/>
                    <w:kinsoku/>
                    <w:wordWrap/>
                    <w:overflowPunct/>
                    <w:topLinePunct w:val="0"/>
                    <w:autoSpaceDE/>
                    <w:autoSpaceDN/>
                    <w:bidi w:val="0"/>
                    <w:adjustRightInd w:val="0"/>
                    <w:snapToGrid w:val="0"/>
                    <w:spacing w:line="288" w:lineRule="auto"/>
                    <w:ind w:firstLine="0"/>
                    <w:jc w:val="center"/>
                    <w:textAlignment w:val="auto"/>
                    <w:rPr>
                      <w:rFonts w:hint="default" w:ascii="Times New Roman" w:hAnsi="Times New Roman" w:cs="Times New Roman"/>
                      <w:sz w:val="21"/>
                      <w:szCs w:val="21"/>
                      <w:u w:val="none"/>
                      <w:lang w:val="zh-CN"/>
                    </w:rPr>
                  </w:pPr>
                </w:p>
              </w:tc>
              <w:tc>
                <w:tcPr>
                  <w:tcW w:w="803" w:type="pct"/>
                  <w:shd w:val="clear" w:color="auto" w:fill="auto"/>
                  <w:vAlign w:val="center"/>
                </w:tcPr>
                <w:p w14:paraId="5B8FF295">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kern w:val="0"/>
                      <w:sz w:val="21"/>
                      <w:szCs w:val="21"/>
                      <w:u w:val="none"/>
                      <w:lang w:val="en-US" w:eastAsia="zh-CN" w:bidi="ar-SA"/>
                    </w:rPr>
                  </w:pPr>
                  <w:r>
                    <w:rPr>
                      <w:rFonts w:hint="default" w:ascii="Times New Roman" w:hAnsi="Times New Roman" w:cs="Times New Roman"/>
                      <w:kern w:val="0"/>
                      <w:sz w:val="21"/>
                      <w:szCs w:val="21"/>
                      <w:u w:val="none"/>
                    </w:rPr>
                    <w:t>厂界</w:t>
                  </w:r>
                </w:p>
              </w:tc>
              <w:tc>
                <w:tcPr>
                  <w:tcW w:w="720" w:type="pct"/>
                  <w:shd w:val="clear" w:color="auto" w:fill="auto"/>
                  <w:vAlign w:val="center"/>
                </w:tcPr>
                <w:p w14:paraId="3C66C692">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kern w:val="2"/>
                      <w:sz w:val="21"/>
                      <w:szCs w:val="21"/>
                      <w:u w:val="none"/>
                      <w:lang w:val="zh-CN" w:eastAsia="zh-CN" w:bidi="ar-SA"/>
                    </w:rPr>
                  </w:pPr>
                  <w:r>
                    <w:rPr>
                      <w:rFonts w:hint="default" w:ascii="Times New Roman" w:hAnsi="Times New Roman" w:cs="Times New Roman"/>
                      <w:sz w:val="21"/>
                      <w:szCs w:val="21"/>
                      <w:u w:val="none"/>
                      <w:lang w:val="zh-CN"/>
                    </w:rPr>
                    <w:t>风向、风速</w:t>
                  </w:r>
                </w:p>
              </w:tc>
              <w:tc>
                <w:tcPr>
                  <w:tcW w:w="814" w:type="pct"/>
                  <w:shd w:val="clear" w:color="auto" w:fill="auto"/>
                  <w:vAlign w:val="center"/>
                </w:tcPr>
                <w:p w14:paraId="567A8E84">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rPr>
                    <w:t>颗粒物</w:t>
                  </w:r>
                </w:p>
              </w:tc>
              <w:tc>
                <w:tcPr>
                  <w:tcW w:w="883" w:type="pct"/>
                  <w:shd w:val="clear" w:color="auto" w:fill="auto"/>
                  <w:vAlign w:val="center"/>
                </w:tcPr>
                <w:p w14:paraId="4BB45957">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kern w:val="2"/>
                      <w:sz w:val="21"/>
                      <w:szCs w:val="21"/>
                      <w:u w:val="none"/>
                      <w:lang w:val="zh-CN" w:eastAsia="zh-CN" w:bidi="ar-SA"/>
                    </w:rPr>
                  </w:pPr>
                  <w:r>
                    <w:rPr>
                      <w:rFonts w:hint="default" w:ascii="Times New Roman" w:hAnsi="Times New Roman" w:cs="Times New Roman"/>
                      <w:sz w:val="21"/>
                      <w:szCs w:val="21"/>
                      <w:u w:val="none"/>
                    </w:rPr>
                    <w:t>1次/年</w:t>
                  </w:r>
                </w:p>
              </w:tc>
              <w:tc>
                <w:tcPr>
                  <w:tcW w:w="1328" w:type="pct"/>
                  <w:shd w:val="clear" w:color="auto" w:fill="auto"/>
                  <w:vAlign w:val="center"/>
                </w:tcPr>
                <w:p w14:paraId="425C2E58">
                  <w:pPr>
                    <w:keepNext w:val="0"/>
                    <w:keepLines w:val="0"/>
                    <w:pageBreakBefore w:val="0"/>
                    <w:widowControl/>
                    <w:kinsoku/>
                    <w:wordWrap/>
                    <w:overflowPunct/>
                    <w:topLinePunct w:val="0"/>
                    <w:autoSpaceDE/>
                    <w:autoSpaceDN/>
                    <w:bidi w:val="0"/>
                    <w:adjustRightInd w:val="0"/>
                    <w:snapToGrid w:val="0"/>
                    <w:spacing w:line="288" w:lineRule="auto"/>
                    <w:ind w:firstLine="0" w:firstLineChars="0"/>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kern w:val="0"/>
                      <w:sz w:val="21"/>
                      <w:szCs w:val="21"/>
                      <w:u w:val="none"/>
                    </w:rPr>
                    <w:t>《水泥工业大气污染物排放标准》（GB4915-2013）的表3排放限值</w:t>
                  </w:r>
                </w:p>
              </w:tc>
            </w:tr>
          </w:tbl>
          <w:p w14:paraId="3572D3BE">
            <w:pPr>
              <w:spacing w:line="360" w:lineRule="auto"/>
              <w:ind w:firstLine="480" w:firstLineChars="200"/>
              <w:rPr>
                <w:rFonts w:hint="default" w:ascii="Times New Roman" w:hAnsi="Times New Roman" w:cs="Times New Roman"/>
                <w:kern w:val="0"/>
                <w:sz w:val="24"/>
                <w:szCs w:val="24"/>
                <w:u w:val="none"/>
              </w:rPr>
            </w:pPr>
            <w:r>
              <w:rPr>
                <w:rFonts w:hint="default" w:ascii="Times New Roman" w:hAnsi="Times New Roman" w:cs="Times New Roman"/>
                <w:kern w:val="0"/>
                <w:sz w:val="24"/>
                <w:szCs w:val="24"/>
                <w:u w:val="none"/>
              </w:rPr>
              <w:t>为了减少项目</w:t>
            </w:r>
            <w:r>
              <w:rPr>
                <w:rFonts w:hint="eastAsia" w:ascii="Times New Roman" w:hAnsi="Times New Roman" w:cs="Times New Roman"/>
                <w:kern w:val="0"/>
                <w:sz w:val="24"/>
                <w:szCs w:val="24"/>
                <w:u w:val="none"/>
                <w:lang w:eastAsia="zh-CN"/>
              </w:rPr>
              <w:t>废气</w:t>
            </w:r>
            <w:r>
              <w:rPr>
                <w:rFonts w:hint="default" w:ascii="Times New Roman" w:hAnsi="Times New Roman" w:cs="Times New Roman"/>
                <w:kern w:val="0"/>
                <w:sz w:val="24"/>
                <w:szCs w:val="24"/>
                <w:u w:val="none"/>
              </w:rPr>
              <w:t>对周边居民的影响，本环评建议采取以下措施：</w:t>
            </w:r>
          </w:p>
          <w:p w14:paraId="3F57F399">
            <w:pPr>
              <w:spacing w:line="360" w:lineRule="auto"/>
              <w:ind w:firstLine="480" w:firstLineChars="200"/>
              <w:rPr>
                <w:rFonts w:hint="default" w:ascii="Times New Roman" w:hAnsi="Times New Roman" w:cs="Times New Roman"/>
                <w:kern w:val="0"/>
                <w:sz w:val="24"/>
                <w:szCs w:val="24"/>
                <w:u w:val="none"/>
              </w:rPr>
            </w:pPr>
            <w:r>
              <w:rPr>
                <w:rFonts w:hint="eastAsia" w:ascii="Times New Roman" w:hAnsi="Times New Roman" w:cs="Times New Roman"/>
                <w:kern w:val="0"/>
                <w:sz w:val="24"/>
                <w:szCs w:val="24"/>
                <w:u w:val="none"/>
                <w:lang w:eastAsia="zh-CN"/>
              </w:rPr>
              <w:t>①</w:t>
            </w:r>
            <w:r>
              <w:rPr>
                <w:rFonts w:hint="default" w:ascii="Times New Roman" w:hAnsi="Times New Roman" w:cs="Times New Roman"/>
                <w:kern w:val="0"/>
                <w:sz w:val="24"/>
                <w:szCs w:val="24"/>
                <w:u w:val="none"/>
              </w:rPr>
              <w:t>运输车辆限速通行，运输过程中使用帆布等遮盖材料将将原料覆盖，避免原料溢出产生灰尘、妨碍交通，并且做到不在道路上洗车、不超重运输；</w:t>
            </w:r>
          </w:p>
          <w:p w14:paraId="784AF5F3">
            <w:pPr>
              <w:spacing w:line="360" w:lineRule="auto"/>
              <w:ind w:firstLine="480" w:firstLineChars="200"/>
              <w:rPr>
                <w:rFonts w:hint="default" w:ascii="Times New Roman" w:hAnsi="Times New Roman" w:cs="Times New Roman"/>
                <w:kern w:val="0"/>
                <w:sz w:val="24"/>
                <w:szCs w:val="24"/>
                <w:u w:val="none"/>
              </w:rPr>
            </w:pPr>
            <w:r>
              <w:rPr>
                <w:rFonts w:hint="eastAsia" w:ascii="Times New Roman" w:hAnsi="Times New Roman" w:cs="Times New Roman"/>
                <w:kern w:val="0"/>
                <w:sz w:val="24"/>
                <w:szCs w:val="24"/>
                <w:u w:val="none"/>
                <w:lang w:eastAsia="zh-CN"/>
              </w:rPr>
              <w:t>②</w:t>
            </w:r>
            <w:r>
              <w:rPr>
                <w:rFonts w:hint="default" w:ascii="Times New Roman" w:hAnsi="Times New Roman" w:cs="Times New Roman"/>
                <w:kern w:val="0"/>
                <w:sz w:val="24"/>
                <w:szCs w:val="24"/>
                <w:u w:val="none"/>
              </w:rPr>
              <w:t>降低装卸货落差，轻拿轻放</w:t>
            </w:r>
          </w:p>
          <w:p w14:paraId="649AF172">
            <w:pPr>
              <w:spacing w:line="360" w:lineRule="auto"/>
              <w:ind w:firstLine="480" w:firstLineChars="200"/>
              <w:rPr>
                <w:rFonts w:hint="default" w:ascii="Times New Roman" w:hAnsi="Times New Roman" w:cs="Times New Roman"/>
                <w:kern w:val="0"/>
                <w:sz w:val="24"/>
                <w:szCs w:val="24"/>
                <w:u w:val="none"/>
              </w:rPr>
            </w:pPr>
            <w:r>
              <w:rPr>
                <w:rFonts w:hint="eastAsia" w:ascii="Times New Roman" w:hAnsi="Times New Roman" w:cs="Times New Roman"/>
                <w:kern w:val="0"/>
                <w:sz w:val="24"/>
                <w:szCs w:val="24"/>
                <w:u w:val="none"/>
                <w:lang w:eastAsia="zh-CN"/>
              </w:rPr>
              <w:t>③</w:t>
            </w:r>
            <w:r>
              <w:rPr>
                <w:rFonts w:hint="default" w:ascii="Times New Roman" w:hAnsi="Times New Roman" w:cs="Times New Roman"/>
                <w:kern w:val="0"/>
                <w:sz w:val="24"/>
                <w:szCs w:val="24"/>
                <w:u w:val="none"/>
              </w:rPr>
              <w:t>加强厂区周边绿化，形成防护带</w:t>
            </w:r>
          </w:p>
          <w:p w14:paraId="46CFE241">
            <w:pPr>
              <w:spacing w:line="360" w:lineRule="auto"/>
              <w:ind w:firstLine="480" w:firstLineChars="200"/>
              <w:rPr>
                <w:rFonts w:hint="default" w:ascii="Times New Roman" w:hAnsi="Times New Roman" w:cs="Times New Roman"/>
                <w:kern w:val="0"/>
                <w:sz w:val="24"/>
                <w:szCs w:val="24"/>
                <w:u w:val="none"/>
              </w:rPr>
            </w:pPr>
            <w:r>
              <w:rPr>
                <w:rFonts w:hint="eastAsia" w:ascii="Times New Roman" w:hAnsi="Times New Roman" w:cs="Times New Roman"/>
                <w:kern w:val="0"/>
                <w:sz w:val="24"/>
                <w:szCs w:val="24"/>
                <w:u w:val="none"/>
                <w:lang w:eastAsia="zh-CN"/>
              </w:rPr>
              <w:t>④</w:t>
            </w:r>
            <w:r>
              <w:rPr>
                <w:rFonts w:hint="default" w:ascii="Times New Roman" w:hAnsi="Times New Roman" w:cs="Times New Roman"/>
                <w:kern w:val="0"/>
                <w:sz w:val="24"/>
                <w:szCs w:val="24"/>
                <w:u w:val="none"/>
              </w:rPr>
              <w:t>厂区道路要经常清扫、洒水可减少汽车扬尘产生量</w:t>
            </w:r>
          </w:p>
          <w:p w14:paraId="65B7371E">
            <w:pPr>
              <w:spacing w:line="360" w:lineRule="auto"/>
              <w:ind w:firstLine="480" w:firstLineChars="200"/>
              <w:rPr>
                <w:rFonts w:hint="default" w:ascii="Times New Roman" w:hAnsi="Times New Roman" w:cs="Times New Roman"/>
                <w:kern w:val="0"/>
                <w:sz w:val="24"/>
                <w:szCs w:val="24"/>
                <w:u w:val="none"/>
              </w:rPr>
            </w:pPr>
            <w:r>
              <w:rPr>
                <w:rFonts w:hint="eastAsia" w:ascii="Times New Roman" w:hAnsi="Times New Roman" w:cs="Times New Roman"/>
                <w:kern w:val="0"/>
                <w:sz w:val="24"/>
                <w:szCs w:val="24"/>
                <w:u w:val="none"/>
                <w:lang w:eastAsia="zh-CN"/>
              </w:rPr>
              <w:t>⑤</w:t>
            </w:r>
            <w:r>
              <w:rPr>
                <w:rFonts w:hint="default" w:ascii="Times New Roman" w:hAnsi="Times New Roman" w:cs="Times New Roman"/>
                <w:kern w:val="0"/>
                <w:sz w:val="24"/>
                <w:szCs w:val="24"/>
                <w:u w:val="none"/>
              </w:rPr>
              <w:t>污染物产生环节均需入棚入库，路面硬化，并且定期清扫和洒水，保持地面清洁和堆料湿度</w:t>
            </w:r>
          </w:p>
          <w:p w14:paraId="4DA51789">
            <w:pPr>
              <w:spacing w:line="360" w:lineRule="auto"/>
              <w:ind w:firstLine="480" w:firstLineChars="200"/>
              <w:rPr>
                <w:rFonts w:hint="default" w:ascii="Times New Roman" w:hAnsi="Times New Roman" w:cs="Times New Roman"/>
                <w:kern w:val="0"/>
                <w:sz w:val="24"/>
                <w:szCs w:val="24"/>
                <w:u w:val="none"/>
              </w:rPr>
            </w:pPr>
            <w:r>
              <w:rPr>
                <w:rFonts w:hint="eastAsia" w:ascii="Times New Roman" w:hAnsi="Times New Roman" w:cs="Times New Roman"/>
                <w:kern w:val="0"/>
                <w:sz w:val="24"/>
                <w:szCs w:val="24"/>
                <w:u w:val="none"/>
                <w:lang w:eastAsia="zh-CN"/>
              </w:rPr>
              <w:t>⑥对场内生产设备及环保设施定期检查</w:t>
            </w:r>
            <w:r>
              <w:rPr>
                <w:rFonts w:hint="default" w:ascii="Times New Roman" w:hAnsi="Times New Roman" w:cs="Times New Roman"/>
                <w:kern w:val="0"/>
                <w:sz w:val="24"/>
                <w:szCs w:val="24"/>
                <w:u w:val="none"/>
              </w:rPr>
              <w:t>。</w:t>
            </w:r>
          </w:p>
          <w:p w14:paraId="5D9E5A2B">
            <w:pPr>
              <w:spacing w:line="360" w:lineRule="auto"/>
              <w:ind w:firstLine="400"/>
              <w:rPr>
                <w:rFonts w:hint="default" w:ascii="Times New Roman" w:hAnsi="Times New Roman" w:cs="Times New Roman"/>
                <w:b/>
                <w:bCs w:val="0"/>
                <w:spacing w:val="-10"/>
                <w:sz w:val="24"/>
                <w:szCs w:val="24"/>
                <w:u w:val="none"/>
              </w:rPr>
            </w:pPr>
            <w:r>
              <w:rPr>
                <w:rFonts w:hint="default" w:ascii="Times New Roman" w:hAnsi="Times New Roman" w:cs="Times New Roman"/>
                <w:b/>
                <w:bCs w:val="0"/>
                <w:spacing w:val="-10"/>
                <w:sz w:val="24"/>
                <w:szCs w:val="24"/>
                <w:u w:val="none"/>
              </w:rPr>
              <w:t>4.</w:t>
            </w:r>
            <w:r>
              <w:rPr>
                <w:rFonts w:hint="eastAsia" w:ascii="Times New Roman" w:hAnsi="Times New Roman" w:cs="Times New Roman"/>
                <w:b/>
                <w:bCs w:val="0"/>
                <w:spacing w:val="-10"/>
                <w:sz w:val="24"/>
                <w:szCs w:val="24"/>
                <w:u w:val="none"/>
                <w:lang w:val="en-US" w:eastAsia="zh-CN"/>
              </w:rPr>
              <w:t>2</w:t>
            </w:r>
            <w:r>
              <w:rPr>
                <w:rFonts w:hint="default" w:ascii="Times New Roman" w:hAnsi="Times New Roman" w:cs="Times New Roman"/>
                <w:b/>
                <w:bCs w:val="0"/>
                <w:spacing w:val="-10"/>
                <w:sz w:val="24"/>
                <w:szCs w:val="24"/>
                <w:u w:val="none"/>
              </w:rPr>
              <w:t>废水</w:t>
            </w:r>
          </w:p>
          <w:p w14:paraId="1C01193A">
            <w:pPr>
              <w:spacing w:line="360" w:lineRule="auto"/>
              <w:ind w:firstLine="482" w:firstLineChars="200"/>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rPr>
              <w:t>4.</w:t>
            </w:r>
            <w:r>
              <w:rPr>
                <w:rFonts w:hint="eastAsia" w:ascii="Times New Roman" w:hAnsi="Times New Roman" w:cs="Times New Roman"/>
                <w:b/>
                <w:bCs/>
                <w:sz w:val="24"/>
                <w:szCs w:val="24"/>
                <w:u w:val="none"/>
                <w:lang w:val="en-US" w:eastAsia="zh-CN"/>
              </w:rPr>
              <w:t>2</w:t>
            </w:r>
            <w:r>
              <w:rPr>
                <w:rFonts w:hint="default" w:ascii="Times New Roman" w:hAnsi="Times New Roman" w:cs="Times New Roman"/>
                <w:b/>
                <w:bCs/>
                <w:sz w:val="24"/>
                <w:szCs w:val="24"/>
                <w:u w:val="none"/>
              </w:rPr>
              <w:t>.1废水产生情况</w:t>
            </w:r>
          </w:p>
          <w:p w14:paraId="3E324E9E">
            <w:pPr>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本项目运营期产生的废水主要为员工生活污水、养护废水、搅拌机清洗废水。</w:t>
            </w:r>
          </w:p>
          <w:p w14:paraId="71690879">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（1）生活废水</w:t>
            </w:r>
          </w:p>
          <w:p w14:paraId="352D603C">
            <w:pPr>
              <w:keepNext w:val="0"/>
              <w:keepLines w:val="0"/>
              <w:pageBreakBefore w:val="0"/>
              <w:kinsoku/>
              <w:wordWrap/>
              <w:overflowPunct/>
              <w:topLinePunct w:val="0"/>
              <w:autoSpaceDE/>
              <w:autoSpaceDN/>
              <w:bidi w:val="0"/>
              <w:adjustRightInd/>
              <w:snapToGrid/>
              <w:spacing w:line="360" w:lineRule="auto"/>
              <w:ind w:left="0" w:leftChars="0" w:firstLine="496" w:firstLineChars="200"/>
              <w:textAlignment w:val="auto"/>
              <w:rPr>
                <w:rFonts w:hint="default" w:ascii="Times New Roman" w:hAnsi="Times New Roman" w:eastAsia="宋体" w:cs="Times New Roman"/>
                <w:sz w:val="24"/>
                <w:szCs w:val="24"/>
                <w:u w:val="none"/>
              </w:rPr>
            </w:pPr>
            <w:r>
              <w:rPr>
                <w:rFonts w:hint="default" w:ascii="Times New Roman" w:hAnsi="Times New Roman" w:eastAsia="宋体" w:cs="Times New Roman"/>
                <w:color w:val="000000"/>
                <w:spacing w:val="4"/>
                <w:sz w:val="24"/>
                <w:szCs w:val="24"/>
                <w:u w:val="none"/>
                <w:lang w:bidi="zh-CN"/>
              </w:rPr>
              <w:t>项目劳动定员</w:t>
            </w:r>
            <w:r>
              <w:rPr>
                <w:rFonts w:hint="eastAsia" w:ascii="Times New Roman" w:hAnsi="Times New Roman" w:cs="Times New Roman"/>
                <w:color w:val="000000"/>
                <w:spacing w:val="4"/>
                <w:sz w:val="24"/>
                <w:szCs w:val="24"/>
                <w:u w:val="none"/>
                <w:lang w:val="en-US" w:bidi="zh-CN"/>
              </w:rPr>
              <w:t>11</w:t>
            </w:r>
            <w:r>
              <w:rPr>
                <w:rFonts w:hint="default" w:ascii="Times New Roman" w:hAnsi="Times New Roman" w:eastAsia="宋体" w:cs="Times New Roman"/>
                <w:color w:val="000000"/>
                <w:spacing w:val="4"/>
                <w:sz w:val="24"/>
                <w:szCs w:val="24"/>
                <w:u w:val="none"/>
                <w:lang w:bidi="zh-CN"/>
              </w:rPr>
              <w:t>人，年工作</w:t>
            </w:r>
            <w:r>
              <w:rPr>
                <w:rFonts w:hint="default" w:ascii="Times New Roman" w:hAnsi="Times New Roman" w:eastAsia="宋体" w:cs="Times New Roman"/>
                <w:color w:val="000000"/>
                <w:spacing w:val="4"/>
                <w:sz w:val="24"/>
                <w:szCs w:val="24"/>
                <w:u w:val="none"/>
                <w:lang w:val="en-US" w:bidi="zh-CN"/>
              </w:rPr>
              <w:t>300</w:t>
            </w:r>
            <w:r>
              <w:rPr>
                <w:rFonts w:hint="default" w:ascii="Times New Roman" w:hAnsi="Times New Roman" w:eastAsia="宋体" w:cs="Times New Roman"/>
                <w:color w:val="000000"/>
                <w:spacing w:val="4"/>
                <w:sz w:val="24"/>
                <w:szCs w:val="24"/>
                <w:u w:val="none"/>
                <w:lang w:bidi="zh-CN"/>
              </w:rPr>
              <w:t>天，均不在厂内食宿。</w:t>
            </w:r>
            <w:r>
              <w:rPr>
                <w:rFonts w:hint="default" w:ascii="Times New Roman" w:hAnsi="Times New Roman" w:eastAsia="宋体" w:cs="Times New Roman"/>
                <w:sz w:val="24"/>
                <w:szCs w:val="24"/>
                <w:u w:val="none"/>
              </w:rPr>
              <w:t>根据《湖南省地方标准 用水定额》（DB43/T 388-2020），不住宿员工生活用水量按</w:t>
            </w:r>
            <w:r>
              <w:rPr>
                <w:rFonts w:hint="default" w:ascii="Times New Roman" w:hAnsi="Times New Roman" w:eastAsia="宋体" w:cs="Times New Roman"/>
                <w:sz w:val="24"/>
                <w:szCs w:val="24"/>
                <w:u w:val="none"/>
                <w:lang w:val="en-US" w:eastAsia="zh-CN"/>
              </w:rPr>
              <w:t>38</w:t>
            </w:r>
            <w:r>
              <w:rPr>
                <w:rFonts w:hint="default" w:ascii="Times New Roman" w:hAnsi="Times New Roman" w:eastAsia="宋体" w:cs="Times New Roman"/>
                <w:sz w:val="24"/>
                <w:szCs w:val="24"/>
                <w:u w:val="none"/>
              </w:rPr>
              <w:t>L/（人·d）计。</w:t>
            </w:r>
            <w:r>
              <w:rPr>
                <w:rFonts w:hint="default" w:ascii="Times New Roman" w:hAnsi="Times New Roman" w:eastAsia="宋体" w:cs="Times New Roman"/>
                <w:sz w:val="24"/>
                <w:szCs w:val="24"/>
                <w:u w:val="none"/>
                <w:lang w:eastAsia="zh-CN"/>
              </w:rPr>
              <w:t>则</w:t>
            </w:r>
            <w:r>
              <w:rPr>
                <w:rFonts w:hint="default" w:ascii="Times New Roman" w:hAnsi="Times New Roman" w:eastAsia="宋体" w:cs="Times New Roman"/>
                <w:sz w:val="24"/>
                <w:szCs w:val="24"/>
                <w:u w:val="none"/>
              </w:rPr>
              <w:t>本项目</w:t>
            </w:r>
            <w:r>
              <w:rPr>
                <w:rFonts w:hint="default" w:ascii="Times New Roman" w:hAnsi="Times New Roman" w:eastAsia="宋体" w:cs="Times New Roman"/>
                <w:sz w:val="24"/>
                <w:szCs w:val="24"/>
                <w:u w:val="none"/>
                <w:lang w:val="en-US" w:eastAsia="zh-CN"/>
              </w:rPr>
              <w:t>生活用水量为0.418t/d，年用水量为125.4t/a</w:t>
            </w:r>
            <w:r>
              <w:rPr>
                <w:rFonts w:hint="default" w:ascii="Times New Roman" w:hAnsi="Times New Roman" w:eastAsia="宋体" w:cs="Times New Roman"/>
                <w:sz w:val="24"/>
                <w:szCs w:val="24"/>
                <w:u w:val="none"/>
              </w:rPr>
              <w:t>，废水产生系数按0.8计，则</w:t>
            </w:r>
            <w:r>
              <w:rPr>
                <w:rFonts w:hint="default" w:ascii="Times New Roman" w:hAnsi="Times New Roman" w:eastAsia="宋体" w:cs="Times New Roman"/>
                <w:sz w:val="24"/>
                <w:szCs w:val="24"/>
                <w:u w:val="none"/>
                <w:lang w:val="en-US" w:eastAsia="zh-CN"/>
              </w:rPr>
              <w:t>生活污水产生量为0.3344t/d（100.32t/a）</w:t>
            </w:r>
            <w:r>
              <w:rPr>
                <w:rFonts w:hint="default" w:ascii="Times New Roman" w:hAnsi="Times New Roman" w:eastAsia="宋体" w:cs="Times New Roman"/>
                <w:color w:val="000000"/>
                <w:spacing w:val="4"/>
                <w:sz w:val="24"/>
                <w:szCs w:val="24"/>
                <w:u w:val="none"/>
                <w:lang w:bidi="zh-CN"/>
              </w:rPr>
              <w:t>。经化粪池处理后用于周边农田山林浇灌</w:t>
            </w:r>
            <w:r>
              <w:rPr>
                <w:rFonts w:hint="default" w:ascii="Times New Roman" w:hAnsi="Times New Roman" w:eastAsia="宋体" w:cs="Times New Roman"/>
                <w:sz w:val="24"/>
                <w:szCs w:val="24"/>
                <w:u w:val="none"/>
              </w:rPr>
              <w:t>。</w:t>
            </w:r>
          </w:p>
          <w:p w14:paraId="6F40ED1D">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0"/>
                <w:sz w:val="24"/>
                <w:szCs w:val="24"/>
                <w:u w:val="single"/>
              </w:rPr>
            </w:pPr>
            <w:r>
              <w:rPr>
                <w:rFonts w:hint="default" w:ascii="Times New Roman" w:hAnsi="Times New Roman" w:eastAsia="宋体" w:cs="Times New Roman"/>
                <w:kern w:val="0"/>
                <w:sz w:val="24"/>
                <w:szCs w:val="24"/>
                <w:u w:val="single"/>
              </w:rPr>
              <w:t>（2）搅拌机清洗废水</w:t>
            </w:r>
          </w:p>
          <w:p w14:paraId="2216DD91">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kern w:val="0"/>
                <w:sz w:val="24"/>
                <w:szCs w:val="24"/>
                <w:u w:val="single"/>
              </w:rPr>
            </w:pPr>
            <w:r>
              <w:rPr>
                <w:rFonts w:hint="default" w:ascii="Times New Roman" w:hAnsi="Times New Roman" w:eastAsia="宋体" w:cs="Times New Roman"/>
                <w:color w:val="000000"/>
                <w:kern w:val="0"/>
                <w:sz w:val="24"/>
                <w:szCs w:val="24"/>
                <w:u w:val="single"/>
              </w:rPr>
              <w:t>搅拌机为本项目主要生产设备，在暂停生产时必须冲洗干净。项目</w:t>
            </w:r>
            <w:r>
              <w:rPr>
                <w:rFonts w:hint="eastAsia" w:ascii="Times New Roman" w:hAnsi="Times New Roman" w:cs="Times New Roman"/>
                <w:color w:val="000000"/>
                <w:kern w:val="0"/>
                <w:sz w:val="24"/>
                <w:szCs w:val="24"/>
                <w:u w:val="single"/>
                <w:lang w:val="en-US" w:eastAsia="zh-CN"/>
              </w:rPr>
              <w:t>2</w:t>
            </w:r>
            <w:r>
              <w:rPr>
                <w:rFonts w:hint="default" w:ascii="Times New Roman" w:hAnsi="Times New Roman" w:eastAsia="宋体" w:cs="Times New Roman"/>
                <w:color w:val="000000"/>
                <w:kern w:val="0"/>
                <w:sz w:val="24"/>
                <w:szCs w:val="24"/>
                <w:u w:val="single"/>
              </w:rPr>
              <w:t>台搅拌机平均每天冲洗一次，则搅拌机冲洗用水量为</w:t>
            </w:r>
            <w:r>
              <w:rPr>
                <w:rFonts w:hint="eastAsia" w:ascii="Times New Roman" w:hAnsi="Times New Roman" w:cs="Times New Roman"/>
                <w:color w:val="000000"/>
                <w:kern w:val="0"/>
                <w:sz w:val="24"/>
                <w:szCs w:val="24"/>
                <w:u w:val="single"/>
                <w:lang w:val="en-US" w:eastAsia="zh-CN"/>
              </w:rPr>
              <w:t>0.5</w:t>
            </w:r>
            <w:r>
              <w:rPr>
                <w:rFonts w:hint="default" w:ascii="Times New Roman" w:hAnsi="Times New Roman" w:eastAsia="宋体" w:cs="Times New Roman"/>
                <w:color w:val="000000"/>
                <w:kern w:val="0"/>
                <w:sz w:val="24"/>
                <w:szCs w:val="24"/>
                <w:u w:val="single"/>
              </w:rPr>
              <w:t>m</w:t>
            </w:r>
            <w:r>
              <w:rPr>
                <w:rFonts w:hint="default" w:ascii="Times New Roman" w:hAnsi="Times New Roman" w:eastAsia="宋体" w:cs="Times New Roman"/>
                <w:color w:val="000000"/>
                <w:kern w:val="0"/>
                <w:sz w:val="24"/>
                <w:szCs w:val="24"/>
                <w:u w:val="single"/>
                <w:vertAlign w:val="superscript"/>
              </w:rPr>
              <w:t>3</w:t>
            </w:r>
            <w:r>
              <w:rPr>
                <w:rFonts w:hint="default" w:ascii="Times New Roman" w:hAnsi="Times New Roman" w:eastAsia="宋体" w:cs="Times New Roman"/>
                <w:color w:val="000000"/>
                <w:kern w:val="0"/>
                <w:sz w:val="24"/>
                <w:szCs w:val="24"/>
                <w:u w:val="single"/>
              </w:rPr>
              <w:t>/d（</w:t>
            </w:r>
            <w:r>
              <w:rPr>
                <w:rFonts w:hint="eastAsia" w:ascii="Times New Roman" w:hAnsi="Times New Roman" w:cs="Times New Roman"/>
                <w:color w:val="000000"/>
                <w:kern w:val="0"/>
                <w:sz w:val="24"/>
                <w:szCs w:val="24"/>
                <w:u w:val="single"/>
                <w:lang w:val="en-US" w:eastAsia="zh-CN"/>
              </w:rPr>
              <w:t>150</w:t>
            </w:r>
            <w:r>
              <w:rPr>
                <w:rFonts w:hint="default" w:ascii="Times New Roman" w:hAnsi="Times New Roman" w:eastAsia="宋体" w:cs="Times New Roman"/>
                <w:color w:val="000000"/>
                <w:kern w:val="0"/>
                <w:sz w:val="24"/>
                <w:szCs w:val="24"/>
                <w:u w:val="single"/>
              </w:rPr>
              <w:t>m</w:t>
            </w:r>
            <w:r>
              <w:rPr>
                <w:rFonts w:hint="default" w:ascii="Times New Roman" w:hAnsi="Times New Roman" w:eastAsia="宋体" w:cs="Times New Roman"/>
                <w:color w:val="000000"/>
                <w:kern w:val="0"/>
                <w:sz w:val="24"/>
                <w:szCs w:val="24"/>
                <w:u w:val="single"/>
                <w:vertAlign w:val="superscript"/>
              </w:rPr>
              <w:t>3</w:t>
            </w:r>
            <w:r>
              <w:rPr>
                <w:rFonts w:hint="default" w:ascii="Times New Roman" w:hAnsi="Times New Roman" w:eastAsia="宋体" w:cs="Times New Roman"/>
                <w:color w:val="000000"/>
                <w:kern w:val="0"/>
                <w:sz w:val="24"/>
                <w:szCs w:val="24"/>
                <w:u w:val="single"/>
              </w:rPr>
              <w:t>/a）；清洗废水排污系数取0.</w:t>
            </w:r>
            <w:r>
              <w:rPr>
                <w:rFonts w:hint="eastAsia" w:ascii="Times New Roman" w:hAnsi="Times New Roman" w:cs="Times New Roman"/>
                <w:color w:val="000000"/>
                <w:kern w:val="0"/>
                <w:sz w:val="24"/>
                <w:szCs w:val="24"/>
                <w:u w:val="single"/>
                <w:lang w:val="en-US" w:eastAsia="zh-CN"/>
              </w:rPr>
              <w:t>8</w:t>
            </w:r>
            <w:r>
              <w:rPr>
                <w:rFonts w:hint="default" w:ascii="Times New Roman" w:hAnsi="Times New Roman" w:eastAsia="宋体" w:cs="Times New Roman"/>
                <w:color w:val="000000"/>
                <w:kern w:val="0"/>
                <w:sz w:val="24"/>
                <w:szCs w:val="24"/>
                <w:u w:val="single"/>
              </w:rPr>
              <w:t>，则搅拌机清洗废水量为</w:t>
            </w:r>
            <w:r>
              <w:rPr>
                <w:rFonts w:hint="eastAsia" w:ascii="Times New Roman" w:hAnsi="Times New Roman" w:cs="Times New Roman"/>
                <w:color w:val="000000"/>
                <w:kern w:val="0"/>
                <w:sz w:val="24"/>
                <w:szCs w:val="24"/>
                <w:u w:val="single"/>
                <w:lang w:val="en-US" w:eastAsia="zh-CN"/>
              </w:rPr>
              <w:t>0.4</w:t>
            </w:r>
            <w:r>
              <w:rPr>
                <w:rFonts w:hint="default" w:ascii="Times New Roman" w:hAnsi="Times New Roman" w:eastAsia="宋体" w:cs="Times New Roman"/>
                <w:color w:val="000000"/>
                <w:kern w:val="0"/>
                <w:sz w:val="24"/>
                <w:szCs w:val="24"/>
                <w:u w:val="single"/>
              </w:rPr>
              <w:t>m</w:t>
            </w:r>
            <w:r>
              <w:rPr>
                <w:rFonts w:hint="default" w:ascii="Times New Roman" w:hAnsi="Times New Roman" w:eastAsia="宋体" w:cs="Times New Roman"/>
                <w:color w:val="000000"/>
                <w:kern w:val="0"/>
                <w:sz w:val="24"/>
                <w:szCs w:val="24"/>
                <w:u w:val="single"/>
                <w:vertAlign w:val="superscript"/>
              </w:rPr>
              <w:t>3</w:t>
            </w:r>
            <w:r>
              <w:rPr>
                <w:rFonts w:hint="default" w:ascii="Times New Roman" w:hAnsi="Times New Roman" w:eastAsia="宋体" w:cs="Times New Roman"/>
                <w:color w:val="000000"/>
                <w:kern w:val="0"/>
                <w:sz w:val="24"/>
                <w:szCs w:val="24"/>
                <w:u w:val="single"/>
              </w:rPr>
              <w:t>/d（</w:t>
            </w:r>
            <w:r>
              <w:rPr>
                <w:rFonts w:hint="eastAsia" w:ascii="Times New Roman" w:hAnsi="Times New Roman" w:cs="Times New Roman"/>
                <w:color w:val="000000"/>
                <w:kern w:val="0"/>
                <w:sz w:val="24"/>
                <w:szCs w:val="24"/>
                <w:u w:val="single"/>
                <w:lang w:val="en-US" w:eastAsia="zh-CN"/>
              </w:rPr>
              <w:t>120</w:t>
            </w:r>
            <w:r>
              <w:rPr>
                <w:rFonts w:hint="default" w:ascii="Times New Roman" w:hAnsi="Times New Roman" w:eastAsia="宋体" w:cs="Times New Roman"/>
                <w:color w:val="000000"/>
                <w:kern w:val="0"/>
                <w:sz w:val="24"/>
                <w:szCs w:val="24"/>
                <w:u w:val="single"/>
              </w:rPr>
              <w:t>m</w:t>
            </w:r>
            <w:r>
              <w:rPr>
                <w:rFonts w:hint="default" w:ascii="Times New Roman" w:hAnsi="Times New Roman" w:eastAsia="宋体" w:cs="Times New Roman"/>
                <w:color w:val="000000"/>
                <w:kern w:val="0"/>
                <w:sz w:val="24"/>
                <w:szCs w:val="24"/>
                <w:u w:val="single"/>
                <w:vertAlign w:val="superscript"/>
              </w:rPr>
              <w:t>3</w:t>
            </w:r>
            <w:r>
              <w:rPr>
                <w:rFonts w:hint="default" w:ascii="Times New Roman" w:hAnsi="Times New Roman" w:eastAsia="宋体" w:cs="Times New Roman"/>
                <w:color w:val="000000"/>
                <w:kern w:val="0"/>
                <w:sz w:val="24"/>
                <w:szCs w:val="24"/>
                <w:u w:val="single"/>
              </w:rPr>
              <w:t>/a）。该类废水主要污染因子为 SS。清洗废水用作场地冲洗废水自然蒸发。</w:t>
            </w:r>
          </w:p>
          <w:p w14:paraId="4D64DA7F">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kern w:val="0"/>
                <w:sz w:val="24"/>
                <w:szCs w:val="24"/>
                <w:u w:val="single"/>
              </w:rPr>
            </w:pPr>
            <w:r>
              <w:rPr>
                <w:rFonts w:hint="default" w:ascii="Times New Roman" w:hAnsi="Times New Roman" w:eastAsia="宋体" w:cs="Times New Roman"/>
                <w:color w:val="000000"/>
                <w:kern w:val="0"/>
                <w:sz w:val="24"/>
                <w:szCs w:val="24"/>
                <w:u w:val="single"/>
              </w:rPr>
              <w:t>由于搅拌机清洗废水里面含有砂石无法直接用做场地冲洗废水，</w:t>
            </w:r>
            <w:r>
              <w:rPr>
                <w:rFonts w:hint="default" w:ascii="Times New Roman" w:hAnsi="Times New Roman" w:eastAsia="宋体" w:cs="Times New Roman"/>
                <w:color w:val="000000"/>
                <w:sz w:val="24"/>
                <w:szCs w:val="24"/>
                <w:u w:val="single"/>
              </w:rPr>
              <w:t>生产废水产生量</w:t>
            </w:r>
            <w:r>
              <w:rPr>
                <w:rFonts w:hint="eastAsia" w:ascii="Times New Roman" w:hAnsi="Times New Roman" w:cs="Times New Roman"/>
                <w:color w:val="000000"/>
                <w:sz w:val="24"/>
                <w:szCs w:val="24"/>
                <w:u w:val="single"/>
                <w:lang w:val="en-US" w:eastAsia="zh-CN"/>
              </w:rPr>
              <w:t>0.4</w:t>
            </w:r>
            <w:r>
              <w:rPr>
                <w:rFonts w:hint="default" w:ascii="Times New Roman" w:hAnsi="Times New Roman" w:eastAsia="宋体" w:cs="Times New Roman"/>
                <w:color w:val="000000"/>
                <w:sz w:val="24"/>
                <w:szCs w:val="24"/>
                <w:u w:val="single"/>
              </w:rPr>
              <w:t>m</w:t>
            </w:r>
            <w:r>
              <w:rPr>
                <w:rFonts w:hint="default" w:ascii="Times New Roman" w:hAnsi="Times New Roman" w:eastAsia="宋体" w:cs="Times New Roman"/>
                <w:color w:val="000000"/>
                <w:sz w:val="24"/>
                <w:szCs w:val="24"/>
                <w:u w:val="single"/>
                <w:vertAlign w:val="superscript"/>
              </w:rPr>
              <w:t>3</w:t>
            </w:r>
            <w:r>
              <w:rPr>
                <w:rFonts w:hint="default" w:ascii="Times New Roman" w:hAnsi="Times New Roman" w:eastAsia="宋体" w:cs="Times New Roman"/>
                <w:color w:val="000000"/>
                <w:sz w:val="24"/>
                <w:szCs w:val="24"/>
                <w:u w:val="single"/>
              </w:rPr>
              <w:t>/d。项目在东侧建设1座容积为</w:t>
            </w:r>
            <w:r>
              <w:rPr>
                <w:rFonts w:hint="default" w:ascii="Times New Roman" w:hAnsi="Times New Roman" w:eastAsia="宋体" w:cs="Times New Roman"/>
                <w:color w:val="000000"/>
                <w:sz w:val="24"/>
                <w:szCs w:val="24"/>
                <w:u w:val="single"/>
                <w:lang w:val="en-US" w:eastAsia="zh-CN"/>
              </w:rPr>
              <w:t>50</w:t>
            </w:r>
            <w:r>
              <w:rPr>
                <w:rFonts w:hint="default" w:ascii="Times New Roman" w:hAnsi="Times New Roman" w:eastAsia="宋体" w:cs="Times New Roman"/>
                <w:color w:val="000000"/>
                <w:sz w:val="24"/>
                <w:szCs w:val="24"/>
                <w:u w:val="single"/>
              </w:rPr>
              <w:t>m</w:t>
            </w:r>
            <w:r>
              <w:rPr>
                <w:rFonts w:hint="default" w:ascii="Times New Roman" w:hAnsi="Times New Roman" w:eastAsia="宋体" w:cs="Times New Roman"/>
                <w:color w:val="000000"/>
                <w:sz w:val="24"/>
                <w:szCs w:val="24"/>
                <w:u w:val="single"/>
                <w:vertAlign w:val="superscript"/>
              </w:rPr>
              <w:t>3</w:t>
            </w:r>
            <w:r>
              <w:rPr>
                <w:rFonts w:hint="default" w:ascii="Times New Roman" w:hAnsi="Times New Roman" w:eastAsia="宋体" w:cs="Times New Roman"/>
                <w:color w:val="000000"/>
                <w:sz w:val="24"/>
                <w:szCs w:val="24"/>
                <w:u w:val="single"/>
              </w:rPr>
              <w:t>的沉淀池，用于处理生产废水，通过排水沟排至沉淀池处理后回用于生产，沉淀池容积满足生产废水处理规模要求，同时在沉淀池进水口端设置 1 台砂石分离机，分离出的混凝土残渣返回生产线回用于生产。</w:t>
            </w:r>
          </w:p>
          <w:p w14:paraId="619E12ED">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kern w:val="0"/>
                <w:sz w:val="24"/>
                <w:szCs w:val="24"/>
                <w:u w:val="single"/>
              </w:rPr>
            </w:pPr>
            <w:r>
              <w:rPr>
                <w:rFonts w:hint="default" w:ascii="Times New Roman" w:hAnsi="Times New Roman" w:eastAsia="宋体" w:cs="Times New Roman"/>
                <w:kern w:val="0"/>
                <w:sz w:val="24"/>
                <w:szCs w:val="24"/>
                <w:u w:val="single"/>
              </w:rPr>
              <w:t>（3）</w:t>
            </w:r>
            <w:r>
              <w:rPr>
                <w:rFonts w:hint="default" w:ascii="Times New Roman" w:hAnsi="Times New Roman" w:cs="Times New Roman"/>
                <w:sz w:val="24"/>
                <w:szCs w:val="24"/>
                <w:u w:val="single"/>
              </w:rPr>
              <w:t>养护废水</w:t>
            </w:r>
          </w:p>
          <w:p w14:paraId="73A01F38">
            <w:pPr>
              <w:spacing w:line="360" w:lineRule="auto"/>
              <w:ind w:firstLine="480" w:firstLineChars="200"/>
              <w:rPr>
                <w:rFonts w:hint="default" w:ascii="Times New Roman" w:hAnsi="Times New Roman" w:eastAsia="宋体" w:cs="Times New Roman"/>
                <w:kern w:val="0"/>
                <w:sz w:val="24"/>
                <w:szCs w:val="24"/>
                <w:u w:val="single"/>
              </w:rPr>
            </w:pPr>
            <w:r>
              <w:rPr>
                <w:rFonts w:hint="default" w:ascii="Times New Roman" w:hAnsi="Times New Roman" w:eastAsia="宋体" w:cs="Times New Roman"/>
                <w:kern w:val="0"/>
                <w:sz w:val="24"/>
                <w:szCs w:val="24"/>
                <w:u w:val="single"/>
                <w:lang w:val="en-US" w:eastAsia="zh-CN"/>
              </w:rPr>
              <w:t>当气温低于20℃时需要使用蒸汽发生器蒸汽对电杆进行养护</w:t>
            </w:r>
            <w:r>
              <w:rPr>
                <w:rFonts w:hint="default" w:ascii="Times New Roman" w:hAnsi="Times New Roman" w:eastAsia="宋体" w:cs="Times New Roman"/>
                <w:kern w:val="0"/>
                <w:sz w:val="24"/>
                <w:szCs w:val="24"/>
                <w:u w:val="single"/>
              </w:rPr>
              <w:t>，使产品达到应有的强度。项目使用1台</w:t>
            </w:r>
            <w:r>
              <w:rPr>
                <w:rFonts w:hint="default" w:ascii="Times New Roman" w:hAnsi="Times New Roman" w:eastAsia="宋体" w:cs="Times New Roman"/>
                <w:kern w:val="0"/>
                <w:sz w:val="24"/>
                <w:szCs w:val="24"/>
                <w:u w:val="single"/>
                <w:lang w:eastAsia="zh-CN"/>
              </w:rPr>
              <w:t>生物质燃料蒸汽发生器</w:t>
            </w:r>
            <w:r>
              <w:rPr>
                <w:rFonts w:hint="default" w:ascii="Times New Roman" w:hAnsi="Times New Roman" w:eastAsia="宋体" w:cs="Times New Roman"/>
                <w:kern w:val="0"/>
                <w:sz w:val="24"/>
                <w:szCs w:val="24"/>
                <w:u w:val="single"/>
              </w:rPr>
              <w:t>提供蒸汽，每天运行</w:t>
            </w:r>
            <w:r>
              <w:rPr>
                <w:rFonts w:hint="eastAsia" w:ascii="Times New Roman" w:hAnsi="Times New Roman" w:cs="Times New Roman"/>
                <w:kern w:val="0"/>
                <w:sz w:val="24"/>
                <w:szCs w:val="24"/>
                <w:u w:val="single"/>
                <w:lang w:val="en-US" w:eastAsia="zh-CN"/>
              </w:rPr>
              <w:t>4</w:t>
            </w:r>
            <w:r>
              <w:rPr>
                <w:rFonts w:hint="default" w:ascii="Times New Roman" w:hAnsi="Times New Roman" w:eastAsia="宋体" w:cs="Times New Roman"/>
                <w:kern w:val="0"/>
                <w:sz w:val="24"/>
                <w:szCs w:val="24"/>
                <w:u w:val="single"/>
              </w:rPr>
              <w:t>h</w:t>
            </w:r>
            <w:r>
              <w:rPr>
                <w:rFonts w:hint="eastAsia" w:ascii="Times New Roman" w:hAnsi="Times New Roman" w:cs="Times New Roman"/>
                <w:kern w:val="0"/>
                <w:sz w:val="24"/>
                <w:szCs w:val="24"/>
                <w:u w:val="single"/>
                <w:lang w:eastAsia="zh-CN"/>
              </w:rPr>
              <w:t>，年运行</w:t>
            </w:r>
            <w:r>
              <w:rPr>
                <w:rFonts w:hint="eastAsia" w:ascii="Times New Roman" w:hAnsi="Times New Roman" w:cs="Times New Roman"/>
                <w:kern w:val="0"/>
                <w:sz w:val="24"/>
                <w:szCs w:val="24"/>
                <w:u w:val="single"/>
                <w:lang w:val="en-US" w:eastAsia="zh-CN"/>
              </w:rPr>
              <w:t>100天</w:t>
            </w:r>
            <w:r>
              <w:rPr>
                <w:rFonts w:hint="default" w:ascii="Times New Roman" w:hAnsi="Times New Roman" w:eastAsia="宋体" w:cs="Times New Roman"/>
                <w:kern w:val="0"/>
                <w:sz w:val="24"/>
                <w:szCs w:val="24"/>
                <w:u w:val="single"/>
              </w:rPr>
              <w:t>，则</w:t>
            </w:r>
            <w:r>
              <w:rPr>
                <w:rFonts w:hint="default" w:ascii="Times New Roman" w:hAnsi="Times New Roman" w:eastAsia="宋体" w:cs="Times New Roman"/>
                <w:kern w:val="0"/>
                <w:sz w:val="24"/>
                <w:szCs w:val="24"/>
                <w:u w:val="single"/>
                <w:lang w:eastAsia="zh-CN"/>
              </w:rPr>
              <w:t>生物质燃料</w:t>
            </w:r>
            <w:r>
              <w:rPr>
                <w:rFonts w:hint="default" w:ascii="Times New Roman" w:hAnsi="Times New Roman" w:eastAsia="宋体" w:cs="Times New Roman"/>
                <w:kern w:val="0"/>
                <w:sz w:val="24"/>
                <w:szCs w:val="24"/>
                <w:u w:val="single"/>
              </w:rPr>
              <w:t>满负荷用水量</w:t>
            </w:r>
            <w:r>
              <w:rPr>
                <w:rFonts w:hint="default" w:ascii="Times New Roman" w:hAnsi="Times New Roman" w:eastAsia="宋体" w:cs="Times New Roman"/>
                <w:kern w:val="0"/>
                <w:sz w:val="24"/>
                <w:szCs w:val="24"/>
                <w:u w:val="single"/>
                <w:lang w:val="en-US" w:eastAsia="zh-CN"/>
              </w:rPr>
              <w:t>0.264</w:t>
            </w:r>
            <w:r>
              <w:rPr>
                <w:rFonts w:hint="default" w:ascii="Times New Roman" w:hAnsi="Times New Roman" w:eastAsia="宋体" w:cs="Times New Roman"/>
                <w:kern w:val="0"/>
                <w:sz w:val="24"/>
                <w:szCs w:val="24"/>
                <w:u w:val="single"/>
              </w:rPr>
              <w:t>m</w:t>
            </w:r>
            <w:r>
              <w:rPr>
                <w:rFonts w:hint="default" w:ascii="Times New Roman" w:hAnsi="Times New Roman" w:eastAsia="宋体" w:cs="Times New Roman"/>
                <w:kern w:val="0"/>
                <w:sz w:val="24"/>
                <w:szCs w:val="24"/>
                <w:u w:val="single"/>
                <w:vertAlign w:val="superscript"/>
              </w:rPr>
              <w:t>3</w:t>
            </w:r>
            <w:r>
              <w:rPr>
                <w:rFonts w:hint="default" w:ascii="Times New Roman" w:hAnsi="Times New Roman" w:eastAsia="宋体" w:cs="Times New Roman"/>
                <w:kern w:val="0"/>
                <w:sz w:val="24"/>
                <w:szCs w:val="24"/>
                <w:u w:val="single"/>
                <w:lang w:val="en-US" w:eastAsia="zh-CN"/>
              </w:rPr>
              <w:t>/d、26.4</w:t>
            </w:r>
            <w:r>
              <w:rPr>
                <w:rFonts w:hint="default" w:ascii="Times New Roman" w:hAnsi="Times New Roman" w:eastAsia="宋体" w:cs="Times New Roman"/>
                <w:kern w:val="0"/>
                <w:sz w:val="24"/>
                <w:szCs w:val="24"/>
                <w:u w:val="single"/>
              </w:rPr>
              <w:t>m</w:t>
            </w:r>
            <w:r>
              <w:rPr>
                <w:rFonts w:hint="default" w:ascii="Times New Roman" w:hAnsi="Times New Roman" w:eastAsia="宋体" w:cs="Times New Roman"/>
                <w:kern w:val="0"/>
                <w:sz w:val="24"/>
                <w:szCs w:val="24"/>
                <w:u w:val="single"/>
                <w:vertAlign w:val="superscript"/>
              </w:rPr>
              <w:t>3</w:t>
            </w:r>
            <w:r>
              <w:rPr>
                <w:rFonts w:hint="default" w:ascii="Times New Roman" w:hAnsi="Times New Roman" w:eastAsia="宋体" w:cs="Times New Roman"/>
                <w:kern w:val="0"/>
                <w:sz w:val="24"/>
                <w:szCs w:val="24"/>
                <w:u w:val="single"/>
                <w:lang w:val="en-US" w:eastAsia="zh-CN"/>
              </w:rPr>
              <w:t>/a</w:t>
            </w:r>
            <w:r>
              <w:rPr>
                <w:rFonts w:hint="default" w:ascii="Times New Roman" w:hAnsi="Times New Roman" w:eastAsia="宋体" w:cs="Times New Roman"/>
                <w:kern w:val="0"/>
                <w:sz w:val="24"/>
                <w:szCs w:val="24"/>
                <w:u w:val="single"/>
              </w:rPr>
              <w:t>。蒸汽经冷凝后回用，冷凝回用量按用水量的90%计，项目</w:t>
            </w:r>
            <w:r>
              <w:rPr>
                <w:rFonts w:hint="default" w:ascii="Times New Roman" w:hAnsi="Times New Roman" w:eastAsia="宋体" w:cs="Times New Roman"/>
                <w:kern w:val="0"/>
                <w:sz w:val="24"/>
                <w:szCs w:val="24"/>
                <w:u w:val="single"/>
                <w:lang w:eastAsia="zh-CN"/>
              </w:rPr>
              <w:t>生物质燃料</w:t>
            </w:r>
            <w:r>
              <w:rPr>
                <w:rFonts w:hint="default" w:ascii="Times New Roman" w:hAnsi="Times New Roman" w:eastAsia="宋体" w:cs="Times New Roman"/>
                <w:kern w:val="0"/>
                <w:sz w:val="24"/>
                <w:szCs w:val="24"/>
                <w:u w:val="single"/>
              </w:rPr>
              <w:t>冷凝水回用量为</w:t>
            </w:r>
            <w:r>
              <w:rPr>
                <w:rFonts w:hint="eastAsia" w:ascii="Times New Roman" w:hAnsi="Times New Roman" w:cs="Times New Roman"/>
                <w:kern w:val="0"/>
                <w:sz w:val="24"/>
                <w:szCs w:val="24"/>
                <w:u w:val="single"/>
                <w:lang w:val="en-US" w:eastAsia="zh-CN"/>
              </w:rPr>
              <w:t>0.2376</w:t>
            </w:r>
            <w:r>
              <w:rPr>
                <w:rFonts w:hint="default" w:ascii="Times New Roman" w:hAnsi="Times New Roman" w:eastAsia="宋体" w:cs="Times New Roman"/>
                <w:kern w:val="0"/>
                <w:sz w:val="24"/>
                <w:szCs w:val="24"/>
                <w:u w:val="single"/>
              </w:rPr>
              <w:t>m</w:t>
            </w:r>
            <w:r>
              <w:rPr>
                <w:rFonts w:hint="default" w:ascii="Times New Roman" w:hAnsi="Times New Roman" w:eastAsia="宋体" w:cs="Times New Roman"/>
                <w:kern w:val="0"/>
                <w:sz w:val="24"/>
                <w:szCs w:val="24"/>
                <w:u w:val="single"/>
                <w:vertAlign w:val="superscript"/>
              </w:rPr>
              <w:t>3</w:t>
            </w:r>
            <w:r>
              <w:rPr>
                <w:rFonts w:hint="default" w:ascii="Times New Roman" w:hAnsi="Times New Roman" w:eastAsia="宋体" w:cs="Times New Roman"/>
                <w:kern w:val="0"/>
                <w:sz w:val="24"/>
                <w:szCs w:val="24"/>
                <w:u w:val="single"/>
                <w:lang w:val="en-US" w:eastAsia="zh-CN"/>
              </w:rPr>
              <w:t>/d、</w:t>
            </w:r>
            <w:r>
              <w:rPr>
                <w:rFonts w:hint="eastAsia" w:ascii="Times New Roman" w:hAnsi="Times New Roman" w:cs="Times New Roman"/>
                <w:kern w:val="0"/>
                <w:sz w:val="24"/>
                <w:szCs w:val="24"/>
                <w:u w:val="single"/>
                <w:lang w:val="en-US" w:eastAsia="zh-CN"/>
              </w:rPr>
              <w:t>23.76</w:t>
            </w:r>
            <w:r>
              <w:rPr>
                <w:rFonts w:hint="default" w:ascii="Times New Roman" w:hAnsi="Times New Roman" w:eastAsia="宋体" w:cs="Times New Roman"/>
                <w:kern w:val="0"/>
                <w:sz w:val="24"/>
                <w:szCs w:val="24"/>
                <w:u w:val="single"/>
              </w:rPr>
              <w:t>m</w:t>
            </w:r>
            <w:r>
              <w:rPr>
                <w:rFonts w:hint="default" w:ascii="Times New Roman" w:hAnsi="Times New Roman" w:eastAsia="宋体" w:cs="Times New Roman"/>
                <w:kern w:val="0"/>
                <w:sz w:val="24"/>
                <w:szCs w:val="24"/>
                <w:u w:val="single"/>
                <w:vertAlign w:val="superscript"/>
              </w:rPr>
              <w:t>3</w:t>
            </w:r>
            <w:r>
              <w:rPr>
                <w:rFonts w:hint="default" w:ascii="Times New Roman" w:hAnsi="Times New Roman" w:eastAsia="宋体" w:cs="Times New Roman"/>
                <w:kern w:val="0"/>
                <w:sz w:val="24"/>
                <w:szCs w:val="24"/>
                <w:u w:val="single"/>
                <w:lang w:val="en-US" w:eastAsia="zh-CN"/>
              </w:rPr>
              <w:t>/a</w:t>
            </w:r>
            <w:r>
              <w:rPr>
                <w:rFonts w:hint="default" w:ascii="Times New Roman" w:hAnsi="Times New Roman" w:eastAsia="宋体" w:cs="Times New Roman"/>
                <w:kern w:val="0"/>
                <w:sz w:val="24"/>
                <w:szCs w:val="24"/>
                <w:u w:val="single"/>
              </w:rPr>
              <w:t>。</w:t>
            </w:r>
          </w:p>
          <w:p w14:paraId="30EFABFB">
            <w:pPr>
              <w:spacing w:line="360" w:lineRule="auto"/>
              <w:ind w:firstLine="480" w:firstLineChars="200"/>
              <w:rPr>
                <w:rFonts w:hint="default" w:ascii="Times New Roman" w:hAnsi="Times New Roman" w:eastAsia="宋体" w:cs="Times New Roman"/>
                <w:kern w:val="0"/>
                <w:sz w:val="24"/>
                <w:szCs w:val="24"/>
                <w:u w:val="single"/>
              </w:rPr>
            </w:pPr>
            <w:r>
              <w:rPr>
                <w:rFonts w:hint="default" w:ascii="Times New Roman" w:hAnsi="Times New Roman" w:eastAsia="宋体" w:cs="Times New Roman"/>
                <w:kern w:val="0"/>
                <w:sz w:val="24"/>
                <w:szCs w:val="24"/>
                <w:u w:val="single"/>
                <w:lang w:eastAsia="zh-CN"/>
              </w:rPr>
              <w:t>蒸汽发生器</w:t>
            </w:r>
            <w:r>
              <w:rPr>
                <w:rFonts w:hint="default" w:ascii="Times New Roman" w:hAnsi="Times New Roman" w:eastAsia="宋体" w:cs="Times New Roman"/>
                <w:kern w:val="0"/>
                <w:sz w:val="24"/>
                <w:szCs w:val="24"/>
                <w:u w:val="single"/>
              </w:rPr>
              <w:t>生产过程中存在定期排污，以免水垢堆积，项目</w:t>
            </w:r>
            <w:r>
              <w:rPr>
                <w:rFonts w:hint="default" w:ascii="Times New Roman" w:hAnsi="Times New Roman" w:eastAsia="宋体" w:cs="Times New Roman"/>
                <w:kern w:val="0"/>
                <w:sz w:val="24"/>
                <w:szCs w:val="24"/>
                <w:u w:val="single"/>
                <w:lang w:eastAsia="zh-CN"/>
              </w:rPr>
              <w:t>蒸汽发生器</w:t>
            </w:r>
            <w:r>
              <w:rPr>
                <w:rFonts w:hint="default" w:ascii="Times New Roman" w:hAnsi="Times New Roman" w:eastAsia="宋体" w:cs="Times New Roman"/>
                <w:kern w:val="0"/>
                <w:sz w:val="24"/>
                <w:szCs w:val="24"/>
                <w:u w:val="single"/>
              </w:rPr>
              <w:t>定期排污系数按用水量的</w:t>
            </w:r>
            <w:r>
              <w:rPr>
                <w:rFonts w:hint="eastAsia" w:ascii="Times New Roman" w:hAnsi="Times New Roman" w:cs="Times New Roman"/>
                <w:kern w:val="0"/>
                <w:sz w:val="24"/>
                <w:szCs w:val="24"/>
                <w:u w:val="single"/>
                <w:lang w:val="en-US" w:eastAsia="zh-CN"/>
              </w:rPr>
              <w:t>10</w:t>
            </w:r>
            <w:r>
              <w:rPr>
                <w:rFonts w:hint="default" w:ascii="Times New Roman" w:hAnsi="Times New Roman" w:eastAsia="宋体" w:cs="Times New Roman"/>
                <w:kern w:val="0"/>
                <w:sz w:val="24"/>
                <w:szCs w:val="24"/>
                <w:u w:val="single"/>
              </w:rPr>
              <w:t>%计，则排污水量为</w:t>
            </w:r>
            <w:r>
              <w:rPr>
                <w:rFonts w:hint="default" w:ascii="Times New Roman" w:hAnsi="Times New Roman" w:eastAsia="宋体" w:cs="Times New Roman"/>
                <w:kern w:val="0"/>
                <w:sz w:val="24"/>
                <w:szCs w:val="24"/>
                <w:u w:val="single"/>
                <w:lang w:val="en-US" w:eastAsia="zh-CN"/>
              </w:rPr>
              <w:t>0.0264</w:t>
            </w:r>
            <w:r>
              <w:rPr>
                <w:rFonts w:hint="default" w:ascii="Times New Roman" w:hAnsi="Times New Roman" w:eastAsia="宋体" w:cs="Times New Roman"/>
                <w:kern w:val="0"/>
                <w:sz w:val="24"/>
                <w:szCs w:val="24"/>
                <w:u w:val="single"/>
              </w:rPr>
              <w:t>m</w:t>
            </w:r>
            <w:r>
              <w:rPr>
                <w:rFonts w:hint="default" w:ascii="Times New Roman" w:hAnsi="Times New Roman" w:eastAsia="宋体" w:cs="Times New Roman"/>
                <w:kern w:val="0"/>
                <w:sz w:val="24"/>
                <w:szCs w:val="24"/>
                <w:u w:val="single"/>
                <w:vertAlign w:val="superscript"/>
              </w:rPr>
              <w:t>3</w:t>
            </w:r>
            <w:r>
              <w:rPr>
                <w:rFonts w:hint="default" w:ascii="Times New Roman" w:hAnsi="Times New Roman" w:eastAsia="宋体" w:cs="Times New Roman"/>
                <w:kern w:val="0"/>
                <w:sz w:val="24"/>
                <w:szCs w:val="24"/>
                <w:u w:val="single"/>
                <w:lang w:val="en-US" w:eastAsia="zh-CN"/>
              </w:rPr>
              <w:t>/d（2.64</w:t>
            </w:r>
            <w:r>
              <w:rPr>
                <w:rFonts w:hint="default" w:ascii="Times New Roman" w:hAnsi="Times New Roman" w:eastAsia="宋体" w:cs="Times New Roman"/>
                <w:kern w:val="0"/>
                <w:sz w:val="24"/>
                <w:szCs w:val="24"/>
                <w:u w:val="single"/>
              </w:rPr>
              <w:t>m</w:t>
            </w:r>
            <w:r>
              <w:rPr>
                <w:rFonts w:hint="default" w:ascii="Times New Roman" w:hAnsi="Times New Roman" w:eastAsia="宋体" w:cs="Times New Roman"/>
                <w:kern w:val="0"/>
                <w:sz w:val="24"/>
                <w:szCs w:val="24"/>
                <w:u w:val="single"/>
                <w:vertAlign w:val="superscript"/>
              </w:rPr>
              <w:t>3</w:t>
            </w:r>
            <w:r>
              <w:rPr>
                <w:rFonts w:hint="default" w:ascii="Times New Roman" w:hAnsi="Times New Roman" w:eastAsia="宋体" w:cs="Times New Roman"/>
                <w:kern w:val="0"/>
                <w:sz w:val="24"/>
                <w:szCs w:val="24"/>
                <w:u w:val="single"/>
                <w:lang w:val="en-US" w:eastAsia="zh-CN"/>
              </w:rPr>
              <w:t>/a）</w:t>
            </w:r>
            <w:r>
              <w:rPr>
                <w:rFonts w:hint="default" w:ascii="Times New Roman" w:hAnsi="Times New Roman" w:eastAsia="宋体" w:cs="Times New Roman"/>
                <w:kern w:val="0"/>
                <w:sz w:val="24"/>
                <w:szCs w:val="24"/>
                <w:u w:val="single"/>
              </w:rPr>
              <w:t>。则</w:t>
            </w:r>
            <w:r>
              <w:rPr>
                <w:rFonts w:hint="default" w:ascii="Times New Roman" w:hAnsi="Times New Roman" w:eastAsia="宋体" w:cs="Times New Roman"/>
                <w:kern w:val="0"/>
                <w:sz w:val="24"/>
                <w:szCs w:val="24"/>
                <w:u w:val="single"/>
                <w:lang w:eastAsia="zh-CN"/>
              </w:rPr>
              <w:t>蒸汽发生器</w:t>
            </w:r>
            <w:r>
              <w:rPr>
                <w:rFonts w:hint="default" w:ascii="Times New Roman" w:hAnsi="Times New Roman" w:eastAsia="宋体" w:cs="Times New Roman"/>
                <w:kern w:val="0"/>
                <w:sz w:val="24"/>
                <w:szCs w:val="24"/>
                <w:u w:val="single"/>
              </w:rPr>
              <w:t>需补充软水量为</w:t>
            </w:r>
            <w:r>
              <w:rPr>
                <w:rFonts w:hint="default" w:ascii="Times New Roman" w:hAnsi="Times New Roman" w:eastAsia="宋体" w:cs="Times New Roman"/>
                <w:kern w:val="0"/>
                <w:sz w:val="24"/>
                <w:szCs w:val="24"/>
                <w:u w:val="single"/>
                <w:lang w:val="en-US" w:eastAsia="zh-CN"/>
              </w:rPr>
              <w:t>0.0264</w:t>
            </w:r>
            <w:r>
              <w:rPr>
                <w:rFonts w:hint="default" w:ascii="Times New Roman" w:hAnsi="Times New Roman" w:eastAsia="宋体" w:cs="Times New Roman"/>
                <w:kern w:val="0"/>
                <w:sz w:val="24"/>
                <w:szCs w:val="24"/>
                <w:u w:val="single"/>
              </w:rPr>
              <w:t>m</w:t>
            </w:r>
            <w:r>
              <w:rPr>
                <w:rFonts w:hint="default" w:ascii="Times New Roman" w:hAnsi="Times New Roman" w:eastAsia="宋体" w:cs="Times New Roman"/>
                <w:kern w:val="0"/>
                <w:sz w:val="24"/>
                <w:szCs w:val="24"/>
                <w:u w:val="single"/>
                <w:vertAlign w:val="superscript"/>
              </w:rPr>
              <w:t>3</w:t>
            </w:r>
            <w:r>
              <w:rPr>
                <w:rFonts w:hint="default" w:ascii="Times New Roman" w:hAnsi="Times New Roman" w:eastAsia="宋体" w:cs="Times New Roman"/>
                <w:kern w:val="0"/>
                <w:sz w:val="24"/>
                <w:szCs w:val="24"/>
                <w:u w:val="single"/>
                <w:lang w:val="en-US" w:eastAsia="zh-CN"/>
              </w:rPr>
              <w:t>/d（2.64</w:t>
            </w:r>
            <w:r>
              <w:rPr>
                <w:rFonts w:hint="default" w:ascii="Times New Roman" w:hAnsi="Times New Roman" w:eastAsia="宋体" w:cs="Times New Roman"/>
                <w:kern w:val="0"/>
                <w:sz w:val="24"/>
                <w:szCs w:val="24"/>
                <w:u w:val="single"/>
              </w:rPr>
              <w:t>m</w:t>
            </w:r>
            <w:r>
              <w:rPr>
                <w:rFonts w:hint="default" w:ascii="Times New Roman" w:hAnsi="Times New Roman" w:eastAsia="宋体" w:cs="Times New Roman"/>
                <w:kern w:val="0"/>
                <w:sz w:val="24"/>
                <w:szCs w:val="24"/>
                <w:u w:val="single"/>
                <w:vertAlign w:val="superscript"/>
              </w:rPr>
              <w:t>3</w:t>
            </w:r>
            <w:r>
              <w:rPr>
                <w:rFonts w:hint="default" w:ascii="Times New Roman" w:hAnsi="Times New Roman" w:eastAsia="宋体" w:cs="Times New Roman"/>
                <w:kern w:val="0"/>
                <w:sz w:val="24"/>
                <w:szCs w:val="24"/>
                <w:u w:val="single"/>
                <w:lang w:val="en-US" w:eastAsia="zh-CN"/>
              </w:rPr>
              <w:t>/a）</w:t>
            </w:r>
            <w:r>
              <w:rPr>
                <w:rFonts w:hint="default" w:ascii="Times New Roman" w:hAnsi="Times New Roman" w:eastAsia="宋体" w:cs="Times New Roman"/>
                <w:kern w:val="0"/>
                <w:sz w:val="24"/>
                <w:szCs w:val="24"/>
                <w:u w:val="single"/>
              </w:rPr>
              <w:t>。该废水水质比较清洁，污染物浓度均较低，主要成分为 CaCl</w:t>
            </w:r>
            <w:r>
              <w:rPr>
                <w:rFonts w:hint="default" w:ascii="Times New Roman" w:hAnsi="Times New Roman" w:eastAsia="宋体" w:cs="Times New Roman"/>
                <w:kern w:val="0"/>
                <w:sz w:val="24"/>
                <w:szCs w:val="24"/>
                <w:u w:val="single"/>
                <w:vertAlign w:val="subscript"/>
              </w:rPr>
              <w:t>2</w:t>
            </w:r>
            <w:r>
              <w:rPr>
                <w:rFonts w:hint="default" w:ascii="Times New Roman" w:hAnsi="Times New Roman" w:eastAsia="宋体" w:cs="Times New Roman"/>
                <w:kern w:val="0"/>
                <w:sz w:val="24"/>
                <w:szCs w:val="24"/>
                <w:u w:val="single"/>
              </w:rPr>
              <w:t>、MgCl</w:t>
            </w:r>
            <w:r>
              <w:rPr>
                <w:rFonts w:hint="default" w:ascii="Times New Roman" w:hAnsi="Times New Roman" w:eastAsia="宋体" w:cs="Times New Roman"/>
                <w:kern w:val="0"/>
                <w:sz w:val="24"/>
                <w:szCs w:val="24"/>
                <w:u w:val="single"/>
                <w:vertAlign w:val="subscript"/>
              </w:rPr>
              <w:t>2</w:t>
            </w:r>
            <w:r>
              <w:rPr>
                <w:rFonts w:hint="default" w:ascii="Times New Roman" w:hAnsi="Times New Roman" w:eastAsia="宋体" w:cs="Times New Roman"/>
                <w:kern w:val="0"/>
                <w:sz w:val="24"/>
                <w:szCs w:val="24"/>
                <w:u w:val="single"/>
              </w:rPr>
              <w:t xml:space="preserve"> 等可溶性盐类为清净下水，该部分水收集直接回用于生产不外排。</w:t>
            </w:r>
          </w:p>
          <w:p w14:paraId="5EB851B2">
            <w:pPr>
              <w:spacing w:line="360" w:lineRule="auto"/>
              <w:ind w:firstLine="442" w:firstLineChars="200"/>
              <w:rPr>
                <w:rFonts w:hint="default" w:ascii="Times New Roman" w:hAnsi="Times New Roman" w:cs="Times New Roman"/>
                <w:b/>
                <w:bCs w:val="0"/>
                <w:spacing w:val="-10"/>
                <w:sz w:val="24"/>
                <w:szCs w:val="24"/>
                <w:u w:val="none"/>
              </w:rPr>
            </w:pPr>
            <w:r>
              <w:rPr>
                <w:rFonts w:hint="eastAsia" w:ascii="Times New Roman" w:hAnsi="Times New Roman" w:cs="Times New Roman"/>
                <w:b/>
                <w:bCs w:val="0"/>
                <w:spacing w:val="-10"/>
                <w:sz w:val="24"/>
                <w:szCs w:val="24"/>
                <w:u w:val="none"/>
                <w:lang w:val="en-US" w:eastAsia="zh-CN"/>
              </w:rPr>
              <w:t>4.2.2</w:t>
            </w:r>
            <w:r>
              <w:rPr>
                <w:rFonts w:hint="default" w:ascii="Times New Roman" w:hAnsi="Times New Roman" w:cs="Times New Roman"/>
                <w:b/>
                <w:bCs w:val="0"/>
                <w:sz w:val="24"/>
                <w:szCs w:val="24"/>
                <w:u w:val="none"/>
              </w:rPr>
              <w:t>废水处置措施及排放情况</w:t>
            </w:r>
          </w:p>
          <w:p w14:paraId="7952E34F">
            <w:pPr>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项目排水系统采用雨污分流、污污分流制，项目养护废水、搅拌机清洗废水经沉淀池沉淀后回用于混凝土搅拌，生活污水经化粪池处理后用作周边农肥，不外排。</w:t>
            </w:r>
          </w:p>
          <w:p w14:paraId="5922FC0A">
            <w:pPr>
              <w:spacing w:line="360" w:lineRule="auto"/>
              <w:jc w:val="center"/>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rPr>
              <w:t>表4.3-1    废水类别、污染物及污染治理设施信息表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664"/>
              <w:gridCol w:w="1513"/>
              <w:gridCol w:w="883"/>
              <w:gridCol w:w="613"/>
              <w:gridCol w:w="817"/>
              <w:gridCol w:w="817"/>
              <w:gridCol w:w="822"/>
              <w:gridCol w:w="908"/>
              <w:gridCol w:w="990"/>
              <w:gridCol w:w="646"/>
            </w:tblGrid>
            <w:tr w14:paraId="469F2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restart"/>
                  <w:vAlign w:val="center"/>
                </w:tcPr>
                <w:p w14:paraId="1315AAB0">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序号</w:t>
                  </w:r>
                </w:p>
              </w:tc>
              <w:tc>
                <w:tcPr>
                  <w:tcW w:w="664" w:type="dxa"/>
                  <w:vMerge w:val="restart"/>
                  <w:vAlign w:val="center"/>
                </w:tcPr>
                <w:p w14:paraId="09D5E07E">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废水类别</w:t>
                  </w:r>
                </w:p>
              </w:tc>
              <w:tc>
                <w:tcPr>
                  <w:tcW w:w="1513" w:type="dxa"/>
                  <w:vMerge w:val="restart"/>
                  <w:vAlign w:val="center"/>
                </w:tcPr>
                <w:p w14:paraId="3804392E">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污染物种类</w:t>
                  </w:r>
                </w:p>
              </w:tc>
              <w:tc>
                <w:tcPr>
                  <w:tcW w:w="883" w:type="dxa"/>
                  <w:vMerge w:val="restart"/>
                  <w:vAlign w:val="center"/>
                </w:tcPr>
                <w:p w14:paraId="62BA981E">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排放去向</w:t>
                  </w:r>
                </w:p>
              </w:tc>
              <w:tc>
                <w:tcPr>
                  <w:tcW w:w="613" w:type="dxa"/>
                  <w:vMerge w:val="restart"/>
                  <w:vAlign w:val="center"/>
                </w:tcPr>
                <w:p w14:paraId="1793FED8">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排放规律</w:t>
                  </w:r>
                </w:p>
              </w:tc>
              <w:tc>
                <w:tcPr>
                  <w:tcW w:w="2456" w:type="dxa"/>
                  <w:gridSpan w:val="3"/>
                  <w:vAlign w:val="center"/>
                </w:tcPr>
                <w:p w14:paraId="72F1C50B">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污染治理设施</w:t>
                  </w:r>
                </w:p>
              </w:tc>
              <w:tc>
                <w:tcPr>
                  <w:tcW w:w="908" w:type="dxa"/>
                  <w:vMerge w:val="restart"/>
                  <w:vAlign w:val="center"/>
                </w:tcPr>
                <w:p w14:paraId="049AE99A">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排放口编号</w:t>
                  </w:r>
                </w:p>
              </w:tc>
              <w:tc>
                <w:tcPr>
                  <w:tcW w:w="990" w:type="dxa"/>
                  <w:vMerge w:val="restart"/>
                  <w:vAlign w:val="center"/>
                </w:tcPr>
                <w:p w14:paraId="3AC571CE">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排放口设置是否符合要求</w:t>
                  </w:r>
                </w:p>
              </w:tc>
              <w:tc>
                <w:tcPr>
                  <w:tcW w:w="646" w:type="dxa"/>
                  <w:vMerge w:val="restart"/>
                  <w:vAlign w:val="center"/>
                </w:tcPr>
                <w:p w14:paraId="645F3AE4">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排放口类型</w:t>
                  </w:r>
                </w:p>
              </w:tc>
            </w:tr>
            <w:tr w14:paraId="44BC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Merge w:val="continue"/>
                  <w:vAlign w:val="center"/>
                </w:tcPr>
                <w:p w14:paraId="03E40062">
                  <w:pPr>
                    <w:keepNext w:val="0"/>
                    <w:keepLines w:val="0"/>
                    <w:pageBreakBefore w:val="0"/>
                    <w:widowControl/>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000000"/>
                      <w:sz w:val="21"/>
                      <w:szCs w:val="21"/>
                      <w:u w:val="none"/>
                    </w:rPr>
                  </w:pPr>
                </w:p>
              </w:tc>
              <w:tc>
                <w:tcPr>
                  <w:tcW w:w="664" w:type="dxa"/>
                  <w:vMerge w:val="continue"/>
                  <w:vAlign w:val="center"/>
                </w:tcPr>
                <w:p w14:paraId="7E2B3DAB">
                  <w:pPr>
                    <w:keepNext w:val="0"/>
                    <w:keepLines w:val="0"/>
                    <w:pageBreakBefore w:val="0"/>
                    <w:widowControl/>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000000"/>
                      <w:sz w:val="21"/>
                      <w:szCs w:val="21"/>
                      <w:u w:val="none"/>
                    </w:rPr>
                  </w:pPr>
                </w:p>
              </w:tc>
              <w:tc>
                <w:tcPr>
                  <w:tcW w:w="1513" w:type="dxa"/>
                  <w:vMerge w:val="continue"/>
                  <w:vAlign w:val="center"/>
                </w:tcPr>
                <w:p w14:paraId="339226B1">
                  <w:pPr>
                    <w:keepNext w:val="0"/>
                    <w:keepLines w:val="0"/>
                    <w:pageBreakBefore w:val="0"/>
                    <w:widowControl/>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000000"/>
                      <w:sz w:val="21"/>
                      <w:szCs w:val="21"/>
                      <w:u w:val="none"/>
                    </w:rPr>
                  </w:pPr>
                </w:p>
              </w:tc>
              <w:tc>
                <w:tcPr>
                  <w:tcW w:w="883" w:type="dxa"/>
                  <w:vMerge w:val="continue"/>
                  <w:vAlign w:val="center"/>
                </w:tcPr>
                <w:p w14:paraId="28C8E796">
                  <w:pPr>
                    <w:keepNext w:val="0"/>
                    <w:keepLines w:val="0"/>
                    <w:pageBreakBefore w:val="0"/>
                    <w:widowControl/>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000000"/>
                      <w:sz w:val="21"/>
                      <w:szCs w:val="21"/>
                      <w:u w:val="none"/>
                    </w:rPr>
                  </w:pPr>
                </w:p>
              </w:tc>
              <w:tc>
                <w:tcPr>
                  <w:tcW w:w="613" w:type="dxa"/>
                  <w:vMerge w:val="continue"/>
                  <w:vAlign w:val="center"/>
                </w:tcPr>
                <w:p w14:paraId="4D3E68EB">
                  <w:pPr>
                    <w:keepNext w:val="0"/>
                    <w:keepLines w:val="0"/>
                    <w:pageBreakBefore w:val="0"/>
                    <w:widowControl/>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000000"/>
                      <w:sz w:val="21"/>
                      <w:szCs w:val="21"/>
                      <w:u w:val="none"/>
                    </w:rPr>
                  </w:pPr>
                </w:p>
              </w:tc>
              <w:tc>
                <w:tcPr>
                  <w:tcW w:w="817" w:type="dxa"/>
                  <w:vAlign w:val="center"/>
                </w:tcPr>
                <w:p w14:paraId="13BA31BC">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污染治理设施编号</w:t>
                  </w:r>
                </w:p>
              </w:tc>
              <w:tc>
                <w:tcPr>
                  <w:tcW w:w="817" w:type="dxa"/>
                  <w:vAlign w:val="center"/>
                </w:tcPr>
                <w:p w14:paraId="3009FBA5">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污染治理设施名称</w:t>
                  </w:r>
                </w:p>
              </w:tc>
              <w:tc>
                <w:tcPr>
                  <w:tcW w:w="822" w:type="dxa"/>
                  <w:vAlign w:val="center"/>
                </w:tcPr>
                <w:p w14:paraId="40A0851B">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污染治理设施工艺</w:t>
                  </w:r>
                </w:p>
              </w:tc>
              <w:tc>
                <w:tcPr>
                  <w:tcW w:w="908" w:type="dxa"/>
                  <w:vMerge w:val="continue"/>
                  <w:vAlign w:val="center"/>
                </w:tcPr>
                <w:p w14:paraId="1795AB2F">
                  <w:pPr>
                    <w:keepNext w:val="0"/>
                    <w:keepLines w:val="0"/>
                    <w:pageBreakBefore w:val="0"/>
                    <w:widowControl/>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000000"/>
                      <w:sz w:val="21"/>
                      <w:szCs w:val="21"/>
                      <w:u w:val="none"/>
                    </w:rPr>
                  </w:pPr>
                </w:p>
              </w:tc>
              <w:tc>
                <w:tcPr>
                  <w:tcW w:w="990" w:type="dxa"/>
                  <w:vMerge w:val="continue"/>
                  <w:vAlign w:val="center"/>
                </w:tcPr>
                <w:p w14:paraId="2F34ADF2">
                  <w:pPr>
                    <w:keepNext w:val="0"/>
                    <w:keepLines w:val="0"/>
                    <w:pageBreakBefore w:val="0"/>
                    <w:widowControl/>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000000"/>
                      <w:sz w:val="21"/>
                      <w:szCs w:val="21"/>
                      <w:u w:val="none"/>
                    </w:rPr>
                  </w:pPr>
                </w:p>
              </w:tc>
              <w:tc>
                <w:tcPr>
                  <w:tcW w:w="646" w:type="dxa"/>
                  <w:vMerge w:val="continue"/>
                  <w:vAlign w:val="center"/>
                </w:tcPr>
                <w:p w14:paraId="4A5FA716">
                  <w:pPr>
                    <w:keepNext w:val="0"/>
                    <w:keepLines w:val="0"/>
                    <w:pageBreakBefore w:val="0"/>
                    <w:widowControl/>
                    <w:kinsoku/>
                    <w:wordWrap/>
                    <w:overflowPunct/>
                    <w:topLinePunct w:val="0"/>
                    <w:autoSpaceDE/>
                    <w:autoSpaceDN/>
                    <w:bidi w:val="0"/>
                    <w:adjustRightInd w:val="0"/>
                    <w:snapToGrid w:val="0"/>
                    <w:ind w:firstLine="0"/>
                    <w:jc w:val="left"/>
                    <w:textAlignment w:val="auto"/>
                    <w:rPr>
                      <w:rFonts w:hint="default" w:ascii="Times New Roman" w:hAnsi="Times New Roman" w:cs="Times New Roman"/>
                      <w:color w:val="000000"/>
                      <w:sz w:val="21"/>
                      <w:szCs w:val="21"/>
                      <w:u w:val="none"/>
                    </w:rPr>
                  </w:pPr>
                </w:p>
              </w:tc>
            </w:tr>
            <w:tr w14:paraId="1E96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Align w:val="center"/>
                </w:tcPr>
                <w:p w14:paraId="5BF0F7AA">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w:t>
                  </w:r>
                </w:p>
              </w:tc>
              <w:tc>
                <w:tcPr>
                  <w:tcW w:w="664" w:type="dxa"/>
                  <w:vAlign w:val="center"/>
                </w:tcPr>
                <w:p w14:paraId="49D41D5E">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sz w:val="21"/>
                      <w:szCs w:val="21"/>
                      <w:u w:val="none"/>
                    </w:rPr>
                    <w:t>生活污水</w:t>
                  </w:r>
                </w:p>
              </w:tc>
              <w:tc>
                <w:tcPr>
                  <w:tcW w:w="1513" w:type="dxa"/>
                  <w:vAlign w:val="center"/>
                </w:tcPr>
                <w:p w14:paraId="60CB68B5">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sz w:val="21"/>
                      <w:szCs w:val="21"/>
                      <w:u w:val="none"/>
                    </w:rPr>
                    <w:t>pH值、化学需氧量、氨氮、总磷、总氮、悬浮物、五日生化需氧量、动植物油</w:t>
                  </w:r>
                </w:p>
              </w:tc>
              <w:tc>
                <w:tcPr>
                  <w:tcW w:w="883" w:type="dxa"/>
                  <w:vAlign w:val="center"/>
                </w:tcPr>
                <w:p w14:paraId="2D944CB4">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用作周边农肥，不外排</w:t>
                  </w:r>
                </w:p>
              </w:tc>
              <w:tc>
                <w:tcPr>
                  <w:tcW w:w="613" w:type="dxa"/>
                  <w:vAlign w:val="center"/>
                </w:tcPr>
                <w:p w14:paraId="53A7F15C">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c>
                <w:tcPr>
                  <w:tcW w:w="817" w:type="dxa"/>
                  <w:vAlign w:val="center"/>
                </w:tcPr>
                <w:p w14:paraId="5D273483">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1#</w:t>
                  </w:r>
                </w:p>
              </w:tc>
              <w:tc>
                <w:tcPr>
                  <w:tcW w:w="817" w:type="dxa"/>
                  <w:vAlign w:val="center"/>
                </w:tcPr>
                <w:p w14:paraId="5268EE6B">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生活污水处理设施</w:t>
                  </w:r>
                </w:p>
              </w:tc>
              <w:tc>
                <w:tcPr>
                  <w:tcW w:w="822" w:type="dxa"/>
                  <w:vAlign w:val="center"/>
                </w:tcPr>
                <w:p w14:paraId="72B6398D">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kern w:val="0"/>
                      <w:sz w:val="21"/>
                      <w:szCs w:val="21"/>
                      <w:u w:val="none"/>
                      <w:lang w:bidi="ar"/>
                    </w:rPr>
                    <w:t>化粪池</w:t>
                  </w:r>
                </w:p>
              </w:tc>
              <w:tc>
                <w:tcPr>
                  <w:tcW w:w="908" w:type="dxa"/>
                  <w:vMerge w:val="restart"/>
                  <w:vAlign w:val="center"/>
                </w:tcPr>
                <w:p w14:paraId="7083FDAE">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c>
                <w:tcPr>
                  <w:tcW w:w="990" w:type="dxa"/>
                  <w:vMerge w:val="restart"/>
                  <w:vAlign w:val="center"/>
                </w:tcPr>
                <w:p w14:paraId="0AD1504F">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c>
                <w:tcPr>
                  <w:tcW w:w="646" w:type="dxa"/>
                  <w:vMerge w:val="restart"/>
                  <w:vAlign w:val="center"/>
                </w:tcPr>
                <w:p w14:paraId="11A2ED3F">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r>
            <w:tr w14:paraId="3555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Align w:val="center"/>
                </w:tcPr>
                <w:p w14:paraId="1F5FED15">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2</w:t>
                  </w:r>
                </w:p>
              </w:tc>
              <w:tc>
                <w:tcPr>
                  <w:tcW w:w="664" w:type="dxa"/>
                  <w:vAlign w:val="center"/>
                </w:tcPr>
                <w:p w14:paraId="240B442D">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养护废水</w:t>
                  </w:r>
                </w:p>
              </w:tc>
              <w:tc>
                <w:tcPr>
                  <w:tcW w:w="1513" w:type="dxa"/>
                  <w:vAlign w:val="center"/>
                </w:tcPr>
                <w:p w14:paraId="65E05B9B">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CaCl</w:t>
                  </w:r>
                  <w:r>
                    <w:rPr>
                      <w:rFonts w:hint="default" w:ascii="Times New Roman" w:hAnsi="Times New Roman" w:cs="Times New Roman"/>
                      <w:sz w:val="21"/>
                      <w:szCs w:val="21"/>
                      <w:u w:val="none"/>
                      <w:vertAlign w:val="subscript"/>
                    </w:rPr>
                    <w:t>2</w:t>
                  </w:r>
                  <w:r>
                    <w:rPr>
                      <w:rFonts w:hint="default" w:ascii="Times New Roman" w:hAnsi="Times New Roman" w:cs="Times New Roman"/>
                      <w:sz w:val="21"/>
                      <w:szCs w:val="21"/>
                      <w:u w:val="none"/>
                    </w:rPr>
                    <w:t>、MgC</w:t>
                  </w:r>
                  <w:r>
                    <w:rPr>
                      <w:rFonts w:hint="default" w:ascii="Times New Roman" w:hAnsi="Times New Roman" w:cs="Times New Roman"/>
                      <w:sz w:val="21"/>
                      <w:szCs w:val="21"/>
                      <w:u w:val="none"/>
                      <w:vertAlign w:val="baseline"/>
                    </w:rPr>
                    <w:t>l</w:t>
                  </w:r>
                  <w:r>
                    <w:rPr>
                      <w:rFonts w:hint="default" w:ascii="Times New Roman" w:hAnsi="Times New Roman" w:cs="Times New Roman"/>
                      <w:sz w:val="21"/>
                      <w:szCs w:val="21"/>
                      <w:u w:val="none"/>
                      <w:vertAlign w:val="subscript"/>
                    </w:rPr>
                    <w:t>2</w:t>
                  </w:r>
                </w:p>
              </w:tc>
              <w:tc>
                <w:tcPr>
                  <w:tcW w:w="883" w:type="dxa"/>
                  <w:vMerge w:val="restart"/>
                  <w:vAlign w:val="center"/>
                </w:tcPr>
                <w:p w14:paraId="71A0ECD4">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回用于混凝土搅拌，不外排</w:t>
                  </w:r>
                </w:p>
              </w:tc>
              <w:tc>
                <w:tcPr>
                  <w:tcW w:w="613" w:type="dxa"/>
                  <w:vMerge w:val="restart"/>
                  <w:vAlign w:val="center"/>
                </w:tcPr>
                <w:p w14:paraId="4E4DC065">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w:t>
                  </w:r>
                </w:p>
              </w:tc>
              <w:tc>
                <w:tcPr>
                  <w:tcW w:w="817" w:type="dxa"/>
                  <w:vMerge w:val="restart"/>
                  <w:vAlign w:val="center"/>
                </w:tcPr>
                <w:p w14:paraId="7C2CFB84">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2#</w:t>
                  </w:r>
                </w:p>
              </w:tc>
              <w:tc>
                <w:tcPr>
                  <w:tcW w:w="817" w:type="dxa"/>
                  <w:vMerge w:val="restart"/>
                  <w:vAlign w:val="center"/>
                </w:tcPr>
                <w:p w14:paraId="7EA680D4">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沉淀池</w:t>
                  </w:r>
                </w:p>
              </w:tc>
              <w:tc>
                <w:tcPr>
                  <w:tcW w:w="822" w:type="dxa"/>
                  <w:vMerge w:val="restart"/>
                  <w:vAlign w:val="center"/>
                </w:tcPr>
                <w:p w14:paraId="64F71A5A">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沉淀</w:t>
                  </w:r>
                </w:p>
              </w:tc>
              <w:tc>
                <w:tcPr>
                  <w:tcW w:w="908" w:type="dxa"/>
                  <w:vMerge w:val="continue"/>
                  <w:vAlign w:val="center"/>
                </w:tcPr>
                <w:p w14:paraId="4657C0F4">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p>
              </w:tc>
              <w:tc>
                <w:tcPr>
                  <w:tcW w:w="990" w:type="dxa"/>
                  <w:vMerge w:val="continue"/>
                  <w:vAlign w:val="center"/>
                </w:tcPr>
                <w:p w14:paraId="55F59E84">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p>
              </w:tc>
              <w:tc>
                <w:tcPr>
                  <w:tcW w:w="646" w:type="dxa"/>
                  <w:vMerge w:val="continue"/>
                  <w:vAlign w:val="center"/>
                </w:tcPr>
                <w:p w14:paraId="7F0F5F26">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p>
              </w:tc>
            </w:tr>
            <w:tr w14:paraId="737CB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3" w:type="dxa"/>
                  <w:vAlign w:val="center"/>
                </w:tcPr>
                <w:p w14:paraId="62D314B7">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r>
                    <w:rPr>
                      <w:rFonts w:hint="default" w:ascii="Times New Roman" w:hAnsi="Times New Roman" w:cs="Times New Roman"/>
                      <w:color w:val="000000"/>
                      <w:sz w:val="21"/>
                      <w:szCs w:val="21"/>
                      <w:u w:val="none"/>
                    </w:rPr>
                    <w:t>2</w:t>
                  </w:r>
                </w:p>
              </w:tc>
              <w:tc>
                <w:tcPr>
                  <w:tcW w:w="664" w:type="dxa"/>
                  <w:vAlign w:val="center"/>
                </w:tcPr>
                <w:p w14:paraId="4DB87445">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搅拌机清洗废水</w:t>
                  </w:r>
                </w:p>
              </w:tc>
              <w:tc>
                <w:tcPr>
                  <w:tcW w:w="1513" w:type="dxa"/>
                  <w:vAlign w:val="center"/>
                </w:tcPr>
                <w:p w14:paraId="1B88ED88">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pH值、悬浮物、化学需氧量</w:t>
                  </w:r>
                </w:p>
              </w:tc>
              <w:tc>
                <w:tcPr>
                  <w:tcW w:w="883" w:type="dxa"/>
                  <w:vMerge w:val="continue"/>
                  <w:vAlign w:val="center"/>
                </w:tcPr>
                <w:p w14:paraId="29479C94">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p>
              </w:tc>
              <w:tc>
                <w:tcPr>
                  <w:tcW w:w="613" w:type="dxa"/>
                  <w:vMerge w:val="continue"/>
                  <w:vAlign w:val="center"/>
                </w:tcPr>
                <w:p w14:paraId="0FA97BDA">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p>
              </w:tc>
              <w:tc>
                <w:tcPr>
                  <w:tcW w:w="817" w:type="dxa"/>
                  <w:vMerge w:val="continue"/>
                  <w:vAlign w:val="center"/>
                </w:tcPr>
                <w:p w14:paraId="36F9D7AC">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p>
              </w:tc>
              <w:tc>
                <w:tcPr>
                  <w:tcW w:w="817" w:type="dxa"/>
                  <w:vMerge w:val="continue"/>
                  <w:vAlign w:val="center"/>
                </w:tcPr>
                <w:p w14:paraId="144F8B21">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p>
              </w:tc>
              <w:tc>
                <w:tcPr>
                  <w:tcW w:w="822" w:type="dxa"/>
                  <w:vMerge w:val="continue"/>
                  <w:vAlign w:val="center"/>
                </w:tcPr>
                <w:p w14:paraId="563CC4B9">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p>
              </w:tc>
              <w:tc>
                <w:tcPr>
                  <w:tcW w:w="908" w:type="dxa"/>
                  <w:vMerge w:val="continue"/>
                  <w:vAlign w:val="center"/>
                </w:tcPr>
                <w:p w14:paraId="3FCBC32B">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p>
              </w:tc>
              <w:tc>
                <w:tcPr>
                  <w:tcW w:w="990" w:type="dxa"/>
                  <w:vMerge w:val="continue"/>
                  <w:vAlign w:val="center"/>
                </w:tcPr>
                <w:p w14:paraId="52621437">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p>
              </w:tc>
              <w:tc>
                <w:tcPr>
                  <w:tcW w:w="646" w:type="dxa"/>
                  <w:vMerge w:val="continue"/>
                  <w:vAlign w:val="center"/>
                </w:tcPr>
                <w:p w14:paraId="0E75DFBB">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color w:val="000000"/>
                      <w:sz w:val="21"/>
                      <w:szCs w:val="21"/>
                      <w:u w:val="none"/>
                    </w:rPr>
                  </w:pPr>
                </w:p>
              </w:tc>
            </w:tr>
          </w:tbl>
          <w:p w14:paraId="0060C885">
            <w:pPr>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bCs/>
                <w:kern w:val="0"/>
                <w:sz w:val="24"/>
                <w:szCs w:val="24"/>
                <w:u w:val="none"/>
              </w:rPr>
              <w:t>本项目废水均不外排，生活污水经化粪池处理后用作周边农肥，原料搅拌用水大部分进入产品，部分挥发到空气中，场地抑尘用水全部蒸发，</w:t>
            </w:r>
            <w:r>
              <w:rPr>
                <w:rFonts w:hint="default" w:ascii="Times New Roman" w:hAnsi="Times New Roman" w:cs="Times New Roman"/>
                <w:sz w:val="24"/>
                <w:szCs w:val="24"/>
                <w:u w:val="none"/>
              </w:rPr>
              <w:t>养护废水、搅拌机清洗废水经沉淀池沉淀后全部回用于生产</w:t>
            </w:r>
            <w:r>
              <w:rPr>
                <w:rFonts w:hint="default" w:ascii="Times New Roman" w:hAnsi="Times New Roman" w:cs="Times New Roman"/>
                <w:bCs/>
                <w:kern w:val="0"/>
                <w:sz w:val="24"/>
                <w:szCs w:val="24"/>
                <w:u w:val="none"/>
              </w:rPr>
              <w:t>，不外排</w:t>
            </w:r>
            <w:r>
              <w:rPr>
                <w:rFonts w:hint="default" w:ascii="Times New Roman" w:hAnsi="Times New Roman" w:cs="Times New Roman"/>
                <w:color w:val="000000"/>
                <w:kern w:val="0"/>
                <w:sz w:val="24"/>
                <w:szCs w:val="24"/>
                <w:u w:val="none"/>
                <w:lang w:bidi="ar"/>
              </w:rPr>
              <w:t>。</w:t>
            </w:r>
          </w:p>
          <w:p w14:paraId="6AC8B736">
            <w:pPr>
              <w:spacing w:line="360" w:lineRule="auto"/>
              <w:ind w:firstLine="482" w:firstLineChars="200"/>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rPr>
              <w:t>4.</w:t>
            </w:r>
            <w:r>
              <w:rPr>
                <w:rFonts w:hint="eastAsia" w:ascii="Times New Roman" w:hAnsi="Times New Roman" w:cs="Times New Roman"/>
                <w:b/>
                <w:bCs/>
                <w:sz w:val="24"/>
                <w:szCs w:val="24"/>
                <w:u w:val="none"/>
                <w:lang w:val="en-US" w:eastAsia="zh-CN"/>
              </w:rPr>
              <w:t>2</w:t>
            </w:r>
            <w:r>
              <w:rPr>
                <w:rFonts w:hint="default" w:ascii="Times New Roman" w:hAnsi="Times New Roman" w:cs="Times New Roman"/>
                <w:b/>
                <w:bCs/>
                <w:sz w:val="24"/>
                <w:szCs w:val="24"/>
                <w:u w:val="none"/>
              </w:rPr>
              <w:t>.</w:t>
            </w:r>
            <w:r>
              <w:rPr>
                <w:rFonts w:hint="eastAsia" w:ascii="Times New Roman" w:hAnsi="Times New Roman" w:cs="Times New Roman"/>
                <w:b/>
                <w:bCs/>
                <w:sz w:val="24"/>
                <w:szCs w:val="24"/>
                <w:u w:val="none"/>
                <w:lang w:val="en-US" w:eastAsia="zh-CN"/>
              </w:rPr>
              <w:t>3</w:t>
            </w:r>
            <w:r>
              <w:rPr>
                <w:rFonts w:hint="default" w:ascii="Times New Roman" w:hAnsi="Times New Roman" w:cs="Times New Roman"/>
                <w:b/>
                <w:bCs/>
                <w:sz w:val="24"/>
                <w:szCs w:val="24"/>
                <w:u w:val="none"/>
              </w:rPr>
              <w:t>废水监测计划</w:t>
            </w:r>
          </w:p>
          <w:p w14:paraId="29891EB6">
            <w:pPr>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根据《排污单位自行监测技术指南 总则》（HJ 819-2017）、《排污许可证申请与核发技术规范 总则》（HJ 942-2018），本项目废水均不外排，无需监测。</w:t>
            </w:r>
          </w:p>
          <w:p w14:paraId="708FEF26">
            <w:pPr>
              <w:spacing w:line="360" w:lineRule="auto"/>
              <w:ind w:firstLine="482" w:firstLineChars="200"/>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rPr>
              <w:t>4.</w:t>
            </w:r>
            <w:r>
              <w:rPr>
                <w:rFonts w:hint="eastAsia" w:ascii="Times New Roman" w:hAnsi="Times New Roman" w:cs="Times New Roman"/>
                <w:b/>
                <w:bCs/>
                <w:sz w:val="24"/>
                <w:szCs w:val="24"/>
                <w:u w:val="none"/>
                <w:lang w:val="en-US" w:eastAsia="zh-CN"/>
              </w:rPr>
              <w:t>2</w:t>
            </w:r>
            <w:r>
              <w:rPr>
                <w:rFonts w:hint="default" w:ascii="Times New Roman" w:hAnsi="Times New Roman" w:cs="Times New Roman"/>
                <w:b/>
                <w:bCs/>
                <w:sz w:val="24"/>
                <w:szCs w:val="24"/>
                <w:u w:val="none"/>
              </w:rPr>
              <w:t>.</w:t>
            </w:r>
            <w:r>
              <w:rPr>
                <w:rFonts w:hint="eastAsia" w:ascii="Times New Roman" w:hAnsi="Times New Roman" w:cs="Times New Roman"/>
                <w:b/>
                <w:bCs/>
                <w:sz w:val="24"/>
                <w:szCs w:val="24"/>
                <w:u w:val="none"/>
                <w:lang w:val="en-US" w:eastAsia="zh-CN"/>
              </w:rPr>
              <w:t>4</w:t>
            </w:r>
            <w:r>
              <w:rPr>
                <w:rFonts w:hint="default" w:ascii="Times New Roman" w:hAnsi="Times New Roman" w:cs="Times New Roman"/>
                <w:b/>
                <w:bCs/>
                <w:sz w:val="24"/>
                <w:szCs w:val="24"/>
                <w:u w:val="none"/>
              </w:rPr>
              <w:t>废水处置措施可行性分析</w:t>
            </w:r>
          </w:p>
          <w:p w14:paraId="6EC5EDD6">
            <w:pPr>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本项目养护废水产生量为</w:t>
            </w:r>
            <w:r>
              <w:rPr>
                <w:rFonts w:hint="default" w:ascii="Times New Roman" w:hAnsi="Times New Roman" w:eastAsia="宋体" w:cs="Times New Roman"/>
                <w:kern w:val="0"/>
                <w:sz w:val="24"/>
                <w:szCs w:val="24"/>
                <w:u w:val="none"/>
              </w:rPr>
              <w:t>0.</w:t>
            </w:r>
            <w:r>
              <w:rPr>
                <w:rFonts w:hint="eastAsia" w:ascii="Times New Roman" w:hAnsi="Times New Roman" w:cs="Times New Roman"/>
                <w:kern w:val="0"/>
                <w:sz w:val="24"/>
                <w:szCs w:val="24"/>
                <w:u w:val="none"/>
                <w:lang w:val="en-US" w:eastAsia="zh-CN"/>
              </w:rPr>
              <w:t>062</w:t>
            </w:r>
            <w:r>
              <w:rPr>
                <w:rFonts w:hint="default" w:ascii="Times New Roman" w:hAnsi="Times New Roman" w:eastAsia="宋体" w:cs="Times New Roman"/>
                <w:kern w:val="0"/>
                <w:sz w:val="24"/>
                <w:szCs w:val="24"/>
                <w:u w:val="none"/>
              </w:rPr>
              <w:t>m</w:t>
            </w:r>
            <w:r>
              <w:rPr>
                <w:rFonts w:hint="default" w:ascii="Times New Roman" w:hAnsi="Times New Roman" w:eastAsia="宋体" w:cs="Times New Roman"/>
                <w:kern w:val="0"/>
                <w:sz w:val="24"/>
                <w:szCs w:val="24"/>
                <w:u w:val="none"/>
                <w:vertAlign w:val="superscript"/>
              </w:rPr>
              <w:t>3</w:t>
            </w:r>
            <w:r>
              <w:rPr>
                <w:rFonts w:hint="default" w:ascii="Times New Roman" w:hAnsi="Times New Roman" w:eastAsia="宋体" w:cs="Times New Roman"/>
                <w:kern w:val="0"/>
                <w:sz w:val="24"/>
                <w:szCs w:val="24"/>
                <w:u w:val="none"/>
              </w:rPr>
              <w:t>/d，</w:t>
            </w:r>
            <w:r>
              <w:rPr>
                <w:rFonts w:hint="eastAsia" w:ascii="Times New Roman" w:hAnsi="Times New Roman" w:cs="Times New Roman"/>
                <w:kern w:val="0"/>
                <w:sz w:val="24"/>
                <w:szCs w:val="24"/>
                <w:u w:val="none"/>
                <w:lang w:val="en-US" w:eastAsia="zh-CN"/>
              </w:rPr>
              <w:t>30.02</w:t>
            </w:r>
            <w:r>
              <w:rPr>
                <w:rFonts w:hint="default" w:ascii="Times New Roman" w:hAnsi="Times New Roman" w:eastAsia="宋体" w:cs="Times New Roman"/>
                <w:kern w:val="0"/>
                <w:sz w:val="24"/>
                <w:szCs w:val="24"/>
                <w:u w:val="none"/>
              </w:rPr>
              <w:t>m</w:t>
            </w:r>
            <w:r>
              <w:rPr>
                <w:rFonts w:hint="default" w:ascii="Times New Roman" w:hAnsi="Times New Roman" w:eastAsia="宋体" w:cs="Times New Roman"/>
                <w:kern w:val="0"/>
                <w:sz w:val="24"/>
                <w:szCs w:val="24"/>
                <w:u w:val="none"/>
                <w:vertAlign w:val="superscript"/>
              </w:rPr>
              <w:t>3</w:t>
            </w:r>
            <w:r>
              <w:rPr>
                <w:rFonts w:hint="default" w:ascii="Times New Roman" w:hAnsi="Times New Roman" w:eastAsia="宋体" w:cs="Times New Roman"/>
                <w:kern w:val="0"/>
                <w:sz w:val="24"/>
                <w:szCs w:val="24"/>
                <w:u w:val="none"/>
              </w:rPr>
              <w:t>/a</w:t>
            </w:r>
            <w:r>
              <w:rPr>
                <w:rFonts w:hint="default" w:ascii="Times New Roman" w:hAnsi="Times New Roman" w:cs="Times New Roman"/>
                <w:sz w:val="24"/>
                <w:szCs w:val="24"/>
                <w:u w:val="none"/>
              </w:rPr>
              <w:t>，搅拌机清洗废水产生量为</w:t>
            </w:r>
            <w:r>
              <w:rPr>
                <w:rFonts w:hint="eastAsia" w:ascii="Times New Roman" w:hAnsi="Times New Roman" w:cs="Times New Roman"/>
                <w:color w:val="000000"/>
                <w:kern w:val="0"/>
                <w:sz w:val="24"/>
                <w:szCs w:val="24"/>
                <w:u w:val="none"/>
                <w:lang w:val="en-US" w:eastAsia="zh-CN"/>
              </w:rPr>
              <w:t>3.6</w:t>
            </w:r>
            <w:r>
              <w:rPr>
                <w:rFonts w:hint="default" w:ascii="Times New Roman" w:hAnsi="Times New Roman" w:eastAsia="宋体" w:cs="Times New Roman"/>
                <w:color w:val="000000"/>
                <w:kern w:val="0"/>
                <w:sz w:val="24"/>
                <w:szCs w:val="24"/>
                <w:u w:val="none"/>
              </w:rPr>
              <w:t>m</w:t>
            </w:r>
            <w:r>
              <w:rPr>
                <w:rFonts w:hint="default" w:ascii="Times New Roman" w:hAnsi="Times New Roman" w:eastAsia="宋体" w:cs="Times New Roman"/>
                <w:color w:val="000000"/>
                <w:kern w:val="0"/>
                <w:sz w:val="24"/>
                <w:szCs w:val="24"/>
                <w:u w:val="none"/>
                <w:vertAlign w:val="superscript"/>
              </w:rPr>
              <w:t>3</w:t>
            </w:r>
            <w:r>
              <w:rPr>
                <w:rFonts w:hint="default" w:ascii="Times New Roman" w:hAnsi="Times New Roman" w:eastAsia="宋体" w:cs="Times New Roman"/>
                <w:color w:val="000000"/>
                <w:kern w:val="0"/>
                <w:sz w:val="24"/>
                <w:szCs w:val="24"/>
                <w:u w:val="none"/>
              </w:rPr>
              <w:t>/d（</w:t>
            </w:r>
            <w:r>
              <w:rPr>
                <w:rFonts w:hint="eastAsia" w:ascii="Times New Roman" w:hAnsi="Times New Roman" w:cs="Times New Roman"/>
                <w:color w:val="000000"/>
                <w:kern w:val="0"/>
                <w:sz w:val="24"/>
                <w:szCs w:val="24"/>
                <w:u w:val="none"/>
                <w:lang w:val="en-US" w:eastAsia="zh-CN"/>
              </w:rPr>
              <w:t>540</w:t>
            </w:r>
            <w:r>
              <w:rPr>
                <w:rFonts w:hint="default" w:ascii="Times New Roman" w:hAnsi="Times New Roman" w:eastAsia="宋体" w:cs="Times New Roman"/>
                <w:color w:val="000000"/>
                <w:kern w:val="0"/>
                <w:sz w:val="24"/>
                <w:szCs w:val="24"/>
                <w:u w:val="none"/>
              </w:rPr>
              <w:t>m</w:t>
            </w:r>
            <w:r>
              <w:rPr>
                <w:rFonts w:hint="default" w:ascii="Times New Roman" w:hAnsi="Times New Roman" w:eastAsia="宋体" w:cs="Times New Roman"/>
                <w:color w:val="000000"/>
                <w:kern w:val="0"/>
                <w:sz w:val="24"/>
                <w:szCs w:val="24"/>
                <w:u w:val="none"/>
                <w:vertAlign w:val="superscript"/>
              </w:rPr>
              <w:t>3</w:t>
            </w:r>
            <w:r>
              <w:rPr>
                <w:rFonts w:hint="default" w:ascii="Times New Roman" w:hAnsi="Times New Roman" w:eastAsia="宋体" w:cs="Times New Roman"/>
                <w:color w:val="000000"/>
                <w:kern w:val="0"/>
                <w:sz w:val="24"/>
                <w:szCs w:val="24"/>
                <w:u w:val="none"/>
              </w:rPr>
              <w:t>/a）</w:t>
            </w:r>
            <w:r>
              <w:rPr>
                <w:rFonts w:hint="default" w:ascii="Times New Roman" w:hAnsi="Times New Roman" w:cs="Times New Roman"/>
                <w:sz w:val="24"/>
                <w:szCs w:val="24"/>
                <w:u w:val="none"/>
              </w:rPr>
              <w:t>，主要污染物为SS、COD，生产废水收集后经沉淀处理后回用于混凝土搅拌，不外排。沉淀池设置位于厂区东北角，为混凝土防渗结构，容积约为</w:t>
            </w:r>
            <w:r>
              <w:rPr>
                <w:rFonts w:hint="eastAsia" w:ascii="Times New Roman" w:hAnsi="Times New Roman" w:cs="Times New Roman"/>
                <w:sz w:val="24"/>
                <w:szCs w:val="24"/>
                <w:u w:val="none"/>
                <w:lang w:val="en-US" w:eastAsia="zh-CN"/>
              </w:rPr>
              <w:t>50</w:t>
            </w:r>
            <w:r>
              <w:rPr>
                <w:rFonts w:hint="default" w:ascii="Times New Roman" w:hAnsi="Times New Roman" w:cs="Times New Roman"/>
                <w:sz w:val="24"/>
                <w:szCs w:val="24"/>
                <w:u w:val="none"/>
              </w:rPr>
              <w:t>m</w:t>
            </w:r>
            <w:r>
              <w:rPr>
                <w:rFonts w:hint="default" w:ascii="Times New Roman" w:hAnsi="Times New Roman" w:cs="Times New Roman"/>
                <w:sz w:val="24"/>
                <w:szCs w:val="24"/>
                <w:u w:val="none"/>
                <w:vertAlign w:val="superscript"/>
              </w:rPr>
              <w:t>3</w:t>
            </w:r>
            <w:r>
              <w:rPr>
                <w:rFonts w:hint="default" w:ascii="Times New Roman" w:hAnsi="Times New Roman" w:cs="Times New Roman"/>
                <w:sz w:val="24"/>
                <w:szCs w:val="24"/>
                <w:u w:val="none"/>
              </w:rPr>
              <w:t>，可满足生产需求。</w:t>
            </w:r>
          </w:p>
          <w:p w14:paraId="2C972F37">
            <w:pPr>
              <w:spacing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生活污水经化粪池处理。因为项目选址位于农村地区，项目周边多为菜地，且生活污水排放量相对较少，企业经化粪池预处理后的生活污水用于项目附近的菜地、林地的农肥，不外排。</w:t>
            </w:r>
          </w:p>
          <w:p w14:paraId="4B6D054C">
            <w:pPr>
              <w:spacing w:line="360" w:lineRule="auto"/>
              <w:ind w:firstLine="480" w:firstLineChars="200"/>
              <w:jc w:val="left"/>
              <w:rPr>
                <w:rFonts w:hint="default" w:ascii="Times New Roman" w:hAnsi="Times New Roman" w:cs="Times New Roman"/>
                <w:bCs/>
                <w:sz w:val="24"/>
                <w:szCs w:val="24"/>
                <w:u w:val="none"/>
              </w:rPr>
            </w:pPr>
            <w:r>
              <w:rPr>
                <w:rFonts w:hint="default" w:ascii="Times New Roman" w:hAnsi="Times New Roman" w:cs="Times New Roman"/>
                <w:sz w:val="24"/>
                <w:szCs w:val="24"/>
                <w:u w:val="none"/>
              </w:rPr>
              <w:t>综上所述，本项目运营期间产生的废水治理措施合理可行，不会对项目周边地表水环境造成明显不利影响。</w:t>
            </w:r>
          </w:p>
          <w:p w14:paraId="3AC77B5A">
            <w:pPr>
              <w:pStyle w:val="58"/>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rPr>
              <w:t>4.</w:t>
            </w:r>
            <w:r>
              <w:rPr>
                <w:rFonts w:hint="eastAsia" w:ascii="Times New Roman" w:hAnsi="Times New Roman" w:cs="Times New Roman"/>
                <w:b/>
                <w:bCs/>
                <w:sz w:val="24"/>
                <w:szCs w:val="24"/>
                <w:u w:val="none"/>
                <w:lang w:val="en-US" w:eastAsia="zh-CN"/>
              </w:rPr>
              <w:t>3</w:t>
            </w:r>
            <w:r>
              <w:rPr>
                <w:rFonts w:hint="default" w:ascii="Times New Roman" w:hAnsi="Times New Roman" w:cs="Times New Roman"/>
                <w:b/>
                <w:bCs/>
                <w:sz w:val="24"/>
                <w:szCs w:val="24"/>
                <w:u w:val="none"/>
              </w:rPr>
              <w:t>噪声</w:t>
            </w:r>
          </w:p>
          <w:p w14:paraId="1E6111C6">
            <w:pPr>
              <w:autoSpaceDE w:val="0"/>
              <w:spacing w:line="360" w:lineRule="auto"/>
              <w:ind w:firstLine="480" w:firstLineChars="200"/>
              <w:textAlignment w:val="baseline"/>
              <w:rPr>
                <w:rFonts w:hint="default" w:ascii="Times New Roman" w:hAnsi="Times New Roman" w:cs="Times New Roman"/>
                <w:sz w:val="24"/>
                <w:szCs w:val="24"/>
                <w:u w:val="none"/>
              </w:rPr>
            </w:pPr>
            <w:r>
              <w:rPr>
                <w:rFonts w:hint="default" w:ascii="Times New Roman" w:hAnsi="Times New Roman" w:cs="Times New Roman"/>
                <w:sz w:val="24"/>
                <w:szCs w:val="24"/>
                <w:u w:val="none"/>
              </w:rPr>
              <w:t>本项目噪声主要来自于设备运行噪声主要来自离心机组、搅拌机、</w:t>
            </w:r>
            <w:r>
              <w:rPr>
                <w:rFonts w:hint="eastAsia" w:ascii="Times New Roman" w:hAnsi="Times New Roman" w:cs="Times New Roman"/>
                <w:sz w:val="24"/>
                <w:szCs w:val="24"/>
                <w:u w:val="none"/>
                <w:lang w:eastAsia="zh-CN"/>
              </w:rPr>
              <w:t>蒸汽发生器</w:t>
            </w:r>
            <w:r>
              <w:rPr>
                <w:rFonts w:hint="default" w:ascii="Times New Roman" w:hAnsi="Times New Roman" w:cs="Times New Roman"/>
                <w:sz w:val="24"/>
                <w:szCs w:val="24"/>
                <w:u w:val="none"/>
              </w:rPr>
              <w:t>等机械设备运行产生的噪声，噪声级在</w:t>
            </w:r>
            <w:r>
              <w:rPr>
                <w:rFonts w:hint="default" w:ascii="Times New Roman" w:hAnsi="Times New Roman" w:cs="Times New Roman"/>
                <w:sz w:val="24"/>
                <w:szCs w:val="24"/>
                <w:u w:val="none"/>
                <w:lang w:val="en-US" w:eastAsia="zh-CN"/>
              </w:rPr>
              <w:t>70</w:t>
            </w:r>
            <w:r>
              <w:rPr>
                <w:rFonts w:hint="default" w:ascii="Times New Roman" w:hAnsi="Times New Roman" w:cs="Times New Roman"/>
                <w:sz w:val="24"/>
                <w:szCs w:val="24"/>
                <w:u w:val="none"/>
              </w:rPr>
              <w:t>～</w:t>
            </w:r>
            <w:r>
              <w:rPr>
                <w:rFonts w:hint="default" w:ascii="Times New Roman" w:hAnsi="Times New Roman" w:cs="Times New Roman"/>
                <w:sz w:val="24"/>
                <w:szCs w:val="24"/>
                <w:u w:val="none"/>
                <w:lang w:val="en-US" w:eastAsia="zh-CN"/>
              </w:rPr>
              <w:t>80</w:t>
            </w:r>
            <w:r>
              <w:rPr>
                <w:rFonts w:hint="default" w:ascii="Times New Roman" w:hAnsi="Times New Roman" w:cs="Times New Roman"/>
                <w:sz w:val="24"/>
                <w:szCs w:val="24"/>
                <w:u w:val="none"/>
              </w:rPr>
              <w:t>dB（A）之间，通过选用低噪声设备，合理布置噪声源位置，同时项目主要生产设备均位于厂房内，噪声通过厂房墙壁的隔声，可有效降低项目噪声影响。</w:t>
            </w:r>
          </w:p>
          <w:p w14:paraId="176F6805">
            <w:pPr>
              <w:pStyle w:val="20"/>
              <w:spacing w:line="360" w:lineRule="auto"/>
              <w:ind w:firstLine="480"/>
              <w:rPr>
                <w:rFonts w:hint="eastAsia" w:ascii="Times New Roman" w:hAnsi="Times New Roman" w:eastAsia="宋体" w:cs="Times New Roman"/>
                <w:b/>
                <w:bCs/>
                <w:sz w:val="24"/>
                <w:szCs w:val="24"/>
                <w:u w:val="none"/>
                <w:lang w:eastAsia="zh-CN"/>
              </w:rPr>
            </w:pPr>
            <w:r>
              <w:rPr>
                <w:rFonts w:hint="default" w:ascii="Times New Roman" w:hAnsi="Times New Roman" w:eastAsia="宋体" w:cs="Times New Roman"/>
                <w:b/>
                <w:bCs/>
                <w:sz w:val="24"/>
                <w:szCs w:val="24"/>
                <w:u w:val="none"/>
              </w:rPr>
              <w:br w:type="page"/>
            </w:r>
            <w:r>
              <w:rPr>
                <w:rFonts w:hint="default" w:ascii="Times New Roman" w:hAnsi="Times New Roman" w:eastAsia="宋体" w:cs="Times New Roman"/>
                <w:b/>
                <w:bCs/>
                <w:sz w:val="24"/>
                <w:szCs w:val="24"/>
                <w:u w:val="none"/>
              </w:rPr>
              <w:t>表4.</w:t>
            </w:r>
            <w:r>
              <w:rPr>
                <w:rFonts w:hint="eastAsia" w:ascii="Times New Roman" w:hAnsi="Times New Roman" w:eastAsia="宋体" w:cs="Times New Roman"/>
                <w:b/>
                <w:bCs/>
                <w:sz w:val="24"/>
                <w:szCs w:val="24"/>
                <w:u w:val="none"/>
                <w:lang w:val="en-US" w:eastAsia="zh-CN"/>
              </w:rPr>
              <w:t>3</w:t>
            </w:r>
            <w:r>
              <w:rPr>
                <w:rFonts w:hint="default" w:ascii="Times New Roman" w:hAnsi="Times New Roman" w:eastAsia="宋体" w:cs="Times New Roman"/>
                <w:b/>
                <w:bCs/>
                <w:sz w:val="24"/>
                <w:szCs w:val="24"/>
                <w:u w:val="none"/>
              </w:rPr>
              <w:t>-1   工业企业噪声源强</w:t>
            </w:r>
            <w:r>
              <w:rPr>
                <w:rFonts w:hint="eastAsia" w:ascii="Times New Roman" w:hAnsi="Times New Roman" w:eastAsia="宋体" w:cs="Times New Roman"/>
                <w:b/>
                <w:bCs/>
                <w:sz w:val="24"/>
                <w:szCs w:val="24"/>
                <w:u w:val="none"/>
                <w:lang w:eastAsia="zh-CN"/>
              </w:rPr>
              <w:t>情况表</w:t>
            </w:r>
          </w:p>
          <w:tbl>
            <w:tblPr>
              <w:tblStyle w:val="3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3"/>
              <w:gridCol w:w="1359"/>
              <w:gridCol w:w="2120"/>
              <w:gridCol w:w="1579"/>
              <w:gridCol w:w="2151"/>
            </w:tblGrid>
            <w:tr w14:paraId="297B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3" w:type="pct"/>
                  <w:noWrap w:val="0"/>
                  <w:vAlign w:val="center"/>
                </w:tcPr>
                <w:p w14:paraId="7353877F">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设备名称</w:t>
                  </w:r>
                </w:p>
              </w:tc>
              <w:tc>
                <w:tcPr>
                  <w:tcW w:w="744" w:type="pct"/>
                  <w:noWrap w:val="0"/>
                  <w:vAlign w:val="center"/>
                </w:tcPr>
                <w:p w14:paraId="76DDCAD6">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数量（台）</w:t>
                  </w:r>
                </w:p>
              </w:tc>
              <w:tc>
                <w:tcPr>
                  <w:tcW w:w="1160" w:type="pct"/>
                  <w:noWrap w:val="0"/>
                  <w:vAlign w:val="center"/>
                </w:tcPr>
                <w:p w14:paraId="197F2DB9">
                  <w:pPr>
                    <w:jc w:val="center"/>
                    <w:rPr>
                      <w:rFonts w:hint="default" w:ascii="Times New Roman" w:hAnsi="Times New Roman" w:cs="Times New Roman"/>
                      <w:b/>
                      <w:color w:val="auto"/>
                      <w:szCs w:val="21"/>
                    </w:rPr>
                  </w:pPr>
                  <w:r>
                    <w:rPr>
                      <w:rFonts w:hint="default" w:ascii="Times New Roman" w:hAnsi="Times New Roman" w:cs="Times New Roman"/>
                      <w:b/>
                      <w:color w:val="auto"/>
                      <w:szCs w:val="21"/>
                      <w:lang w:val="en-US" w:eastAsia="zh-CN"/>
                    </w:rPr>
                    <w:t>产生源强</w:t>
                  </w:r>
                  <w:r>
                    <w:rPr>
                      <w:rFonts w:hint="default" w:ascii="Times New Roman" w:hAnsi="Times New Roman" w:cs="Times New Roman"/>
                      <w:b/>
                      <w:color w:val="auto"/>
                      <w:szCs w:val="21"/>
                    </w:rPr>
                    <w:t>（dB(A)）</w:t>
                  </w:r>
                </w:p>
              </w:tc>
              <w:tc>
                <w:tcPr>
                  <w:tcW w:w="864" w:type="pct"/>
                  <w:noWrap w:val="0"/>
                  <w:vAlign w:val="center"/>
                </w:tcPr>
                <w:p w14:paraId="370E52A6">
                  <w:pPr>
                    <w:jc w:val="center"/>
                    <w:rPr>
                      <w:rFonts w:hint="default" w:ascii="Times New Roman" w:hAnsi="Times New Roman" w:eastAsia="宋体" w:cs="Times New Roman"/>
                      <w:b/>
                      <w:color w:val="auto"/>
                      <w:szCs w:val="21"/>
                      <w:lang w:val="en-US" w:eastAsia="zh-CN"/>
                    </w:rPr>
                  </w:pPr>
                  <w:r>
                    <w:rPr>
                      <w:rFonts w:hint="default" w:ascii="Times New Roman" w:hAnsi="Times New Roman" w:cs="Times New Roman"/>
                      <w:b/>
                      <w:color w:val="auto"/>
                      <w:szCs w:val="21"/>
                      <w:lang w:val="en-US" w:eastAsia="zh-CN"/>
                    </w:rPr>
                    <w:t>防治措施</w:t>
                  </w:r>
                </w:p>
              </w:tc>
              <w:tc>
                <w:tcPr>
                  <w:tcW w:w="1177" w:type="pct"/>
                  <w:noWrap w:val="0"/>
                  <w:vAlign w:val="center"/>
                </w:tcPr>
                <w:p w14:paraId="1543582E">
                  <w:pPr>
                    <w:jc w:val="center"/>
                    <w:rPr>
                      <w:rFonts w:hint="default" w:ascii="Times New Roman" w:hAnsi="Times New Roman" w:eastAsia="宋体" w:cs="Times New Roman"/>
                      <w:b/>
                      <w:color w:val="auto"/>
                      <w:szCs w:val="21"/>
                      <w:lang w:eastAsia="zh-CN"/>
                    </w:rPr>
                  </w:pPr>
                  <w:r>
                    <w:rPr>
                      <w:rFonts w:hint="default" w:ascii="Times New Roman" w:hAnsi="Times New Roman" w:cs="Times New Roman"/>
                      <w:b/>
                      <w:color w:val="auto"/>
                      <w:szCs w:val="21"/>
                    </w:rPr>
                    <w:t>排放源强</w:t>
                  </w:r>
                  <w:r>
                    <w:rPr>
                      <w:rFonts w:hint="default" w:ascii="Times New Roman" w:hAnsi="Times New Roman" w:cs="Times New Roman"/>
                      <w:b/>
                      <w:color w:val="auto"/>
                      <w:szCs w:val="21"/>
                      <w:lang w:eastAsia="zh-CN"/>
                    </w:rPr>
                    <w:t>（</w:t>
                  </w:r>
                  <w:r>
                    <w:rPr>
                      <w:rFonts w:hint="default" w:ascii="Times New Roman" w:hAnsi="Times New Roman" w:cs="Times New Roman"/>
                      <w:b/>
                      <w:color w:val="auto"/>
                      <w:szCs w:val="21"/>
                    </w:rPr>
                    <w:t>dB(A)</w:t>
                  </w:r>
                  <w:r>
                    <w:rPr>
                      <w:rFonts w:hint="default" w:ascii="Times New Roman" w:hAnsi="Times New Roman" w:cs="Times New Roman"/>
                      <w:b/>
                      <w:color w:val="auto"/>
                      <w:szCs w:val="21"/>
                      <w:lang w:eastAsia="zh-CN"/>
                    </w:rPr>
                    <w:t>）</w:t>
                  </w:r>
                </w:p>
              </w:tc>
            </w:tr>
            <w:tr w14:paraId="7BFC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3" w:type="pct"/>
                  <w:noWrap w:val="0"/>
                  <w:vAlign w:val="center"/>
                </w:tcPr>
                <w:p w14:paraId="220FB45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钢筋调直机</w:t>
                  </w:r>
                </w:p>
              </w:tc>
              <w:tc>
                <w:tcPr>
                  <w:tcW w:w="744" w:type="pct"/>
                  <w:noWrap w:val="0"/>
                  <w:vAlign w:val="center"/>
                </w:tcPr>
                <w:p w14:paraId="47BC00DB">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60" w:type="pct"/>
                  <w:noWrap w:val="0"/>
                  <w:vAlign w:val="center"/>
                </w:tcPr>
                <w:p w14:paraId="2C96DC37">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8</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85</w:t>
                  </w:r>
                </w:p>
              </w:tc>
              <w:tc>
                <w:tcPr>
                  <w:tcW w:w="864" w:type="pct"/>
                  <w:noWrap w:val="0"/>
                  <w:vAlign w:val="center"/>
                </w:tcPr>
                <w:p w14:paraId="78D0B311">
                  <w:pPr>
                    <w:jc w:val="center"/>
                    <w:rPr>
                      <w:rFonts w:hint="default" w:ascii="Times New Roman" w:hAnsi="Times New Roman" w:cs="Times New Roman"/>
                      <w:color w:val="auto"/>
                      <w:szCs w:val="21"/>
                    </w:rPr>
                  </w:pPr>
                  <w:r>
                    <w:rPr>
                      <w:rFonts w:hint="default" w:ascii="Times New Roman" w:hAnsi="Times New Roman" w:cs="Times New Roman"/>
                      <w:color w:val="auto"/>
                    </w:rPr>
                    <w:t xml:space="preserve">隔声、减振 </w:t>
                  </w:r>
                </w:p>
              </w:tc>
              <w:tc>
                <w:tcPr>
                  <w:tcW w:w="1177" w:type="pct"/>
                  <w:noWrap w:val="0"/>
                  <w:vAlign w:val="center"/>
                </w:tcPr>
                <w:p w14:paraId="648EC953">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65-70</w:t>
                  </w:r>
                </w:p>
              </w:tc>
            </w:tr>
            <w:tr w14:paraId="1425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3" w:type="pct"/>
                  <w:noWrap w:val="0"/>
                  <w:vAlign w:val="center"/>
                </w:tcPr>
                <w:p w14:paraId="02F3C85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打圈机</w:t>
                  </w:r>
                </w:p>
              </w:tc>
              <w:tc>
                <w:tcPr>
                  <w:tcW w:w="744" w:type="pct"/>
                  <w:noWrap w:val="0"/>
                  <w:vAlign w:val="center"/>
                </w:tcPr>
                <w:p w14:paraId="0FD7D31B">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60" w:type="pct"/>
                  <w:noWrap w:val="0"/>
                  <w:vAlign w:val="center"/>
                </w:tcPr>
                <w:p w14:paraId="4DDE2C58">
                  <w:pPr>
                    <w:jc w:val="center"/>
                    <w:rPr>
                      <w:rFonts w:hint="default" w:ascii="Times New Roman" w:hAnsi="Times New Roman" w:cs="Times New Roman"/>
                      <w:color w:val="auto"/>
                      <w:szCs w:val="21"/>
                    </w:rPr>
                  </w:pPr>
                  <w:r>
                    <w:rPr>
                      <w:rFonts w:hint="default" w:ascii="Times New Roman" w:hAnsi="Times New Roman" w:cs="Times New Roman"/>
                      <w:color w:val="auto"/>
                      <w:szCs w:val="21"/>
                    </w:rPr>
                    <w:t>65～70</w:t>
                  </w:r>
                </w:p>
              </w:tc>
              <w:tc>
                <w:tcPr>
                  <w:tcW w:w="864" w:type="pct"/>
                  <w:noWrap w:val="0"/>
                  <w:vAlign w:val="center"/>
                </w:tcPr>
                <w:p w14:paraId="44AC08BF">
                  <w:pPr>
                    <w:jc w:val="center"/>
                    <w:rPr>
                      <w:rFonts w:hint="default" w:ascii="Times New Roman" w:hAnsi="Times New Roman" w:cs="Times New Roman"/>
                      <w:color w:val="auto"/>
                      <w:szCs w:val="21"/>
                    </w:rPr>
                  </w:pPr>
                  <w:r>
                    <w:rPr>
                      <w:rFonts w:hint="default" w:ascii="Times New Roman" w:hAnsi="Times New Roman" w:cs="Times New Roman"/>
                      <w:color w:val="auto"/>
                    </w:rPr>
                    <w:t xml:space="preserve">隔声、减振 </w:t>
                  </w:r>
                </w:p>
              </w:tc>
              <w:tc>
                <w:tcPr>
                  <w:tcW w:w="1177" w:type="pct"/>
                  <w:noWrap w:val="0"/>
                  <w:vAlign w:val="center"/>
                </w:tcPr>
                <w:p w14:paraId="53B15017">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50-</w:t>
                  </w:r>
                  <w:r>
                    <w:rPr>
                      <w:rFonts w:hint="eastAsia" w:ascii="Times New Roman" w:hAnsi="Times New Roman" w:cs="Times New Roman"/>
                      <w:color w:val="auto"/>
                      <w:szCs w:val="21"/>
                      <w:lang w:val="en-US" w:eastAsia="zh-CN"/>
                    </w:rPr>
                    <w:t>5</w:t>
                  </w:r>
                  <w:r>
                    <w:rPr>
                      <w:rFonts w:hint="default" w:ascii="Times New Roman" w:hAnsi="Times New Roman" w:cs="Times New Roman"/>
                      <w:color w:val="auto"/>
                      <w:szCs w:val="21"/>
                      <w:lang w:val="en-US" w:eastAsia="zh-CN"/>
                    </w:rPr>
                    <w:t>5</w:t>
                  </w:r>
                </w:p>
              </w:tc>
            </w:tr>
            <w:tr w14:paraId="5785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3" w:type="pct"/>
                  <w:noWrap w:val="0"/>
                  <w:vAlign w:val="center"/>
                </w:tcPr>
                <w:p w14:paraId="37B1BD6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搅拌机</w:t>
                  </w:r>
                </w:p>
              </w:tc>
              <w:tc>
                <w:tcPr>
                  <w:tcW w:w="744" w:type="pct"/>
                  <w:noWrap w:val="0"/>
                  <w:vAlign w:val="center"/>
                </w:tcPr>
                <w:p w14:paraId="318CDD1C">
                  <w:pPr>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60" w:type="pct"/>
                  <w:noWrap w:val="0"/>
                  <w:vAlign w:val="center"/>
                </w:tcPr>
                <w:p w14:paraId="49D1AA38">
                  <w:pPr>
                    <w:jc w:val="center"/>
                    <w:rPr>
                      <w:rFonts w:hint="default" w:ascii="Times New Roman" w:hAnsi="Times New Roman" w:cs="Times New Roman"/>
                      <w:color w:val="auto"/>
                      <w:szCs w:val="21"/>
                    </w:rPr>
                  </w:pPr>
                  <w:r>
                    <w:rPr>
                      <w:rFonts w:hint="default" w:ascii="Times New Roman" w:hAnsi="Times New Roman" w:cs="Times New Roman"/>
                      <w:color w:val="auto"/>
                      <w:szCs w:val="21"/>
                    </w:rPr>
                    <w:t>80～85</w:t>
                  </w:r>
                </w:p>
              </w:tc>
              <w:tc>
                <w:tcPr>
                  <w:tcW w:w="864" w:type="pct"/>
                  <w:noWrap w:val="0"/>
                  <w:vAlign w:val="center"/>
                </w:tcPr>
                <w:p w14:paraId="7B17E85A">
                  <w:pPr>
                    <w:jc w:val="center"/>
                    <w:rPr>
                      <w:rFonts w:hint="default" w:ascii="Times New Roman" w:hAnsi="Times New Roman" w:cs="Times New Roman"/>
                      <w:color w:val="auto"/>
                      <w:szCs w:val="21"/>
                    </w:rPr>
                  </w:pPr>
                  <w:r>
                    <w:rPr>
                      <w:rFonts w:hint="default" w:ascii="Times New Roman" w:hAnsi="Times New Roman" w:cs="Times New Roman"/>
                      <w:color w:val="auto"/>
                    </w:rPr>
                    <w:t xml:space="preserve">隔声、减振 </w:t>
                  </w:r>
                </w:p>
              </w:tc>
              <w:tc>
                <w:tcPr>
                  <w:tcW w:w="1177" w:type="pct"/>
                  <w:noWrap w:val="0"/>
                  <w:vAlign w:val="center"/>
                </w:tcPr>
                <w:p w14:paraId="6A29AFDF">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65-70</w:t>
                  </w:r>
                </w:p>
              </w:tc>
            </w:tr>
            <w:tr w14:paraId="55ECF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3" w:type="pct"/>
                  <w:noWrap w:val="0"/>
                  <w:vAlign w:val="center"/>
                </w:tcPr>
                <w:p w14:paraId="5F0E61A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混凝土配料机</w:t>
                  </w:r>
                </w:p>
              </w:tc>
              <w:tc>
                <w:tcPr>
                  <w:tcW w:w="744" w:type="pct"/>
                  <w:noWrap w:val="0"/>
                  <w:vAlign w:val="center"/>
                </w:tcPr>
                <w:p w14:paraId="738ED745">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60" w:type="pct"/>
                  <w:noWrap w:val="0"/>
                  <w:vAlign w:val="center"/>
                </w:tcPr>
                <w:p w14:paraId="22EBDDE2">
                  <w:pPr>
                    <w:jc w:val="center"/>
                    <w:rPr>
                      <w:rFonts w:hint="default" w:ascii="Times New Roman" w:hAnsi="Times New Roman" w:cs="Times New Roman"/>
                      <w:color w:val="auto"/>
                      <w:szCs w:val="21"/>
                    </w:rPr>
                  </w:pPr>
                  <w:r>
                    <w:rPr>
                      <w:rFonts w:hint="default" w:ascii="Times New Roman" w:hAnsi="Times New Roman" w:cs="Times New Roman"/>
                      <w:color w:val="auto"/>
                      <w:szCs w:val="21"/>
                    </w:rPr>
                    <w:t>70～75</w:t>
                  </w:r>
                </w:p>
              </w:tc>
              <w:tc>
                <w:tcPr>
                  <w:tcW w:w="864" w:type="pct"/>
                  <w:noWrap w:val="0"/>
                  <w:vAlign w:val="center"/>
                </w:tcPr>
                <w:p w14:paraId="6DC2BC2B">
                  <w:pPr>
                    <w:jc w:val="center"/>
                    <w:rPr>
                      <w:rFonts w:hint="default" w:ascii="Times New Roman" w:hAnsi="Times New Roman" w:cs="Times New Roman"/>
                      <w:color w:val="auto"/>
                      <w:szCs w:val="21"/>
                    </w:rPr>
                  </w:pPr>
                  <w:r>
                    <w:rPr>
                      <w:rFonts w:hint="default" w:ascii="Times New Roman" w:hAnsi="Times New Roman" w:cs="Times New Roman"/>
                      <w:color w:val="auto"/>
                    </w:rPr>
                    <w:t xml:space="preserve">隔声、减振 </w:t>
                  </w:r>
                </w:p>
              </w:tc>
              <w:tc>
                <w:tcPr>
                  <w:tcW w:w="1177" w:type="pct"/>
                  <w:noWrap w:val="0"/>
                  <w:vAlign w:val="center"/>
                </w:tcPr>
                <w:p w14:paraId="7748DB73">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55-60</w:t>
                  </w:r>
                </w:p>
              </w:tc>
            </w:tr>
            <w:tr w14:paraId="1537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3" w:type="pct"/>
                  <w:noWrap w:val="0"/>
                  <w:vAlign w:val="center"/>
                </w:tcPr>
                <w:p w14:paraId="21E7530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焊机</w:t>
                  </w:r>
                </w:p>
              </w:tc>
              <w:tc>
                <w:tcPr>
                  <w:tcW w:w="744" w:type="pct"/>
                  <w:noWrap w:val="0"/>
                  <w:vAlign w:val="center"/>
                </w:tcPr>
                <w:p w14:paraId="6979C45E">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160" w:type="pct"/>
                  <w:noWrap w:val="0"/>
                  <w:vAlign w:val="center"/>
                </w:tcPr>
                <w:p w14:paraId="697B6A2F">
                  <w:pPr>
                    <w:jc w:val="center"/>
                    <w:rPr>
                      <w:rFonts w:hint="default" w:ascii="Times New Roman" w:hAnsi="Times New Roman" w:cs="Times New Roman"/>
                      <w:color w:val="auto"/>
                      <w:szCs w:val="21"/>
                    </w:rPr>
                  </w:pPr>
                  <w:r>
                    <w:rPr>
                      <w:rFonts w:hint="default" w:ascii="Times New Roman" w:hAnsi="Times New Roman" w:cs="Times New Roman"/>
                      <w:color w:val="auto"/>
                      <w:szCs w:val="21"/>
                    </w:rPr>
                    <w:t>70～75</w:t>
                  </w:r>
                </w:p>
              </w:tc>
              <w:tc>
                <w:tcPr>
                  <w:tcW w:w="864" w:type="pct"/>
                  <w:noWrap w:val="0"/>
                  <w:vAlign w:val="center"/>
                </w:tcPr>
                <w:p w14:paraId="1C9AC27A">
                  <w:pPr>
                    <w:jc w:val="center"/>
                    <w:rPr>
                      <w:rFonts w:hint="default" w:ascii="Times New Roman" w:hAnsi="Times New Roman" w:cs="Times New Roman"/>
                      <w:color w:val="auto"/>
                      <w:szCs w:val="21"/>
                    </w:rPr>
                  </w:pPr>
                  <w:r>
                    <w:rPr>
                      <w:rFonts w:hint="default" w:ascii="Times New Roman" w:hAnsi="Times New Roman" w:cs="Times New Roman"/>
                      <w:color w:val="auto"/>
                    </w:rPr>
                    <w:t xml:space="preserve">隔声、减振 </w:t>
                  </w:r>
                </w:p>
              </w:tc>
              <w:tc>
                <w:tcPr>
                  <w:tcW w:w="1177" w:type="pct"/>
                  <w:noWrap w:val="0"/>
                  <w:vAlign w:val="center"/>
                </w:tcPr>
                <w:p w14:paraId="0F03674C">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55-60</w:t>
                  </w:r>
                </w:p>
              </w:tc>
            </w:tr>
            <w:tr w14:paraId="0E361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3" w:type="pct"/>
                  <w:noWrap w:val="0"/>
                  <w:vAlign w:val="center"/>
                </w:tcPr>
                <w:p w14:paraId="4048727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铲车</w:t>
                  </w:r>
                </w:p>
              </w:tc>
              <w:tc>
                <w:tcPr>
                  <w:tcW w:w="744" w:type="pct"/>
                  <w:noWrap w:val="0"/>
                  <w:vAlign w:val="center"/>
                </w:tcPr>
                <w:p w14:paraId="19ACE5E9">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60" w:type="pct"/>
                  <w:noWrap w:val="0"/>
                  <w:vAlign w:val="center"/>
                </w:tcPr>
                <w:p w14:paraId="662A9559">
                  <w:pPr>
                    <w:jc w:val="center"/>
                    <w:rPr>
                      <w:rFonts w:hint="default" w:ascii="Times New Roman" w:hAnsi="Times New Roman" w:cs="Times New Roman"/>
                      <w:color w:val="auto"/>
                      <w:szCs w:val="21"/>
                    </w:rPr>
                  </w:pPr>
                  <w:r>
                    <w:rPr>
                      <w:rFonts w:hint="default" w:ascii="Times New Roman" w:hAnsi="Times New Roman" w:cs="Times New Roman"/>
                      <w:color w:val="auto"/>
                      <w:szCs w:val="21"/>
                    </w:rPr>
                    <w:t>60～70</w:t>
                  </w:r>
                </w:p>
              </w:tc>
              <w:tc>
                <w:tcPr>
                  <w:tcW w:w="864" w:type="pct"/>
                  <w:noWrap w:val="0"/>
                  <w:vAlign w:val="center"/>
                </w:tcPr>
                <w:p w14:paraId="6F534EB6">
                  <w:pPr>
                    <w:jc w:val="center"/>
                    <w:rPr>
                      <w:rFonts w:hint="default" w:ascii="Times New Roman" w:hAnsi="Times New Roman" w:cs="Times New Roman"/>
                      <w:color w:val="auto"/>
                      <w:szCs w:val="21"/>
                    </w:rPr>
                  </w:pPr>
                  <w:r>
                    <w:rPr>
                      <w:rFonts w:hint="default" w:ascii="Times New Roman" w:hAnsi="Times New Roman" w:cs="Times New Roman"/>
                      <w:color w:val="auto"/>
                    </w:rPr>
                    <w:t xml:space="preserve">隔声、减振 </w:t>
                  </w:r>
                </w:p>
              </w:tc>
              <w:tc>
                <w:tcPr>
                  <w:tcW w:w="1177" w:type="pct"/>
                  <w:noWrap w:val="0"/>
                  <w:vAlign w:val="center"/>
                </w:tcPr>
                <w:p w14:paraId="048729EE">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45-55</w:t>
                  </w:r>
                </w:p>
              </w:tc>
            </w:tr>
            <w:tr w14:paraId="0ECD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3" w:type="pct"/>
                  <w:noWrap w:val="0"/>
                  <w:vAlign w:val="center"/>
                </w:tcPr>
                <w:p w14:paraId="115E54E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行车</w:t>
                  </w:r>
                </w:p>
              </w:tc>
              <w:tc>
                <w:tcPr>
                  <w:tcW w:w="744" w:type="pct"/>
                  <w:noWrap w:val="0"/>
                  <w:vAlign w:val="center"/>
                </w:tcPr>
                <w:p w14:paraId="2C32417B">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160" w:type="pct"/>
                  <w:noWrap w:val="0"/>
                  <w:vAlign w:val="center"/>
                </w:tcPr>
                <w:p w14:paraId="65E97D97">
                  <w:pPr>
                    <w:jc w:val="center"/>
                    <w:rPr>
                      <w:rFonts w:hint="default" w:ascii="Times New Roman" w:hAnsi="Times New Roman" w:cs="Times New Roman"/>
                      <w:color w:val="auto"/>
                      <w:szCs w:val="21"/>
                    </w:rPr>
                  </w:pPr>
                  <w:r>
                    <w:rPr>
                      <w:rFonts w:hint="default" w:ascii="Times New Roman" w:hAnsi="Times New Roman" w:cs="Times New Roman"/>
                      <w:color w:val="auto"/>
                      <w:szCs w:val="21"/>
                    </w:rPr>
                    <w:t>70～75</w:t>
                  </w:r>
                </w:p>
              </w:tc>
              <w:tc>
                <w:tcPr>
                  <w:tcW w:w="864" w:type="pct"/>
                  <w:noWrap w:val="0"/>
                  <w:vAlign w:val="center"/>
                </w:tcPr>
                <w:p w14:paraId="626549C6">
                  <w:pPr>
                    <w:jc w:val="center"/>
                    <w:rPr>
                      <w:rFonts w:hint="default" w:ascii="Times New Roman" w:hAnsi="Times New Roman" w:cs="Times New Roman"/>
                      <w:color w:val="auto"/>
                      <w:szCs w:val="21"/>
                    </w:rPr>
                  </w:pPr>
                  <w:r>
                    <w:rPr>
                      <w:rFonts w:hint="default" w:ascii="Times New Roman" w:hAnsi="Times New Roman" w:cs="Times New Roman"/>
                      <w:color w:val="auto"/>
                    </w:rPr>
                    <w:t xml:space="preserve">隔声、减振 </w:t>
                  </w:r>
                </w:p>
              </w:tc>
              <w:tc>
                <w:tcPr>
                  <w:tcW w:w="1177" w:type="pct"/>
                  <w:noWrap w:val="0"/>
                  <w:vAlign w:val="center"/>
                </w:tcPr>
                <w:p w14:paraId="5776D9F3">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55-60</w:t>
                  </w:r>
                </w:p>
              </w:tc>
            </w:tr>
            <w:tr w14:paraId="4E8C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3" w:type="pct"/>
                  <w:noWrap w:val="0"/>
                  <w:vAlign w:val="center"/>
                </w:tcPr>
                <w:p w14:paraId="3B7E85C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离心机</w:t>
                  </w:r>
                </w:p>
              </w:tc>
              <w:tc>
                <w:tcPr>
                  <w:tcW w:w="744" w:type="pct"/>
                  <w:noWrap w:val="0"/>
                  <w:vAlign w:val="center"/>
                </w:tcPr>
                <w:p w14:paraId="44E614BE">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160" w:type="pct"/>
                  <w:noWrap w:val="0"/>
                  <w:vAlign w:val="center"/>
                </w:tcPr>
                <w:p w14:paraId="6C25B414">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75</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80</w:t>
                  </w:r>
                </w:p>
              </w:tc>
              <w:tc>
                <w:tcPr>
                  <w:tcW w:w="864" w:type="pct"/>
                  <w:noWrap w:val="0"/>
                  <w:vAlign w:val="center"/>
                </w:tcPr>
                <w:p w14:paraId="7254872E">
                  <w:pPr>
                    <w:jc w:val="center"/>
                    <w:rPr>
                      <w:rFonts w:hint="default" w:ascii="Times New Roman" w:hAnsi="Times New Roman" w:cs="Times New Roman"/>
                      <w:color w:val="auto"/>
                      <w:szCs w:val="21"/>
                    </w:rPr>
                  </w:pPr>
                  <w:r>
                    <w:rPr>
                      <w:rFonts w:hint="default" w:ascii="Times New Roman" w:hAnsi="Times New Roman" w:cs="Times New Roman"/>
                      <w:color w:val="auto"/>
                    </w:rPr>
                    <w:t xml:space="preserve">隔声、减振 </w:t>
                  </w:r>
                </w:p>
              </w:tc>
              <w:tc>
                <w:tcPr>
                  <w:tcW w:w="1177" w:type="pct"/>
                  <w:noWrap w:val="0"/>
                  <w:vAlign w:val="center"/>
                </w:tcPr>
                <w:p w14:paraId="53F4140A">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60-65</w:t>
                  </w:r>
                </w:p>
              </w:tc>
            </w:tr>
            <w:tr w14:paraId="5847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3" w:type="pct"/>
                  <w:noWrap w:val="0"/>
                  <w:vAlign w:val="center"/>
                </w:tcPr>
                <w:p w14:paraId="4CB0E6E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风机</w:t>
                  </w:r>
                </w:p>
              </w:tc>
              <w:tc>
                <w:tcPr>
                  <w:tcW w:w="744" w:type="pct"/>
                  <w:noWrap w:val="0"/>
                  <w:vAlign w:val="center"/>
                </w:tcPr>
                <w:p w14:paraId="068145E7">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160" w:type="pct"/>
                  <w:noWrap w:val="0"/>
                  <w:vAlign w:val="center"/>
                </w:tcPr>
                <w:p w14:paraId="56AA7DB3">
                  <w:pPr>
                    <w:jc w:val="center"/>
                    <w:rPr>
                      <w:rFonts w:hint="default" w:ascii="Times New Roman" w:hAnsi="Times New Roman" w:cs="Times New Roman"/>
                      <w:color w:val="auto"/>
                      <w:szCs w:val="21"/>
                    </w:rPr>
                  </w:pPr>
                  <w:r>
                    <w:rPr>
                      <w:rFonts w:hint="default" w:ascii="Times New Roman" w:hAnsi="Times New Roman" w:cs="Times New Roman"/>
                      <w:color w:val="auto"/>
                      <w:szCs w:val="21"/>
                    </w:rPr>
                    <w:t>75～80</w:t>
                  </w:r>
                </w:p>
              </w:tc>
              <w:tc>
                <w:tcPr>
                  <w:tcW w:w="864" w:type="pct"/>
                  <w:noWrap w:val="0"/>
                  <w:vAlign w:val="center"/>
                </w:tcPr>
                <w:p w14:paraId="6DA53DD3">
                  <w:pPr>
                    <w:jc w:val="center"/>
                    <w:rPr>
                      <w:rFonts w:hint="default" w:ascii="Times New Roman" w:hAnsi="Times New Roman" w:cs="Times New Roman"/>
                      <w:color w:val="auto"/>
                      <w:szCs w:val="21"/>
                    </w:rPr>
                  </w:pPr>
                  <w:r>
                    <w:rPr>
                      <w:rFonts w:hint="default" w:ascii="Times New Roman" w:hAnsi="Times New Roman" w:cs="Times New Roman"/>
                      <w:color w:val="auto"/>
                    </w:rPr>
                    <w:t xml:space="preserve">隔声、减振 </w:t>
                  </w:r>
                </w:p>
              </w:tc>
              <w:tc>
                <w:tcPr>
                  <w:tcW w:w="1177" w:type="pct"/>
                  <w:noWrap w:val="0"/>
                  <w:vAlign w:val="center"/>
                </w:tcPr>
                <w:p w14:paraId="114430FC">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60-65</w:t>
                  </w:r>
                </w:p>
              </w:tc>
            </w:tr>
            <w:tr w14:paraId="467A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3" w:type="pct"/>
                  <w:noWrap w:val="0"/>
                  <w:vAlign w:val="center"/>
                </w:tcPr>
                <w:p w14:paraId="4291183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泵</w:t>
                  </w:r>
                </w:p>
              </w:tc>
              <w:tc>
                <w:tcPr>
                  <w:tcW w:w="744" w:type="pct"/>
                  <w:noWrap w:val="0"/>
                  <w:vAlign w:val="center"/>
                </w:tcPr>
                <w:p w14:paraId="100DA1E4">
                  <w:pPr>
                    <w:topLinePunct/>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160" w:type="pct"/>
                  <w:noWrap w:val="0"/>
                  <w:vAlign w:val="center"/>
                </w:tcPr>
                <w:p w14:paraId="60B18353">
                  <w:pPr>
                    <w:jc w:val="center"/>
                    <w:rPr>
                      <w:rFonts w:hint="default" w:ascii="Times New Roman" w:hAnsi="Times New Roman" w:cs="Times New Roman"/>
                      <w:color w:val="auto"/>
                      <w:szCs w:val="21"/>
                    </w:rPr>
                  </w:pPr>
                  <w:r>
                    <w:rPr>
                      <w:rFonts w:hint="default" w:ascii="Times New Roman" w:hAnsi="Times New Roman" w:cs="Times New Roman"/>
                      <w:color w:val="auto"/>
                      <w:szCs w:val="21"/>
                    </w:rPr>
                    <w:t>80～85</w:t>
                  </w:r>
                </w:p>
              </w:tc>
              <w:tc>
                <w:tcPr>
                  <w:tcW w:w="864" w:type="pct"/>
                  <w:noWrap w:val="0"/>
                  <w:vAlign w:val="center"/>
                </w:tcPr>
                <w:p w14:paraId="7C53618E">
                  <w:pPr>
                    <w:jc w:val="center"/>
                    <w:rPr>
                      <w:rFonts w:hint="default" w:ascii="Times New Roman" w:hAnsi="Times New Roman" w:cs="Times New Roman"/>
                      <w:color w:val="auto"/>
                      <w:szCs w:val="21"/>
                    </w:rPr>
                  </w:pPr>
                  <w:r>
                    <w:rPr>
                      <w:rFonts w:hint="default" w:ascii="Times New Roman" w:hAnsi="Times New Roman" w:cs="Times New Roman"/>
                      <w:color w:val="auto"/>
                    </w:rPr>
                    <w:t xml:space="preserve">隔声、减振 </w:t>
                  </w:r>
                </w:p>
              </w:tc>
              <w:tc>
                <w:tcPr>
                  <w:tcW w:w="1177" w:type="pct"/>
                  <w:noWrap w:val="0"/>
                  <w:vAlign w:val="center"/>
                </w:tcPr>
                <w:p w14:paraId="42353F64">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65-70</w:t>
                  </w:r>
                </w:p>
              </w:tc>
            </w:tr>
            <w:tr w14:paraId="69D8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3" w:type="pct"/>
                  <w:noWrap w:val="0"/>
                  <w:vAlign w:val="center"/>
                </w:tcPr>
                <w:p w14:paraId="002108C1">
                  <w:pPr>
                    <w:tabs>
                      <w:tab w:val="left" w:pos="1021"/>
                    </w:tabs>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钢筋校直切断机</w:t>
                  </w:r>
                </w:p>
              </w:tc>
              <w:tc>
                <w:tcPr>
                  <w:tcW w:w="744" w:type="pct"/>
                  <w:noWrap w:val="0"/>
                  <w:vAlign w:val="center"/>
                </w:tcPr>
                <w:p w14:paraId="73733682">
                  <w:pPr>
                    <w:tabs>
                      <w:tab w:val="left" w:pos="1021"/>
                    </w:tabs>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160" w:type="pct"/>
                  <w:noWrap w:val="0"/>
                  <w:vAlign w:val="center"/>
                </w:tcPr>
                <w:p w14:paraId="333714AE">
                  <w:pPr>
                    <w:jc w:val="center"/>
                    <w:rPr>
                      <w:rFonts w:hint="default" w:ascii="Times New Roman" w:hAnsi="Times New Roman" w:cs="Times New Roman"/>
                      <w:color w:val="auto"/>
                      <w:szCs w:val="21"/>
                    </w:rPr>
                  </w:pPr>
                  <w:r>
                    <w:rPr>
                      <w:rFonts w:hint="default" w:ascii="Times New Roman" w:hAnsi="Times New Roman" w:cs="Times New Roman"/>
                      <w:color w:val="auto"/>
                      <w:szCs w:val="21"/>
                    </w:rPr>
                    <w:t>70～75</w:t>
                  </w:r>
                </w:p>
              </w:tc>
              <w:tc>
                <w:tcPr>
                  <w:tcW w:w="864" w:type="pct"/>
                  <w:noWrap w:val="0"/>
                  <w:vAlign w:val="center"/>
                </w:tcPr>
                <w:p w14:paraId="2EDA23C1">
                  <w:pPr>
                    <w:jc w:val="center"/>
                    <w:rPr>
                      <w:rFonts w:hint="default" w:ascii="Times New Roman" w:hAnsi="Times New Roman" w:cs="Times New Roman"/>
                      <w:color w:val="auto"/>
                      <w:szCs w:val="21"/>
                    </w:rPr>
                  </w:pPr>
                  <w:r>
                    <w:rPr>
                      <w:rFonts w:hint="default" w:ascii="Times New Roman" w:hAnsi="Times New Roman" w:cs="Times New Roman"/>
                      <w:color w:val="auto"/>
                    </w:rPr>
                    <w:t xml:space="preserve">隔声、减振 </w:t>
                  </w:r>
                </w:p>
              </w:tc>
              <w:tc>
                <w:tcPr>
                  <w:tcW w:w="1177" w:type="pct"/>
                  <w:noWrap w:val="0"/>
                  <w:vAlign w:val="center"/>
                </w:tcPr>
                <w:p w14:paraId="08A700D2">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55-60</w:t>
                  </w:r>
                </w:p>
              </w:tc>
            </w:tr>
          </w:tbl>
          <w:p w14:paraId="06AA63BC">
            <w:pPr>
              <w:spacing w:line="360" w:lineRule="auto"/>
              <w:ind w:firstLine="480" w:firstLineChars="200"/>
              <w:jc w:val="both"/>
              <w:rPr>
                <w:rFonts w:hint="default" w:ascii="Times New Roman" w:hAnsi="Times New Roman" w:eastAsia="宋体" w:cs="Times New Roman"/>
                <w:sz w:val="24"/>
                <w:szCs w:val="24"/>
                <w:u w:val="none" w:color="auto"/>
                <w:lang w:val="en-US" w:eastAsia="zh-CN"/>
              </w:rPr>
            </w:pPr>
            <w:r>
              <w:rPr>
                <w:rFonts w:hint="default" w:ascii="Times New Roman" w:hAnsi="Times New Roman" w:eastAsia="宋体" w:cs="Times New Roman"/>
                <w:sz w:val="24"/>
                <w:szCs w:val="24"/>
                <w:u w:val="none" w:color="auto"/>
                <w:lang w:val="en-US" w:eastAsia="zh-CN"/>
              </w:rPr>
              <w:t>本次评价采用《环境影响评价技术导则 声环境》（HJ 2.4-2021）的预测公式对厂界和环境保护目标处的噪声达标情况进行预测。</w:t>
            </w:r>
          </w:p>
          <w:p w14:paraId="4630A093">
            <w:pPr>
              <w:spacing w:line="360" w:lineRule="auto"/>
              <w:ind w:firstLine="480" w:firstLineChars="200"/>
              <w:jc w:val="both"/>
              <w:rPr>
                <w:rFonts w:hint="default" w:ascii="Times New Roman" w:hAnsi="Times New Roman" w:eastAsia="宋体" w:cs="Times New Roman"/>
                <w:sz w:val="24"/>
                <w:szCs w:val="24"/>
                <w:u w:val="none" w:color="auto"/>
                <w:lang w:val="en-US" w:eastAsia="zh-CN"/>
              </w:rPr>
            </w:pPr>
            <w:r>
              <w:rPr>
                <w:rFonts w:hint="default" w:ascii="Times New Roman" w:hAnsi="Times New Roman" w:eastAsia="宋体" w:cs="Times New Roman"/>
                <w:sz w:val="24"/>
                <w:szCs w:val="24"/>
                <w:u w:val="none" w:color="auto"/>
                <w:lang w:val="en-US" w:eastAsia="zh-CN"/>
              </w:rPr>
              <w:t>预测内容：各噪声源在项目厂界外1m处的噪声贡献值。</w:t>
            </w:r>
          </w:p>
          <w:p w14:paraId="7EE7B796">
            <w:pPr>
              <w:spacing w:line="360" w:lineRule="auto"/>
              <w:ind w:firstLine="480" w:firstLineChars="200"/>
              <w:jc w:val="both"/>
              <w:rPr>
                <w:rFonts w:hint="default" w:ascii="Times New Roman" w:hAnsi="Times New Roman" w:eastAsia="宋体" w:cs="Times New Roman"/>
                <w:sz w:val="24"/>
                <w:szCs w:val="24"/>
                <w:u w:val="none" w:color="auto"/>
                <w:lang w:val="en-US" w:eastAsia="zh-CN"/>
              </w:rPr>
            </w:pPr>
            <w:r>
              <w:rPr>
                <w:rFonts w:hint="default" w:ascii="Times New Roman" w:hAnsi="Times New Roman" w:eastAsia="宋体" w:cs="Times New Roman"/>
                <w:sz w:val="24"/>
                <w:szCs w:val="24"/>
                <w:u w:val="none" w:color="auto"/>
                <w:lang w:val="en-US" w:eastAsia="zh-CN"/>
              </w:rPr>
              <w:t>预测因子：等效连续声级LAeq。</w:t>
            </w:r>
          </w:p>
          <w:p w14:paraId="11EAC13C">
            <w:pPr>
              <w:spacing w:line="360" w:lineRule="auto"/>
              <w:ind w:firstLine="480" w:firstLineChars="200"/>
              <w:jc w:val="both"/>
              <w:rPr>
                <w:rFonts w:hint="default" w:ascii="Times New Roman" w:hAnsi="Times New Roman" w:eastAsia="宋体" w:cs="Times New Roman"/>
                <w:sz w:val="24"/>
                <w:szCs w:val="24"/>
                <w:u w:val="none" w:color="auto"/>
                <w:lang w:val="en-US" w:eastAsia="zh-CN"/>
              </w:rPr>
            </w:pPr>
            <w:r>
              <w:rPr>
                <w:rFonts w:hint="default" w:ascii="Times New Roman" w:hAnsi="Times New Roman" w:eastAsia="宋体" w:cs="Times New Roman"/>
                <w:sz w:val="24"/>
                <w:szCs w:val="24"/>
                <w:u w:val="none" w:color="auto"/>
                <w:lang w:val="en-US" w:eastAsia="zh-CN"/>
              </w:rPr>
              <w:t>预测模式</w:t>
            </w:r>
            <w:r>
              <w:rPr>
                <w:rFonts w:hint="eastAsia" w:ascii="Times New Roman" w:hAnsi="Times New Roman" w:eastAsia="宋体" w:cs="Times New Roman"/>
                <w:sz w:val="24"/>
                <w:szCs w:val="24"/>
                <w:u w:val="none" w:color="auto"/>
                <w:lang w:val="en-US" w:eastAsia="zh-CN"/>
              </w:rPr>
              <w:t>：</w:t>
            </w:r>
            <w:r>
              <w:rPr>
                <w:rFonts w:hint="default" w:ascii="Times New Roman" w:hAnsi="Times New Roman" w:eastAsia="宋体" w:cs="Times New Roman"/>
                <w:sz w:val="24"/>
                <w:szCs w:val="24"/>
                <w:u w:val="none" w:color="auto"/>
                <w:lang w:val="en-US" w:eastAsia="zh-CN"/>
              </w:rPr>
              <w:t>室</w:t>
            </w:r>
            <w:r>
              <w:rPr>
                <w:rFonts w:hint="eastAsia" w:ascii="Times New Roman" w:hAnsi="Times New Roman" w:eastAsia="宋体" w:cs="Times New Roman"/>
                <w:sz w:val="24"/>
                <w:szCs w:val="24"/>
                <w:u w:val="none" w:color="auto"/>
                <w:lang w:val="en-US" w:eastAsia="zh-CN"/>
              </w:rPr>
              <w:t>内</w:t>
            </w:r>
            <w:r>
              <w:rPr>
                <w:rFonts w:hint="default" w:ascii="Times New Roman" w:hAnsi="Times New Roman" w:eastAsia="宋体" w:cs="Times New Roman"/>
                <w:sz w:val="24"/>
                <w:szCs w:val="24"/>
                <w:u w:val="none" w:color="auto"/>
                <w:lang w:val="en-US" w:eastAsia="zh-CN"/>
              </w:rPr>
              <w:t>声源的扩散衰减模式：</w:t>
            </w:r>
          </w:p>
          <w:p w14:paraId="6B03E5E3">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086610" cy="408305"/>
                  <wp:effectExtent l="0" t="0" r="8890" b="1143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1"/>
                          <a:stretch>
                            <a:fillRect/>
                          </a:stretch>
                        </pic:blipFill>
                        <pic:spPr>
                          <a:xfrm>
                            <a:off x="0" y="0"/>
                            <a:ext cx="2086610" cy="408305"/>
                          </a:xfrm>
                          <a:prstGeom prst="rect">
                            <a:avLst/>
                          </a:prstGeom>
                          <a:noFill/>
                          <a:ln>
                            <a:noFill/>
                          </a:ln>
                        </pic:spPr>
                      </pic:pic>
                    </a:graphicData>
                  </a:graphic>
                </wp:inline>
              </w:drawing>
            </w:r>
          </w:p>
          <w:p w14:paraId="09FCCCFD">
            <w:pPr>
              <w:spacing w:line="360" w:lineRule="auto"/>
              <w:ind w:firstLine="480" w:firstLineChars="200"/>
              <w:jc w:val="both"/>
              <w:rPr>
                <w:rFonts w:hint="default" w:ascii="Times New Roman" w:hAnsi="Times New Roman" w:eastAsia="宋体" w:cs="Times New Roman"/>
                <w:sz w:val="24"/>
                <w:szCs w:val="24"/>
                <w:u w:val="none" w:color="auto"/>
                <w:lang w:val="en-US" w:eastAsia="zh-CN"/>
              </w:rPr>
            </w:pPr>
            <w:r>
              <w:rPr>
                <w:rFonts w:hint="default" w:ascii="Times New Roman" w:hAnsi="Times New Roman" w:eastAsia="宋体" w:cs="Times New Roman"/>
                <w:sz w:val="24"/>
                <w:szCs w:val="24"/>
                <w:u w:val="none" w:color="auto"/>
                <w:lang w:val="en-US" w:eastAsia="zh-CN"/>
              </w:rPr>
              <w:t>式中：L</w:t>
            </w:r>
            <w:r>
              <w:rPr>
                <w:rFonts w:hint="default" w:ascii="Times New Roman" w:hAnsi="Times New Roman" w:eastAsia="宋体" w:cs="Times New Roman"/>
                <w:sz w:val="24"/>
                <w:szCs w:val="24"/>
                <w:u w:val="none" w:color="auto"/>
                <w:vertAlign w:val="subscript"/>
                <w:lang w:val="en-US" w:eastAsia="zh-CN"/>
              </w:rPr>
              <w:t>P</w:t>
            </w:r>
            <w:r>
              <w:rPr>
                <w:rFonts w:hint="default" w:ascii="Times New Roman" w:hAnsi="Times New Roman" w:eastAsia="宋体" w:cs="Times New Roman"/>
                <w:sz w:val="24"/>
                <w:szCs w:val="24"/>
                <w:u w:val="none" w:color="auto"/>
                <w:lang w:val="en-US" w:eastAsia="zh-CN"/>
              </w:rPr>
              <w:t>——距声源距离r处声级，dB（A）；</w:t>
            </w:r>
          </w:p>
          <w:p w14:paraId="3DB37F2B">
            <w:pPr>
              <w:spacing w:line="360" w:lineRule="auto"/>
              <w:ind w:firstLine="1200" w:firstLineChars="500"/>
              <w:jc w:val="both"/>
              <w:rPr>
                <w:rFonts w:hint="default" w:ascii="Times New Roman" w:hAnsi="Times New Roman" w:eastAsia="宋体" w:cs="Times New Roman"/>
                <w:sz w:val="24"/>
                <w:szCs w:val="24"/>
                <w:u w:val="none" w:color="auto"/>
                <w:lang w:val="en-US" w:eastAsia="zh-CN"/>
              </w:rPr>
            </w:pPr>
            <w:r>
              <w:rPr>
                <w:rFonts w:hint="default" w:ascii="Times New Roman" w:hAnsi="Times New Roman" w:eastAsia="宋体" w:cs="Times New Roman"/>
                <w:sz w:val="24"/>
                <w:szCs w:val="24"/>
                <w:u w:val="none" w:color="auto"/>
                <w:lang w:val="en-US" w:eastAsia="zh-CN"/>
              </w:rPr>
              <w:t>L</w:t>
            </w:r>
            <w:r>
              <w:rPr>
                <w:rFonts w:hint="default" w:ascii="Times New Roman" w:hAnsi="Times New Roman" w:eastAsia="宋体" w:cs="Times New Roman"/>
                <w:sz w:val="24"/>
                <w:szCs w:val="24"/>
                <w:u w:val="none" w:color="auto"/>
                <w:vertAlign w:val="subscript"/>
                <w:lang w:val="en-US" w:eastAsia="zh-CN"/>
              </w:rPr>
              <w:t>w</w:t>
            </w:r>
            <w:r>
              <w:rPr>
                <w:rFonts w:hint="default" w:ascii="Times New Roman" w:hAnsi="Times New Roman" w:eastAsia="宋体" w:cs="Times New Roman"/>
                <w:sz w:val="24"/>
                <w:szCs w:val="24"/>
                <w:u w:val="none" w:color="auto"/>
                <w:lang w:val="en-US" w:eastAsia="zh-CN"/>
              </w:rPr>
              <w:t>——声源声功率级，dB（A）；</w:t>
            </w:r>
          </w:p>
          <w:p w14:paraId="5B0B0C64">
            <w:pPr>
              <w:spacing w:line="360" w:lineRule="auto"/>
              <w:ind w:firstLine="1200" w:firstLineChars="500"/>
              <w:jc w:val="both"/>
              <w:rPr>
                <w:rFonts w:hint="default" w:ascii="Times New Roman" w:hAnsi="Times New Roman" w:eastAsia="宋体" w:cs="Times New Roman"/>
                <w:sz w:val="24"/>
                <w:szCs w:val="24"/>
                <w:u w:val="none" w:color="auto"/>
                <w:lang w:val="en-US" w:eastAsia="zh-CN"/>
              </w:rPr>
            </w:pPr>
            <w:r>
              <w:rPr>
                <w:rFonts w:hint="default" w:ascii="Times New Roman" w:hAnsi="Times New Roman" w:eastAsia="宋体" w:cs="Times New Roman"/>
                <w:sz w:val="24"/>
                <w:szCs w:val="24"/>
                <w:u w:val="none" w:color="auto"/>
                <w:lang w:val="en-US" w:eastAsia="zh-CN"/>
              </w:rPr>
              <w:t>Q——指向性因子，取2；</w:t>
            </w:r>
          </w:p>
          <w:p w14:paraId="3178AB36">
            <w:pPr>
              <w:spacing w:line="360" w:lineRule="auto"/>
              <w:ind w:firstLine="1200" w:firstLineChars="500"/>
              <w:jc w:val="both"/>
              <w:rPr>
                <w:rFonts w:hint="default" w:ascii="Times New Roman" w:hAnsi="Times New Roman" w:eastAsia="宋体" w:cs="Times New Roman"/>
                <w:sz w:val="24"/>
                <w:szCs w:val="24"/>
                <w:u w:val="none" w:color="auto"/>
                <w:lang w:val="en-US" w:eastAsia="zh-CN"/>
              </w:rPr>
            </w:pPr>
            <w:r>
              <w:rPr>
                <w:rFonts w:hint="default" w:ascii="Times New Roman" w:hAnsi="Times New Roman" w:eastAsia="宋体" w:cs="Times New Roman"/>
                <w:sz w:val="24"/>
                <w:szCs w:val="24"/>
                <w:u w:val="none" w:color="auto"/>
                <w:lang w:val="en-US" w:eastAsia="zh-CN"/>
              </w:rPr>
              <w:t>r——受声点LP距声源间的距离，（m）；</w:t>
            </w:r>
          </w:p>
          <w:p w14:paraId="2975DC66">
            <w:pPr>
              <w:pStyle w:val="15"/>
              <w:spacing w:line="360" w:lineRule="auto"/>
              <w:rPr>
                <w:rFonts w:hint="default" w:ascii="Times New Roman" w:hAnsi="Times New Roman" w:cs="Times New Roman"/>
                <w:sz w:val="24"/>
                <w:szCs w:val="24"/>
                <w:u w:val="none"/>
              </w:rPr>
            </w:pPr>
            <w:r>
              <w:rPr>
                <w:rFonts w:hint="default" w:ascii="Times New Roman" w:hAnsi="Times New Roman" w:eastAsia="宋体" w:cs="Times New Roman"/>
                <w:sz w:val="24"/>
                <w:szCs w:val="24"/>
                <w:u w:val="none" w:color="auto"/>
                <w:lang w:val="en-US" w:eastAsia="zh-CN"/>
              </w:rPr>
              <w:t>R——房间常数。R=S*α/（1-α），S 为房间内表面面积，m</w:t>
            </w:r>
            <w:r>
              <w:rPr>
                <w:rFonts w:hint="default" w:ascii="Times New Roman" w:hAnsi="Times New Roman" w:eastAsia="宋体" w:cs="Times New Roman"/>
                <w:sz w:val="24"/>
                <w:szCs w:val="24"/>
                <w:u w:val="none" w:color="auto"/>
                <w:vertAlign w:val="superscript"/>
                <w:lang w:val="en-US" w:eastAsia="zh-CN"/>
              </w:rPr>
              <w:t>2</w:t>
            </w:r>
            <w:r>
              <w:rPr>
                <w:rFonts w:hint="default" w:ascii="Times New Roman" w:hAnsi="Times New Roman" w:eastAsia="宋体" w:cs="Times New Roman"/>
                <w:sz w:val="24"/>
                <w:szCs w:val="24"/>
                <w:u w:val="none" w:color="auto"/>
                <w:lang w:val="en-US" w:eastAsia="zh-CN"/>
              </w:rPr>
              <w:t>；α为平均吸声系数，取0.03</w:t>
            </w:r>
            <w:r>
              <w:rPr>
                <w:rFonts w:hint="default" w:ascii="Times New Roman" w:hAnsi="Times New Roman" w:cs="Times New Roman"/>
                <w:sz w:val="24"/>
                <w:szCs w:val="24"/>
                <w:u w:val="none"/>
              </w:rPr>
              <w:t>。</w:t>
            </w:r>
          </w:p>
          <w:p w14:paraId="74E00277">
            <w:pPr>
              <w:pStyle w:val="15"/>
              <w:spacing w:line="360" w:lineRule="auto"/>
              <w:rPr>
                <w:rFonts w:hint="default" w:ascii="Times New Roman" w:hAnsi="Times New Roman" w:cs="Times New Roman"/>
                <w:sz w:val="24"/>
                <w:szCs w:val="24"/>
                <w:u w:val="none"/>
              </w:rPr>
            </w:pPr>
            <w:r>
              <w:rPr>
                <w:rFonts w:hint="default" w:ascii="Times New Roman" w:hAnsi="Times New Roman" w:cs="Times New Roman"/>
                <w:sz w:val="24"/>
                <w:szCs w:val="24"/>
                <w:u w:val="none"/>
              </w:rPr>
              <w:t>经计算，生产车间主要噪声设备经墙体隔声、距离衰减、设备基础减振后，到达厂界预测值见表4.</w:t>
            </w:r>
            <w:r>
              <w:rPr>
                <w:rFonts w:hint="eastAsia" w:ascii="Times New Roman" w:hAnsi="Times New Roman" w:cs="Times New Roman"/>
                <w:sz w:val="24"/>
                <w:szCs w:val="24"/>
                <w:u w:val="none"/>
                <w:lang w:val="en-US" w:eastAsia="zh-CN"/>
              </w:rPr>
              <w:t>.3-</w:t>
            </w:r>
            <w:r>
              <w:rPr>
                <w:rFonts w:hint="eastAsia" w:cs="Times New Roman"/>
                <w:sz w:val="24"/>
                <w:szCs w:val="24"/>
                <w:u w:val="none"/>
                <w:lang w:val="en-US" w:eastAsia="zh-CN"/>
              </w:rPr>
              <w:t>2</w:t>
            </w:r>
            <w:r>
              <w:rPr>
                <w:rFonts w:hint="default" w:ascii="Times New Roman" w:hAnsi="Times New Roman" w:cs="Times New Roman"/>
                <w:sz w:val="24"/>
                <w:szCs w:val="24"/>
                <w:u w:val="none"/>
              </w:rPr>
              <w:t>。</w:t>
            </w:r>
          </w:p>
          <w:p w14:paraId="3E84E343">
            <w:pPr>
              <w:pStyle w:val="103"/>
              <w:ind w:left="0" w:leftChars="0" w:firstLine="0" w:firstLineChars="0"/>
              <w:jc w:val="center"/>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rPr>
              <w:t>表4.</w:t>
            </w:r>
            <w:r>
              <w:rPr>
                <w:rFonts w:hint="eastAsia" w:ascii="Times New Roman" w:hAnsi="Times New Roman" w:cs="Times New Roman"/>
                <w:b/>
                <w:bCs/>
                <w:sz w:val="24"/>
                <w:szCs w:val="24"/>
                <w:u w:val="none"/>
                <w:lang w:val="en-US" w:eastAsia="zh-CN"/>
              </w:rPr>
              <w:t>3</w:t>
            </w:r>
            <w:r>
              <w:rPr>
                <w:rFonts w:hint="default" w:ascii="Times New Roman" w:hAnsi="Times New Roman" w:cs="Times New Roman"/>
                <w:b/>
                <w:bCs/>
                <w:sz w:val="24"/>
                <w:szCs w:val="24"/>
                <w:u w:val="none"/>
              </w:rPr>
              <w:t>-</w:t>
            </w:r>
            <w:r>
              <w:rPr>
                <w:rFonts w:hint="eastAsia" w:cs="Times New Roman"/>
                <w:b/>
                <w:bCs/>
                <w:sz w:val="24"/>
                <w:szCs w:val="24"/>
                <w:u w:val="none"/>
                <w:lang w:val="en-US" w:eastAsia="zh-CN"/>
              </w:rPr>
              <w:t>2</w:t>
            </w:r>
            <w:r>
              <w:rPr>
                <w:rFonts w:hint="default" w:ascii="Times New Roman" w:hAnsi="Times New Roman" w:cs="Times New Roman"/>
                <w:b/>
                <w:bCs/>
                <w:sz w:val="24"/>
                <w:szCs w:val="24"/>
                <w:u w:val="none"/>
              </w:rPr>
              <w:t xml:space="preserve">   厂界噪声预测结果与达标分析表</w:t>
            </w:r>
          </w:p>
          <w:tbl>
            <w:tblPr>
              <w:tblStyle w:val="3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964"/>
              <w:gridCol w:w="1383"/>
              <w:gridCol w:w="1348"/>
              <w:gridCol w:w="1355"/>
              <w:gridCol w:w="1348"/>
              <w:gridCol w:w="1440"/>
            </w:tblGrid>
            <w:tr w14:paraId="0464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pct"/>
                  <w:vMerge w:val="restart"/>
                  <w:vAlign w:val="center"/>
                </w:tcPr>
                <w:p w14:paraId="3F44F651">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Cs/>
                      <w:sz w:val="21"/>
                      <w:szCs w:val="21"/>
                      <w:u w:val="single" w:color="auto"/>
                    </w:rPr>
                  </w:pPr>
                  <w:r>
                    <w:rPr>
                      <w:rFonts w:hint="default" w:ascii="Times New Roman" w:hAnsi="Times New Roman" w:cs="Times New Roman"/>
                      <w:bCs/>
                      <w:sz w:val="21"/>
                      <w:szCs w:val="21"/>
                      <w:u w:val="single" w:color="auto"/>
                    </w:rPr>
                    <w:t>预测方位</w:t>
                  </w:r>
                </w:p>
              </w:tc>
              <w:tc>
                <w:tcPr>
                  <w:tcW w:w="528" w:type="pct"/>
                  <w:vMerge w:val="restart"/>
                  <w:vAlign w:val="center"/>
                </w:tcPr>
                <w:p w14:paraId="23D6C59D">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Cs/>
                      <w:sz w:val="21"/>
                      <w:szCs w:val="21"/>
                      <w:u w:val="single" w:color="auto"/>
                    </w:rPr>
                  </w:pPr>
                  <w:r>
                    <w:rPr>
                      <w:rFonts w:hint="default" w:ascii="Times New Roman" w:hAnsi="Times New Roman" w:cs="Times New Roman"/>
                      <w:bCs/>
                      <w:sz w:val="21"/>
                      <w:szCs w:val="21"/>
                      <w:u w:val="single" w:color="auto"/>
                    </w:rPr>
                    <w:t>时段</w:t>
                  </w:r>
                </w:p>
              </w:tc>
              <w:tc>
                <w:tcPr>
                  <w:tcW w:w="757" w:type="pct"/>
                  <w:vMerge w:val="restart"/>
                  <w:vAlign w:val="center"/>
                </w:tcPr>
                <w:p w14:paraId="27DBEDB1">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Cs/>
                      <w:sz w:val="21"/>
                      <w:szCs w:val="21"/>
                      <w:u w:val="single" w:color="auto"/>
                    </w:rPr>
                  </w:pPr>
                  <w:r>
                    <w:rPr>
                      <w:rFonts w:hint="default" w:ascii="Times New Roman" w:hAnsi="Times New Roman" w:cs="Times New Roman"/>
                      <w:bCs/>
                      <w:sz w:val="21"/>
                      <w:szCs w:val="21"/>
                      <w:u w:val="single" w:color="auto"/>
                    </w:rPr>
                    <w:t>贡献值（dB(A)）</w:t>
                  </w:r>
                </w:p>
              </w:tc>
              <w:tc>
                <w:tcPr>
                  <w:tcW w:w="1480" w:type="pct"/>
                  <w:gridSpan w:val="2"/>
                  <w:vAlign w:val="center"/>
                </w:tcPr>
                <w:p w14:paraId="6BE31870">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bCs/>
                      <w:sz w:val="21"/>
                      <w:szCs w:val="21"/>
                      <w:u w:val="single" w:color="auto"/>
                      <w:lang w:eastAsia="zh-CN"/>
                    </w:rPr>
                  </w:pPr>
                  <w:r>
                    <w:rPr>
                      <w:rFonts w:hint="eastAsia" w:ascii="Times New Roman" w:hAnsi="Times New Roman" w:cs="Times New Roman"/>
                      <w:bCs/>
                      <w:sz w:val="21"/>
                      <w:szCs w:val="21"/>
                      <w:u w:val="single" w:color="auto"/>
                      <w:lang w:eastAsia="zh-CN"/>
                    </w:rPr>
                    <w:t>背景值</w:t>
                  </w:r>
                </w:p>
              </w:tc>
              <w:tc>
                <w:tcPr>
                  <w:tcW w:w="1526" w:type="pct"/>
                  <w:gridSpan w:val="2"/>
                  <w:vAlign w:val="center"/>
                </w:tcPr>
                <w:p w14:paraId="380E8F15">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bCs/>
                      <w:sz w:val="21"/>
                      <w:szCs w:val="21"/>
                      <w:u w:val="single" w:color="auto"/>
                      <w:lang w:eastAsia="zh-CN"/>
                    </w:rPr>
                  </w:pPr>
                  <w:r>
                    <w:rPr>
                      <w:rFonts w:hint="eastAsia" w:ascii="Times New Roman" w:hAnsi="Times New Roman" w:cs="Times New Roman"/>
                      <w:bCs/>
                      <w:sz w:val="21"/>
                      <w:szCs w:val="21"/>
                      <w:u w:val="single" w:color="auto"/>
                      <w:lang w:eastAsia="zh-CN"/>
                    </w:rPr>
                    <w:t>预测值</w:t>
                  </w:r>
                </w:p>
              </w:tc>
            </w:tr>
            <w:tr w14:paraId="0FC8F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pct"/>
                  <w:vMerge w:val="continue"/>
                  <w:shd w:val="clear" w:color="auto" w:fill="FFFFFF"/>
                  <w:vAlign w:val="center"/>
                </w:tcPr>
                <w:p w14:paraId="33570F95">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Cs/>
                      <w:sz w:val="21"/>
                      <w:szCs w:val="21"/>
                      <w:u w:val="single" w:color="auto"/>
                    </w:rPr>
                  </w:pPr>
                </w:p>
              </w:tc>
              <w:tc>
                <w:tcPr>
                  <w:tcW w:w="528" w:type="pct"/>
                  <w:vMerge w:val="continue"/>
                  <w:shd w:val="clear" w:color="auto" w:fill="FFFFFF"/>
                  <w:vAlign w:val="center"/>
                </w:tcPr>
                <w:p w14:paraId="32FCE4A9">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Cs/>
                      <w:sz w:val="21"/>
                      <w:szCs w:val="21"/>
                      <w:u w:val="single" w:color="auto"/>
                    </w:rPr>
                  </w:pPr>
                </w:p>
              </w:tc>
              <w:tc>
                <w:tcPr>
                  <w:tcW w:w="757" w:type="pct"/>
                  <w:vMerge w:val="continue"/>
                  <w:shd w:val="clear" w:color="auto" w:fill="FFFFFF"/>
                  <w:vAlign w:val="center"/>
                </w:tcPr>
                <w:p w14:paraId="6B5AA67C">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Cs/>
                      <w:sz w:val="21"/>
                      <w:szCs w:val="21"/>
                      <w:u w:val="single" w:color="auto"/>
                    </w:rPr>
                  </w:pPr>
                </w:p>
              </w:tc>
              <w:tc>
                <w:tcPr>
                  <w:tcW w:w="738" w:type="pct"/>
                  <w:shd w:val="clear" w:color="auto" w:fill="FFFFFF"/>
                  <w:vAlign w:val="center"/>
                </w:tcPr>
                <w:p w14:paraId="646C2FC6">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bCs/>
                      <w:sz w:val="21"/>
                      <w:szCs w:val="21"/>
                      <w:u w:val="single" w:color="auto"/>
                      <w:lang w:eastAsia="zh-CN"/>
                    </w:rPr>
                  </w:pPr>
                  <w:r>
                    <w:rPr>
                      <w:rFonts w:hint="eastAsia" w:ascii="Times New Roman" w:hAnsi="Times New Roman" w:cs="Times New Roman"/>
                      <w:bCs/>
                      <w:sz w:val="21"/>
                      <w:szCs w:val="21"/>
                      <w:u w:val="single" w:color="auto"/>
                      <w:lang w:eastAsia="zh-CN"/>
                    </w:rPr>
                    <w:t>昼间</w:t>
                  </w:r>
                </w:p>
              </w:tc>
              <w:tc>
                <w:tcPr>
                  <w:tcW w:w="742" w:type="pct"/>
                  <w:shd w:val="clear" w:color="auto" w:fill="FFFFFF"/>
                  <w:vAlign w:val="center"/>
                </w:tcPr>
                <w:p w14:paraId="3F95E8E3">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bCs/>
                      <w:sz w:val="21"/>
                      <w:szCs w:val="21"/>
                      <w:u w:val="single" w:color="auto"/>
                      <w:lang w:eastAsia="zh-CN"/>
                    </w:rPr>
                  </w:pPr>
                  <w:r>
                    <w:rPr>
                      <w:rFonts w:hint="eastAsia" w:ascii="Times New Roman" w:hAnsi="Times New Roman" w:cs="Times New Roman"/>
                      <w:bCs/>
                      <w:sz w:val="21"/>
                      <w:szCs w:val="21"/>
                      <w:u w:val="single" w:color="auto"/>
                      <w:lang w:eastAsia="zh-CN"/>
                    </w:rPr>
                    <w:t>夜间</w:t>
                  </w:r>
                </w:p>
              </w:tc>
              <w:tc>
                <w:tcPr>
                  <w:tcW w:w="738" w:type="pct"/>
                  <w:shd w:val="clear" w:color="auto" w:fill="FFFFFF"/>
                  <w:vAlign w:val="center"/>
                </w:tcPr>
                <w:p w14:paraId="56939D3F">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bCs/>
                      <w:sz w:val="21"/>
                      <w:szCs w:val="21"/>
                      <w:u w:val="single" w:color="auto"/>
                      <w:lang w:eastAsia="zh-CN"/>
                    </w:rPr>
                  </w:pPr>
                  <w:r>
                    <w:rPr>
                      <w:rFonts w:hint="eastAsia" w:ascii="Times New Roman" w:hAnsi="Times New Roman" w:cs="Times New Roman"/>
                      <w:bCs/>
                      <w:sz w:val="21"/>
                      <w:szCs w:val="21"/>
                      <w:u w:val="single" w:color="auto"/>
                      <w:lang w:eastAsia="zh-CN"/>
                    </w:rPr>
                    <w:t>昼间</w:t>
                  </w:r>
                </w:p>
              </w:tc>
              <w:tc>
                <w:tcPr>
                  <w:tcW w:w="788" w:type="pct"/>
                  <w:shd w:val="clear" w:color="auto" w:fill="FFFFFF"/>
                  <w:vAlign w:val="center"/>
                </w:tcPr>
                <w:p w14:paraId="3D09CB39">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eastAsia" w:ascii="Times New Roman" w:hAnsi="Times New Roman" w:cs="Times New Roman"/>
                      <w:bCs/>
                      <w:sz w:val="21"/>
                      <w:szCs w:val="21"/>
                      <w:u w:val="single" w:color="auto"/>
                      <w:lang w:eastAsia="zh-CN"/>
                    </w:rPr>
                  </w:pPr>
                  <w:r>
                    <w:rPr>
                      <w:rFonts w:hint="eastAsia" w:ascii="Times New Roman" w:hAnsi="Times New Roman" w:cs="Times New Roman"/>
                      <w:bCs/>
                      <w:sz w:val="21"/>
                      <w:szCs w:val="21"/>
                      <w:u w:val="single" w:color="auto"/>
                      <w:lang w:eastAsia="zh-CN"/>
                    </w:rPr>
                    <w:t>夜间</w:t>
                  </w:r>
                </w:p>
              </w:tc>
            </w:tr>
            <w:tr w14:paraId="4B90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708" w:type="pct"/>
                  <w:shd w:val="clear" w:color="auto" w:fill="FFFFFF"/>
                  <w:vAlign w:val="center"/>
                </w:tcPr>
                <w:p w14:paraId="48189C17">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Cs/>
                      <w:sz w:val="21"/>
                      <w:szCs w:val="21"/>
                      <w:u w:val="single" w:color="auto"/>
                    </w:rPr>
                  </w:pPr>
                  <w:r>
                    <w:rPr>
                      <w:rFonts w:hint="default" w:ascii="Times New Roman" w:hAnsi="Times New Roman" w:cs="Times New Roman"/>
                      <w:sz w:val="21"/>
                      <w:szCs w:val="21"/>
                      <w:u w:val="single" w:color="auto"/>
                    </w:rPr>
                    <w:t>东侧</w:t>
                  </w:r>
                </w:p>
              </w:tc>
              <w:tc>
                <w:tcPr>
                  <w:tcW w:w="528" w:type="pct"/>
                  <w:shd w:val="clear" w:color="auto" w:fill="FFFFFF"/>
                  <w:vAlign w:val="center"/>
                </w:tcPr>
                <w:p w14:paraId="1F3F6D95">
                  <w:pPr>
                    <w:jc w:val="center"/>
                    <w:rPr>
                      <w:rFonts w:hint="default" w:ascii="Times New Roman" w:hAnsi="Times New Roman" w:eastAsia="宋体" w:cs="Times New Roman"/>
                      <w:bCs/>
                      <w:sz w:val="21"/>
                      <w:szCs w:val="21"/>
                      <w:u w:val="single" w:color="auto"/>
                    </w:rPr>
                  </w:pPr>
                  <w:r>
                    <w:rPr>
                      <w:rFonts w:hint="default" w:ascii="Times New Roman" w:hAnsi="Times New Roman" w:eastAsia="宋体" w:cs="Times New Roman"/>
                      <w:sz w:val="21"/>
                      <w:szCs w:val="21"/>
                      <w:u w:val="single" w:color="auto"/>
                    </w:rPr>
                    <w:t>昼间</w:t>
                  </w:r>
                </w:p>
              </w:tc>
              <w:tc>
                <w:tcPr>
                  <w:tcW w:w="757" w:type="pct"/>
                  <w:shd w:val="clear" w:color="auto" w:fill="FFFFFF"/>
                  <w:vAlign w:val="center"/>
                </w:tcPr>
                <w:p w14:paraId="586698D3">
                  <w:pPr>
                    <w:jc w:val="center"/>
                    <w:rPr>
                      <w:rFonts w:hint="default" w:ascii="Times New Roman" w:hAnsi="Times New Roman" w:eastAsia="宋体" w:cs="Times New Roman"/>
                      <w:bCs/>
                      <w:sz w:val="21"/>
                      <w:szCs w:val="21"/>
                      <w:u w:val="single" w:color="auto"/>
                    </w:rPr>
                  </w:pPr>
                  <w:r>
                    <w:rPr>
                      <w:rFonts w:hint="default" w:ascii="Times New Roman" w:hAnsi="Times New Roman" w:eastAsia="宋体" w:cs="Times New Roman"/>
                      <w:sz w:val="21"/>
                      <w:szCs w:val="21"/>
                      <w:u w:val="single" w:color="auto"/>
                    </w:rPr>
                    <w:t>3</w:t>
                  </w:r>
                  <w:r>
                    <w:rPr>
                      <w:rFonts w:hint="eastAsia" w:ascii="Times New Roman" w:hAnsi="Times New Roman" w:cs="Times New Roman"/>
                      <w:sz w:val="21"/>
                      <w:szCs w:val="21"/>
                      <w:u w:val="single" w:color="auto"/>
                      <w:lang w:val="en-US" w:eastAsia="zh-CN"/>
                    </w:rPr>
                    <w:t>4</w:t>
                  </w:r>
                  <w:r>
                    <w:rPr>
                      <w:rFonts w:hint="default" w:ascii="Times New Roman" w:hAnsi="Times New Roman" w:eastAsia="宋体" w:cs="Times New Roman"/>
                      <w:sz w:val="21"/>
                      <w:szCs w:val="21"/>
                      <w:u w:val="single" w:color="auto"/>
                    </w:rPr>
                    <w:t>.8</w:t>
                  </w:r>
                </w:p>
              </w:tc>
              <w:tc>
                <w:tcPr>
                  <w:tcW w:w="738" w:type="pct"/>
                  <w:shd w:val="clear" w:color="auto" w:fill="FFFFFF"/>
                  <w:vAlign w:val="center"/>
                </w:tcPr>
                <w:p w14:paraId="64AEB4B4">
                  <w:pPr>
                    <w:jc w:val="center"/>
                    <w:rPr>
                      <w:rFonts w:hint="eastAsia" w:ascii="Times New Roman" w:hAnsi="Times New Roman" w:eastAsia="宋体"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w:t>
                  </w:r>
                </w:p>
              </w:tc>
              <w:tc>
                <w:tcPr>
                  <w:tcW w:w="742" w:type="pct"/>
                  <w:shd w:val="clear" w:color="auto" w:fill="FFFFFF"/>
                  <w:vAlign w:val="center"/>
                </w:tcPr>
                <w:p w14:paraId="504AE3F0">
                  <w:pPr>
                    <w:jc w:val="center"/>
                    <w:rPr>
                      <w:rFonts w:hint="default" w:ascii="Times New Roman" w:hAnsi="Times New Roman" w:eastAsia="宋体" w:cs="Times New Roman"/>
                      <w:sz w:val="21"/>
                      <w:szCs w:val="21"/>
                      <w:u w:val="single" w:color="auto"/>
                    </w:rPr>
                  </w:pPr>
                  <w:r>
                    <w:rPr>
                      <w:rFonts w:hint="eastAsia" w:ascii="Times New Roman" w:hAnsi="Times New Roman" w:cs="Times New Roman"/>
                      <w:sz w:val="21"/>
                      <w:szCs w:val="21"/>
                      <w:u w:val="single" w:color="auto"/>
                      <w:lang w:val="en-US" w:eastAsia="zh-CN"/>
                    </w:rPr>
                    <w:t>/</w:t>
                  </w:r>
                </w:p>
              </w:tc>
              <w:tc>
                <w:tcPr>
                  <w:tcW w:w="1349" w:type="dxa"/>
                  <w:shd w:val="clear" w:color="auto" w:fill="FFFFFF"/>
                  <w:vAlign w:val="center"/>
                </w:tcPr>
                <w:p w14:paraId="04D5E217">
                  <w:pPr>
                    <w:jc w:val="center"/>
                    <w:rPr>
                      <w:rFonts w:hint="default" w:ascii="Times New Roman" w:hAnsi="Times New Roman" w:eastAsia="宋体" w:cs="Times New Roman"/>
                      <w:sz w:val="21"/>
                      <w:szCs w:val="21"/>
                      <w:u w:val="single" w:color="auto"/>
                    </w:rPr>
                  </w:pPr>
                  <w:r>
                    <w:rPr>
                      <w:rFonts w:hint="default" w:ascii="Times New Roman" w:hAnsi="Times New Roman" w:eastAsia="宋体" w:cs="Times New Roman"/>
                      <w:sz w:val="21"/>
                      <w:szCs w:val="21"/>
                      <w:u w:val="single" w:color="auto"/>
                    </w:rPr>
                    <w:t>3</w:t>
                  </w:r>
                  <w:r>
                    <w:rPr>
                      <w:rFonts w:hint="eastAsia" w:ascii="Times New Roman" w:hAnsi="Times New Roman" w:cs="Times New Roman"/>
                      <w:sz w:val="21"/>
                      <w:szCs w:val="21"/>
                      <w:u w:val="single" w:color="auto"/>
                      <w:lang w:val="en-US" w:eastAsia="zh-CN"/>
                    </w:rPr>
                    <w:t>4</w:t>
                  </w:r>
                  <w:r>
                    <w:rPr>
                      <w:rFonts w:hint="default" w:ascii="Times New Roman" w:hAnsi="Times New Roman" w:eastAsia="宋体" w:cs="Times New Roman"/>
                      <w:sz w:val="21"/>
                      <w:szCs w:val="21"/>
                      <w:u w:val="single" w:color="auto"/>
                    </w:rPr>
                    <w:t>.8</w:t>
                  </w:r>
                </w:p>
              </w:tc>
              <w:tc>
                <w:tcPr>
                  <w:tcW w:w="1440" w:type="dxa"/>
                  <w:shd w:val="clear" w:color="auto" w:fill="FFFFFF"/>
                  <w:vAlign w:val="center"/>
                </w:tcPr>
                <w:p w14:paraId="3EEF58E8">
                  <w:pPr>
                    <w:jc w:val="center"/>
                    <w:rPr>
                      <w:rFonts w:hint="default" w:ascii="Times New Roman" w:hAnsi="Times New Roman" w:eastAsia="宋体" w:cs="Times New Roman"/>
                      <w:sz w:val="21"/>
                      <w:szCs w:val="21"/>
                      <w:u w:val="single" w:color="auto"/>
                    </w:rPr>
                  </w:pPr>
                  <w:r>
                    <w:rPr>
                      <w:rFonts w:hint="default" w:ascii="Times New Roman" w:hAnsi="Times New Roman" w:eastAsia="宋体" w:cs="Times New Roman"/>
                      <w:sz w:val="21"/>
                      <w:szCs w:val="21"/>
                      <w:u w:val="single" w:color="auto"/>
                    </w:rPr>
                    <w:t>3</w:t>
                  </w:r>
                  <w:r>
                    <w:rPr>
                      <w:rFonts w:hint="eastAsia" w:ascii="Times New Roman" w:hAnsi="Times New Roman" w:cs="Times New Roman"/>
                      <w:sz w:val="21"/>
                      <w:szCs w:val="21"/>
                      <w:u w:val="single" w:color="auto"/>
                      <w:lang w:val="en-US" w:eastAsia="zh-CN"/>
                    </w:rPr>
                    <w:t>4</w:t>
                  </w:r>
                  <w:r>
                    <w:rPr>
                      <w:rFonts w:hint="default" w:ascii="Times New Roman" w:hAnsi="Times New Roman" w:eastAsia="宋体" w:cs="Times New Roman"/>
                      <w:sz w:val="21"/>
                      <w:szCs w:val="21"/>
                      <w:u w:val="single" w:color="auto"/>
                    </w:rPr>
                    <w:t>.8</w:t>
                  </w:r>
                </w:p>
              </w:tc>
            </w:tr>
            <w:tr w14:paraId="1655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708" w:type="pct"/>
                  <w:shd w:val="clear" w:color="auto" w:fill="FFFFFF"/>
                  <w:vAlign w:val="center"/>
                </w:tcPr>
                <w:p w14:paraId="7920C3A0">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Cs/>
                      <w:sz w:val="21"/>
                      <w:szCs w:val="21"/>
                      <w:u w:val="single" w:color="auto"/>
                    </w:rPr>
                  </w:pPr>
                  <w:r>
                    <w:rPr>
                      <w:rFonts w:hint="default" w:ascii="Times New Roman" w:hAnsi="Times New Roman" w:cs="Times New Roman"/>
                      <w:sz w:val="21"/>
                      <w:szCs w:val="21"/>
                      <w:u w:val="single" w:color="auto"/>
                    </w:rPr>
                    <w:t>南侧</w:t>
                  </w:r>
                </w:p>
              </w:tc>
              <w:tc>
                <w:tcPr>
                  <w:tcW w:w="528" w:type="pct"/>
                  <w:shd w:val="clear" w:color="auto" w:fill="FFFFFF"/>
                  <w:vAlign w:val="center"/>
                </w:tcPr>
                <w:p w14:paraId="135F3ED7">
                  <w:pPr>
                    <w:jc w:val="center"/>
                    <w:rPr>
                      <w:rFonts w:hint="default" w:ascii="Times New Roman" w:hAnsi="Times New Roman" w:eastAsia="宋体" w:cs="Times New Roman"/>
                      <w:bCs/>
                      <w:sz w:val="21"/>
                      <w:szCs w:val="21"/>
                      <w:u w:val="single" w:color="auto"/>
                    </w:rPr>
                  </w:pPr>
                  <w:r>
                    <w:rPr>
                      <w:rFonts w:hint="default" w:ascii="Times New Roman" w:hAnsi="Times New Roman" w:eastAsia="宋体" w:cs="Times New Roman"/>
                      <w:sz w:val="21"/>
                      <w:szCs w:val="21"/>
                      <w:u w:val="single" w:color="auto"/>
                    </w:rPr>
                    <w:t>昼间</w:t>
                  </w:r>
                </w:p>
              </w:tc>
              <w:tc>
                <w:tcPr>
                  <w:tcW w:w="757" w:type="pct"/>
                  <w:shd w:val="clear" w:color="auto" w:fill="FFFFFF"/>
                  <w:vAlign w:val="center"/>
                </w:tcPr>
                <w:p w14:paraId="42314AA7">
                  <w:pPr>
                    <w:jc w:val="center"/>
                    <w:rPr>
                      <w:rFonts w:hint="default" w:ascii="Times New Roman" w:hAnsi="Times New Roman" w:eastAsia="宋体" w:cs="Times New Roman"/>
                      <w:bCs/>
                      <w:sz w:val="21"/>
                      <w:szCs w:val="21"/>
                      <w:u w:val="single" w:color="auto"/>
                    </w:rPr>
                  </w:pPr>
                  <w:r>
                    <w:rPr>
                      <w:rFonts w:hint="default" w:ascii="Times New Roman" w:hAnsi="Times New Roman" w:eastAsia="宋体" w:cs="Times New Roman"/>
                      <w:sz w:val="21"/>
                      <w:szCs w:val="21"/>
                      <w:u w:val="single" w:color="auto"/>
                    </w:rPr>
                    <w:t>3</w:t>
                  </w:r>
                  <w:r>
                    <w:rPr>
                      <w:rFonts w:hint="eastAsia" w:ascii="Times New Roman" w:hAnsi="Times New Roman" w:cs="Times New Roman"/>
                      <w:sz w:val="21"/>
                      <w:szCs w:val="21"/>
                      <w:u w:val="single" w:color="auto"/>
                      <w:lang w:val="en-US" w:eastAsia="zh-CN"/>
                    </w:rPr>
                    <w:t>9</w:t>
                  </w:r>
                  <w:r>
                    <w:rPr>
                      <w:rFonts w:hint="default" w:ascii="Times New Roman" w:hAnsi="Times New Roman" w:eastAsia="宋体" w:cs="Times New Roman"/>
                      <w:sz w:val="21"/>
                      <w:szCs w:val="21"/>
                      <w:u w:val="single" w:color="auto"/>
                    </w:rPr>
                    <w:t>.6</w:t>
                  </w:r>
                </w:p>
              </w:tc>
              <w:tc>
                <w:tcPr>
                  <w:tcW w:w="738" w:type="pct"/>
                  <w:shd w:val="clear" w:color="auto" w:fill="FFFFFF"/>
                  <w:vAlign w:val="center"/>
                </w:tcPr>
                <w:p w14:paraId="4C0C4701">
                  <w:pPr>
                    <w:jc w:val="center"/>
                    <w:rPr>
                      <w:rFonts w:hint="default" w:ascii="Times New Roman" w:hAnsi="Times New Roman" w:eastAsia="宋体" w:cs="Times New Roman"/>
                      <w:sz w:val="21"/>
                      <w:szCs w:val="21"/>
                      <w:u w:val="single" w:color="auto"/>
                    </w:rPr>
                  </w:pPr>
                  <w:r>
                    <w:rPr>
                      <w:rFonts w:hint="eastAsia" w:ascii="Times New Roman" w:hAnsi="Times New Roman" w:cs="Times New Roman"/>
                      <w:sz w:val="21"/>
                      <w:szCs w:val="21"/>
                      <w:u w:val="single" w:color="auto"/>
                      <w:lang w:val="en-US" w:eastAsia="zh-CN"/>
                    </w:rPr>
                    <w:t>/</w:t>
                  </w:r>
                </w:p>
              </w:tc>
              <w:tc>
                <w:tcPr>
                  <w:tcW w:w="742" w:type="pct"/>
                  <w:shd w:val="clear" w:color="auto" w:fill="FFFFFF"/>
                  <w:vAlign w:val="center"/>
                </w:tcPr>
                <w:p w14:paraId="3757715A">
                  <w:pPr>
                    <w:jc w:val="center"/>
                    <w:rPr>
                      <w:rFonts w:hint="default" w:ascii="Times New Roman" w:hAnsi="Times New Roman" w:eastAsia="宋体" w:cs="Times New Roman"/>
                      <w:sz w:val="21"/>
                      <w:szCs w:val="21"/>
                      <w:u w:val="single" w:color="auto"/>
                    </w:rPr>
                  </w:pPr>
                  <w:r>
                    <w:rPr>
                      <w:rFonts w:hint="eastAsia" w:ascii="Times New Roman" w:hAnsi="Times New Roman" w:cs="Times New Roman"/>
                      <w:sz w:val="21"/>
                      <w:szCs w:val="21"/>
                      <w:u w:val="single" w:color="auto"/>
                      <w:lang w:val="en-US" w:eastAsia="zh-CN"/>
                    </w:rPr>
                    <w:t>/</w:t>
                  </w:r>
                </w:p>
              </w:tc>
              <w:tc>
                <w:tcPr>
                  <w:tcW w:w="1349" w:type="dxa"/>
                  <w:shd w:val="clear" w:color="auto" w:fill="FFFFFF"/>
                  <w:vAlign w:val="center"/>
                </w:tcPr>
                <w:p w14:paraId="1C0810A6">
                  <w:pPr>
                    <w:jc w:val="center"/>
                    <w:rPr>
                      <w:rFonts w:hint="default" w:ascii="Times New Roman" w:hAnsi="Times New Roman" w:eastAsia="宋体" w:cs="Times New Roman"/>
                      <w:sz w:val="21"/>
                      <w:szCs w:val="21"/>
                      <w:u w:val="single" w:color="auto"/>
                    </w:rPr>
                  </w:pPr>
                  <w:r>
                    <w:rPr>
                      <w:rFonts w:hint="default" w:ascii="Times New Roman" w:hAnsi="Times New Roman" w:eastAsia="宋体" w:cs="Times New Roman"/>
                      <w:sz w:val="21"/>
                      <w:szCs w:val="21"/>
                      <w:u w:val="single" w:color="auto"/>
                    </w:rPr>
                    <w:t>3</w:t>
                  </w:r>
                  <w:r>
                    <w:rPr>
                      <w:rFonts w:hint="eastAsia" w:ascii="Times New Roman" w:hAnsi="Times New Roman" w:cs="Times New Roman"/>
                      <w:sz w:val="21"/>
                      <w:szCs w:val="21"/>
                      <w:u w:val="single" w:color="auto"/>
                      <w:lang w:val="en-US" w:eastAsia="zh-CN"/>
                    </w:rPr>
                    <w:t>9</w:t>
                  </w:r>
                  <w:r>
                    <w:rPr>
                      <w:rFonts w:hint="default" w:ascii="Times New Roman" w:hAnsi="Times New Roman" w:eastAsia="宋体" w:cs="Times New Roman"/>
                      <w:sz w:val="21"/>
                      <w:szCs w:val="21"/>
                      <w:u w:val="single" w:color="auto"/>
                    </w:rPr>
                    <w:t>.6</w:t>
                  </w:r>
                </w:p>
              </w:tc>
              <w:tc>
                <w:tcPr>
                  <w:tcW w:w="1440" w:type="dxa"/>
                  <w:shd w:val="clear" w:color="auto" w:fill="FFFFFF"/>
                  <w:vAlign w:val="center"/>
                </w:tcPr>
                <w:p w14:paraId="6D11EBDC">
                  <w:pPr>
                    <w:jc w:val="center"/>
                    <w:rPr>
                      <w:rFonts w:hint="default" w:ascii="Times New Roman" w:hAnsi="Times New Roman" w:eastAsia="宋体" w:cs="Times New Roman"/>
                      <w:sz w:val="21"/>
                      <w:szCs w:val="21"/>
                      <w:u w:val="single" w:color="auto"/>
                    </w:rPr>
                  </w:pPr>
                  <w:r>
                    <w:rPr>
                      <w:rFonts w:hint="default" w:ascii="Times New Roman" w:hAnsi="Times New Roman" w:eastAsia="宋体" w:cs="Times New Roman"/>
                      <w:sz w:val="21"/>
                      <w:szCs w:val="21"/>
                      <w:u w:val="single" w:color="auto"/>
                    </w:rPr>
                    <w:t>3</w:t>
                  </w:r>
                  <w:r>
                    <w:rPr>
                      <w:rFonts w:hint="eastAsia" w:ascii="Times New Roman" w:hAnsi="Times New Roman" w:cs="Times New Roman"/>
                      <w:sz w:val="21"/>
                      <w:szCs w:val="21"/>
                      <w:u w:val="single" w:color="auto"/>
                      <w:lang w:val="en-US" w:eastAsia="zh-CN"/>
                    </w:rPr>
                    <w:t>9</w:t>
                  </w:r>
                  <w:r>
                    <w:rPr>
                      <w:rFonts w:hint="default" w:ascii="Times New Roman" w:hAnsi="Times New Roman" w:eastAsia="宋体" w:cs="Times New Roman"/>
                      <w:sz w:val="21"/>
                      <w:szCs w:val="21"/>
                      <w:u w:val="single" w:color="auto"/>
                    </w:rPr>
                    <w:t>.6</w:t>
                  </w:r>
                </w:p>
              </w:tc>
            </w:tr>
            <w:tr w14:paraId="6CBD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708" w:type="pct"/>
                  <w:shd w:val="clear" w:color="auto" w:fill="FFFFFF"/>
                  <w:vAlign w:val="center"/>
                </w:tcPr>
                <w:p w14:paraId="5C52DA14">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Cs/>
                      <w:sz w:val="21"/>
                      <w:szCs w:val="21"/>
                      <w:u w:val="single" w:color="auto"/>
                    </w:rPr>
                  </w:pPr>
                  <w:r>
                    <w:rPr>
                      <w:rFonts w:hint="default" w:ascii="Times New Roman" w:hAnsi="Times New Roman" w:cs="Times New Roman"/>
                      <w:sz w:val="21"/>
                      <w:szCs w:val="21"/>
                      <w:u w:val="single" w:color="auto"/>
                    </w:rPr>
                    <w:t>西侧</w:t>
                  </w:r>
                </w:p>
              </w:tc>
              <w:tc>
                <w:tcPr>
                  <w:tcW w:w="528" w:type="pct"/>
                  <w:shd w:val="clear" w:color="auto" w:fill="FFFFFF"/>
                  <w:vAlign w:val="center"/>
                </w:tcPr>
                <w:p w14:paraId="6DFF699F">
                  <w:pPr>
                    <w:jc w:val="center"/>
                    <w:rPr>
                      <w:rFonts w:hint="default" w:ascii="Times New Roman" w:hAnsi="Times New Roman" w:eastAsia="宋体" w:cs="Times New Roman"/>
                      <w:bCs/>
                      <w:sz w:val="21"/>
                      <w:szCs w:val="21"/>
                      <w:u w:val="single" w:color="auto"/>
                    </w:rPr>
                  </w:pPr>
                  <w:r>
                    <w:rPr>
                      <w:rFonts w:hint="default" w:ascii="Times New Roman" w:hAnsi="Times New Roman" w:eastAsia="宋体" w:cs="Times New Roman"/>
                      <w:sz w:val="21"/>
                      <w:szCs w:val="21"/>
                      <w:u w:val="single" w:color="auto"/>
                    </w:rPr>
                    <w:t>昼间</w:t>
                  </w:r>
                </w:p>
              </w:tc>
              <w:tc>
                <w:tcPr>
                  <w:tcW w:w="757" w:type="pct"/>
                  <w:shd w:val="clear" w:color="auto" w:fill="FFFFFF"/>
                  <w:vAlign w:val="center"/>
                </w:tcPr>
                <w:p w14:paraId="19ABC819">
                  <w:pPr>
                    <w:jc w:val="center"/>
                    <w:rPr>
                      <w:rFonts w:hint="default" w:ascii="Times New Roman" w:hAnsi="Times New Roman" w:eastAsia="宋体" w:cs="Times New Roman"/>
                      <w:bCs/>
                      <w:sz w:val="21"/>
                      <w:szCs w:val="21"/>
                      <w:u w:val="single" w:color="auto"/>
                      <w:lang w:val="en-US" w:eastAsia="zh-CN"/>
                    </w:rPr>
                  </w:pPr>
                  <w:r>
                    <w:rPr>
                      <w:rFonts w:hint="eastAsia" w:ascii="Times New Roman" w:hAnsi="Times New Roman" w:cs="Times New Roman"/>
                      <w:sz w:val="21"/>
                      <w:szCs w:val="21"/>
                      <w:u w:val="single" w:color="auto"/>
                      <w:lang w:val="en-US" w:eastAsia="zh-CN"/>
                    </w:rPr>
                    <w:t>33</w:t>
                  </w:r>
                </w:p>
              </w:tc>
              <w:tc>
                <w:tcPr>
                  <w:tcW w:w="738" w:type="pct"/>
                  <w:shd w:val="clear" w:color="auto" w:fill="FFFFFF"/>
                  <w:vAlign w:val="center"/>
                </w:tcPr>
                <w:p w14:paraId="2F33A4FA">
                  <w:pPr>
                    <w:jc w:val="center"/>
                    <w:rPr>
                      <w:rFonts w:hint="eastAsia" w:ascii="Times New Roman" w:hAnsi="Times New Roman"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w:t>
                  </w:r>
                </w:p>
              </w:tc>
              <w:tc>
                <w:tcPr>
                  <w:tcW w:w="742" w:type="pct"/>
                  <w:shd w:val="clear" w:color="auto" w:fill="FFFFFF"/>
                  <w:vAlign w:val="center"/>
                </w:tcPr>
                <w:p w14:paraId="6CE058B3">
                  <w:pPr>
                    <w:jc w:val="center"/>
                    <w:rPr>
                      <w:rFonts w:hint="eastAsia" w:ascii="Times New Roman" w:hAnsi="Times New Roman"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w:t>
                  </w:r>
                </w:p>
              </w:tc>
              <w:tc>
                <w:tcPr>
                  <w:tcW w:w="1349" w:type="dxa"/>
                  <w:shd w:val="clear" w:color="auto" w:fill="FFFFFF"/>
                  <w:vAlign w:val="center"/>
                </w:tcPr>
                <w:p w14:paraId="2DB54F55">
                  <w:pPr>
                    <w:jc w:val="center"/>
                    <w:rPr>
                      <w:rFonts w:hint="eastAsia" w:ascii="Times New Roman" w:hAnsi="Times New Roman"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33</w:t>
                  </w:r>
                </w:p>
              </w:tc>
              <w:tc>
                <w:tcPr>
                  <w:tcW w:w="1440" w:type="dxa"/>
                  <w:shd w:val="clear" w:color="auto" w:fill="FFFFFF"/>
                  <w:vAlign w:val="center"/>
                </w:tcPr>
                <w:p w14:paraId="05935ECC">
                  <w:pPr>
                    <w:jc w:val="center"/>
                    <w:rPr>
                      <w:rFonts w:hint="eastAsia" w:ascii="Times New Roman" w:hAnsi="Times New Roman"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33</w:t>
                  </w:r>
                </w:p>
              </w:tc>
            </w:tr>
            <w:tr w14:paraId="14A1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708" w:type="pct"/>
                  <w:shd w:val="clear" w:color="auto" w:fill="FFFFFF"/>
                  <w:vAlign w:val="center"/>
                </w:tcPr>
                <w:p w14:paraId="57701156">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default" w:ascii="Times New Roman" w:hAnsi="Times New Roman" w:cs="Times New Roman"/>
                      <w:bCs/>
                      <w:sz w:val="21"/>
                      <w:szCs w:val="21"/>
                      <w:u w:val="single" w:color="auto"/>
                    </w:rPr>
                  </w:pPr>
                  <w:r>
                    <w:rPr>
                      <w:rFonts w:hint="default" w:ascii="Times New Roman" w:hAnsi="Times New Roman" w:cs="Times New Roman"/>
                      <w:sz w:val="21"/>
                      <w:szCs w:val="21"/>
                      <w:u w:val="single" w:color="auto"/>
                    </w:rPr>
                    <w:t>北侧</w:t>
                  </w:r>
                </w:p>
              </w:tc>
              <w:tc>
                <w:tcPr>
                  <w:tcW w:w="528" w:type="pct"/>
                  <w:shd w:val="clear" w:color="auto" w:fill="FFFFFF"/>
                  <w:vAlign w:val="center"/>
                </w:tcPr>
                <w:p w14:paraId="1192EB8E">
                  <w:pPr>
                    <w:jc w:val="center"/>
                    <w:rPr>
                      <w:rFonts w:hint="default" w:ascii="Times New Roman" w:hAnsi="Times New Roman" w:eastAsia="宋体" w:cs="Times New Roman"/>
                      <w:bCs/>
                      <w:sz w:val="21"/>
                      <w:szCs w:val="21"/>
                      <w:u w:val="single" w:color="auto"/>
                    </w:rPr>
                  </w:pPr>
                  <w:r>
                    <w:rPr>
                      <w:rFonts w:hint="default" w:ascii="Times New Roman" w:hAnsi="Times New Roman" w:eastAsia="宋体" w:cs="Times New Roman"/>
                      <w:sz w:val="21"/>
                      <w:szCs w:val="21"/>
                      <w:u w:val="single" w:color="auto"/>
                    </w:rPr>
                    <w:t>昼间</w:t>
                  </w:r>
                </w:p>
              </w:tc>
              <w:tc>
                <w:tcPr>
                  <w:tcW w:w="757" w:type="pct"/>
                  <w:shd w:val="clear" w:color="auto" w:fill="FFFFFF"/>
                  <w:vAlign w:val="center"/>
                </w:tcPr>
                <w:p w14:paraId="69A3AFA8">
                  <w:pPr>
                    <w:jc w:val="center"/>
                    <w:rPr>
                      <w:rFonts w:hint="default" w:ascii="Times New Roman" w:hAnsi="Times New Roman" w:eastAsia="宋体" w:cs="Times New Roman"/>
                      <w:bCs/>
                      <w:sz w:val="21"/>
                      <w:szCs w:val="21"/>
                      <w:u w:val="single" w:color="auto"/>
                      <w:lang w:val="en-US" w:eastAsia="zh-CN"/>
                    </w:rPr>
                  </w:pPr>
                  <w:r>
                    <w:rPr>
                      <w:rFonts w:hint="eastAsia" w:ascii="Times New Roman" w:hAnsi="Times New Roman" w:cs="Times New Roman"/>
                      <w:sz w:val="21"/>
                      <w:szCs w:val="21"/>
                      <w:u w:val="single" w:color="auto"/>
                      <w:lang w:val="en-US" w:eastAsia="zh-CN"/>
                    </w:rPr>
                    <w:t>35.5</w:t>
                  </w:r>
                </w:p>
              </w:tc>
              <w:tc>
                <w:tcPr>
                  <w:tcW w:w="738" w:type="pct"/>
                  <w:shd w:val="clear" w:color="auto" w:fill="FFFFFF"/>
                  <w:vAlign w:val="center"/>
                </w:tcPr>
                <w:p w14:paraId="27ACCB09">
                  <w:pPr>
                    <w:jc w:val="center"/>
                    <w:rPr>
                      <w:rFonts w:hint="eastAsia" w:ascii="Times New Roman" w:hAnsi="Times New Roman"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w:t>
                  </w:r>
                </w:p>
              </w:tc>
              <w:tc>
                <w:tcPr>
                  <w:tcW w:w="742" w:type="pct"/>
                  <w:shd w:val="clear" w:color="auto" w:fill="FFFFFF"/>
                  <w:vAlign w:val="center"/>
                </w:tcPr>
                <w:p w14:paraId="68345AB9">
                  <w:pPr>
                    <w:jc w:val="center"/>
                    <w:rPr>
                      <w:rFonts w:hint="eastAsia" w:ascii="Times New Roman" w:hAnsi="Times New Roman"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w:t>
                  </w:r>
                </w:p>
              </w:tc>
              <w:tc>
                <w:tcPr>
                  <w:tcW w:w="1349" w:type="dxa"/>
                  <w:shd w:val="clear" w:color="auto" w:fill="FFFFFF"/>
                  <w:vAlign w:val="center"/>
                </w:tcPr>
                <w:p w14:paraId="5D02A697">
                  <w:pPr>
                    <w:jc w:val="center"/>
                    <w:rPr>
                      <w:rFonts w:hint="eastAsia" w:ascii="Times New Roman" w:hAnsi="Times New Roman"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35.5</w:t>
                  </w:r>
                </w:p>
              </w:tc>
              <w:tc>
                <w:tcPr>
                  <w:tcW w:w="1440" w:type="dxa"/>
                  <w:shd w:val="clear" w:color="auto" w:fill="FFFFFF"/>
                  <w:vAlign w:val="center"/>
                </w:tcPr>
                <w:p w14:paraId="268CFA1D">
                  <w:pPr>
                    <w:jc w:val="center"/>
                    <w:rPr>
                      <w:rFonts w:hint="eastAsia" w:ascii="Times New Roman" w:hAnsi="Times New Roman"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35.5</w:t>
                  </w:r>
                </w:p>
              </w:tc>
            </w:tr>
            <w:tr w14:paraId="00AE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708" w:type="pct"/>
                  <w:shd w:val="clear" w:color="auto" w:fill="FFFFFF"/>
                  <w:vAlign w:val="center"/>
                </w:tcPr>
                <w:p w14:paraId="4078627A">
                  <w:pPr>
                    <w:keepNext w:val="0"/>
                    <w:keepLines w:val="0"/>
                    <w:pageBreakBefore w:val="0"/>
                    <w:widowControl/>
                    <w:kinsoku/>
                    <w:wordWrap/>
                    <w:overflowPunct/>
                    <w:topLinePunct w:val="0"/>
                    <w:autoSpaceDE/>
                    <w:autoSpaceDN/>
                    <w:bidi w:val="0"/>
                    <w:adjustRightInd w:val="0"/>
                    <w:snapToGrid w:val="0"/>
                    <w:ind w:firstLine="0"/>
                    <w:jc w:val="center"/>
                    <w:textAlignment w:val="auto"/>
                    <w:rPr>
                      <w:rFonts w:hint="eastAsia" w:ascii="Times New Roman" w:hAnsi="Times New Roman" w:eastAsia="宋体" w:cs="Times New Roman"/>
                      <w:sz w:val="21"/>
                      <w:szCs w:val="21"/>
                      <w:u w:val="single" w:color="auto"/>
                      <w:lang w:eastAsia="zh-CN"/>
                    </w:rPr>
                  </w:pPr>
                  <w:r>
                    <w:rPr>
                      <w:rFonts w:hint="eastAsia" w:ascii="Times New Roman" w:hAnsi="Times New Roman" w:cs="Times New Roman"/>
                      <w:sz w:val="21"/>
                      <w:szCs w:val="21"/>
                      <w:u w:val="single" w:color="auto"/>
                      <w:lang w:eastAsia="zh-CN"/>
                    </w:rPr>
                    <w:t>云梯岭村</w:t>
                  </w:r>
                </w:p>
              </w:tc>
              <w:tc>
                <w:tcPr>
                  <w:tcW w:w="528" w:type="pct"/>
                  <w:shd w:val="clear" w:color="auto" w:fill="FFFFFF"/>
                  <w:vAlign w:val="center"/>
                </w:tcPr>
                <w:p w14:paraId="70A21053">
                  <w:pPr>
                    <w:jc w:val="center"/>
                    <w:rPr>
                      <w:rFonts w:hint="default" w:ascii="Times New Roman" w:hAnsi="Times New Roman" w:eastAsia="宋体" w:cs="Times New Roman"/>
                      <w:sz w:val="21"/>
                      <w:szCs w:val="21"/>
                      <w:u w:val="single" w:color="auto"/>
                    </w:rPr>
                  </w:pPr>
                  <w:r>
                    <w:rPr>
                      <w:rFonts w:hint="default" w:ascii="Times New Roman" w:hAnsi="Times New Roman" w:eastAsia="宋体" w:cs="Times New Roman"/>
                      <w:sz w:val="21"/>
                      <w:szCs w:val="21"/>
                      <w:u w:val="single" w:color="auto"/>
                    </w:rPr>
                    <w:t>昼间</w:t>
                  </w:r>
                </w:p>
              </w:tc>
              <w:tc>
                <w:tcPr>
                  <w:tcW w:w="757" w:type="pct"/>
                  <w:shd w:val="clear" w:color="auto" w:fill="FFFFFF"/>
                  <w:vAlign w:val="center"/>
                </w:tcPr>
                <w:p w14:paraId="2E074715">
                  <w:pPr>
                    <w:jc w:val="center"/>
                    <w:rPr>
                      <w:rFonts w:hint="default" w:ascii="Times New Roman" w:hAnsi="Times New Roman"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32.7</w:t>
                  </w:r>
                </w:p>
              </w:tc>
              <w:tc>
                <w:tcPr>
                  <w:tcW w:w="738" w:type="pct"/>
                  <w:shd w:val="clear" w:color="auto" w:fill="FFFFFF"/>
                  <w:vAlign w:val="center"/>
                </w:tcPr>
                <w:p w14:paraId="4CD94897">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sz w:val="21"/>
                      <w:szCs w:val="21"/>
                      <w:u w:val="single" w:color="auto"/>
                      <w:lang w:val="en-US" w:eastAsia="zh-CN" w:bidi="ar-SA"/>
                    </w:rPr>
                    <w:t>53</w:t>
                  </w:r>
                </w:p>
              </w:tc>
              <w:tc>
                <w:tcPr>
                  <w:tcW w:w="742" w:type="pct"/>
                  <w:shd w:val="clear" w:color="auto" w:fill="FFFFFF"/>
                  <w:vAlign w:val="center"/>
                </w:tcPr>
                <w:p w14:paraId="007D3B02">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kern w:val="2"/>
                      <w:sz w:val="21"/>
                      <w:szCs w:val="21"/>
                      <w:u w:val="single" w:color="auto"/>
                      <w:lang w:val="en-US" w:eastAsia="zh-CN" w:bidi="ar-SA"/>
                    </w:rPr>
                  </w:pPr>
                  <w:r>
                    <w:rPr>
                      <w:rFonts w:hint="eastAsia" w:ascii="Times New Roman" w:hAnsi="Times New Roman" w:eastAsia="宋体" w:cs="Times New Roman"/>
                      <w:sz w:val="21"/>
                      <w:szCs w:val="21"/>
                      <w:u w:val="single" w:color="auto"/>
                      <w:lang w:val="en-US" w:eastAsia="zh-CN" w:bidi="ar-SA"/>
                    </w:rPr>
                    <w:t>42</w:t>
                  </w:r>
                </w:p>
              </w:tc>
              <w:tc>
                <w:tcPr>
                  <w:tcW w:w="738" w:type="pct"/>
                  <w:shd w:val="clear" w:color="auto" w:fill="FFFFFF"/>
                  <w:vAlign w:val="center"/>
                </w:tcPr>
                <w:p w14:paraId="44EC3D22">
                  <w:pPr>
                    <w:jc w:val="center"/>
                    <w:rPr>
                      <w:rFonts w:hint="default" w:ascii="Times New Roman" w:hAnsi="Times New Roman"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56.1</w:t>
                  </w:r>
                </w:p>
              </w:tc>
              <w:tc>
                <w:tcPr>
                  <w:tcW w:w="788" w:type="pct"/>
                  <w:shd w:val="clear" w:color="auto" w:fill="FFFFFF"/>
                  <w:vAlign w:val="center"/>
                </w:tcPr>
                <w:p w14:paraId="0D312342">
                  <w:pPr>
                    <w:jc w:val="center"/>
                    <w:rPr>
                      <w:rFonts w:hint="default" w:ascii="Times New Roman" w:hAnsi="Times New Roman"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45.4</w:t>
                  </w:r>
                </w:p>
              </w:tc>
            </w:tr>
            <w:tr w14:paraId="2771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3473" w:type="pct"/>
                  <w:gridSpan w:val="5"/>
                  <w:shd w:val="clear" w:color="auto" w:fill="FFFFFF"/>
                  <w:vAlign w:val="center"/>
                </w:tcPr>
                <w:p w14:paraId="20BEF6AC">
                  <w:pPr>
                    <w:jc w:val="center"/>
                    <w:rPr>
                      <w:rFonts w:hint="eastAsia" w:ascii="Times New Roman" w:hAnsi="Times New Roman"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标准限值（2类）</w:t>
                  </w:r>
                </w:p>
              </w:tc>
              <w:tc>
                <w:tcPr>
                  <w:tcW w:w="738" w:type="pct"/>
                  <w:shd w:val="clear" w:color="auto" w:fill="FFFFFF"/>
                  <w:vAlign w:val="center"/>
                </w:tcPr>
                <w:p w14:paraId="41DCE4C6">
                  <w:pPr>
                    <w:jc w:val="center"/>
                    <w:rPr>
                      <w:rFonts w:hint="default" w:ascii="Times New Roman" w:hAnsi="Times New Roman"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60</w:t>
                  </w:r>
                </w:p>
              </w:tc>
              <w:tc>
                <w:tcPr>
                  <w:tcW w:w="788" w:type="pct"/>
                  <w:shd w:val="clear" w:color="auto" w:fill="FFFFFF"/>
                  <w:vAlign w:val="center"/>
                </w:tcPr>
                <w:p w14:paraId="13A78ED8">
                  <w:pPr>
                    <w:jc w:val="center"/>
                    <w:rPr>
                      <w:rFonts w:hint="default" w:ascii="Times New Roman" w:hAnsi="Times New Roman"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50</w:t>
                  </w:r>
                </w:p>
              </w:tc>
            </w:tr>
            <w:tr w14:paraId="20C4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40" w:hRule="atLeast"/>
                <w:jc w:val="center"/>
              </w:trPr>
              <w:tc>
                <w:tcPr>
                  <w:tcW w:w="3473" w:type="pct"/>
                  <w:gridSpan w:val="5"/>
                  <w:shd w:val="clear" w:color="auto" w:fill="FFFFFF"/>
                  <w:vAlign w:val="center"/>
                </w:tcPr>
                <w:p w14:paraId="4CC788B4">
                  <w:pPr>
                    <w:jc w:val="center"/>
                    <w:rPr>
                      <w:rFonts w:hint="eastAsia" w:ascii="Times New Roman" w:hAnsi="Times New Roman"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标准限值（4类）</w:t>
                  </w:r>
                </w:p>
              </w:tc>
              <w:tc>
                <w:tcPr>
                  <w:tcW w:w="738" w:type="pct"/>
                  <w:shd w:val="clear" w:color="auto" w:fill="FFFFFF"/>
                  <w:vAlign w:val="center"/>
                </w:tcPr>
                <w:p w14:paraId="7773522C">
                  <w:pPr>
                    <w:jc w:val="center"/>
                    <w:rPr>
                      <w:rFonts w:hint="default" w:ascii="Times New Roman" w:hAnsi="Times New Roman"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70</w:t>
                  </w:r>
                </w:p>
              </w:tc>
              <w:tc>
                <w:tcPr>
                  <w:tcW w:w="788" w:type="pct"/>
                  <w:shd w:val="clear" w:color="auto" w:fill="FFFFFF"/>
                  <w:vAlign w:val="center"/>
                </w:tcPr>
                <w:p w14:paraId="6D1F6F50">
                  <w:pPr>
                    <w:jc w:val="center"/>
                    <w:rPr>
                      <w:rFonts w:hint="default" w:ascii="Times New Roman" w:hAnsi="Times New Roman"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55</w:t>
                  </w:r>
                </w:p>
              </w:tc>
            </w:tr>
          </w:tbl>
          <w:p w14:paraId="79641C8A">
            <w:pPr>
              <w:pStyle w:val="103"/>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表中坐标以厂界中心（112.607376,27.858726）为坐标原点，正东向为X轴正方向，正北向为Y轴正方向</w:t>
            </w:r>
            <w:r>
              <w:rPr>
                <w:rFonts w:hint="eastAsia" w:cs="Times New Roman"/>
                <w:sz w:val="24"/>
                <w:szCs w:val="24"/>
                <w:u w:val="none"/>
                <w:lang w:eastAsia="zh-CN"/>
              </w:rPr>
              <w:t>。</w:t>
            </w:r>
            <w:r>
              <w:rPr>
                <w:rFonts w:hint="default" w:ascii="Times New Roman" w:hAnsi="Times New Roman" w:cs="Times New Roman"/>
                <w:sz w:val="24"/>
                <w:szCs w:val="24"/>
                <w:u w:val="none"/>
              </w:rPr>
              <w:t>由上表可知，正常工况下，项目厂界噪声满足《工业企业厂界环境噪声排放标准》(GB12348.2008)标准。</w:t>
            </w:r>
          </w:p>
          <w:p w14:paraId="27576C7A">
            <w:pPr>
              <w:pStyle w:val="103"/>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为进一步防止项目生产产生的噪声对周边环境的影响，确保厂界噪声达标排放，本环评建议：</w:t>
            </w:r>
          </w:p>
          <w:p w14:paraId="2D4080C7">
            <w:pPr>
              <w:pStyle w:val="103"/>
              <w:keepNext w:val="0"/>
              <w:keepLines w:val="0"/>
              <w:pageBreakBefore w:val="0"/>
              <w:widowControl/>
              <w:kinsoku/>
              <w:wordWrap/>
              <w:overflowPunct/>
              <w:topLinePunct w:val="0"/>
              <w:autoSpaceDE/>
              <w:autoSpaceDN/>
              <w:bidi w:val="0"/>
              <w:adjustRightInd/>
              <w:snapToGrid/>
              <w:jc w:val="both"/>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1、在设备选型时，除考虑满足生产工艺要求外，还必须考虑设备的声学特性（选用高效低噪设备），对于噪声较高的设备应与设备出售厂方协商提供配套的降噪措施。</w:t>
            </w:r>
          </w:p>
          <w:p w14:paraId="6C8F1F8E">
            <w:pPr>
              <w:pStyle w:val="103"/>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2、应加强设备的保养和维修，使设备随时处于良好的运行状态，避免偶发强噪声产生。高噪声设备操作人员，操作时应佩戴防护头盔或耳套。</w:t>
            </w:r>
          </w:p>
          <w:p w14:paraId="6DC139D6">
            <w:pPr>
              <w:pStyle w:val="103"/>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3、生产作业时关闭部分门窗，加强职工环保意识教育，提倡文明生产；</w:t>
            </w:r>
          </w:p>
          <w:p w14:paraId="596478B7">
            <w:pPr>
              <w:pStyle w:val="103"/>
              <w:rPr>
                <w:rFonts w:hint="default" w:ascii="Times New Roman" w:hAnsi="Times New Roman" w:cs="Times New Roman"/>
                <w:sz w:val="24"/>
                <w:szCs w:val="24"/>
                <w:u w:val="none"/>
              </w:rPr>
            </w:pPr>
            <w:r>
              <w:rPr>
                <w:rFonts w:hint="default" w:ascii="Times New Roman" w:hAnsi="Times New Roman" w:cs="Times New Roman"/>
                <w:sz w:val="24"/>
                <w:szCs w:val="24"/>
                <w:u w:val="none"/>
              </w:rPr>
              <w:t>4、在原料和产品等运输车辆途径居民点时严禁鸣号，进入厂内低速行驶；</w:t>
            </w:r>
          </w:p>
          <w:p w14:paraId="3E89D546">
            <w:pPr>
              <w:pStyle w:val="103"/>
              <w:rPr>
                <w:rFonts w:hint="default" w:ascii="Times New Roman" w:hAnsi="Times New Roman" w:cs="Times New Roman"/>
                <w:sz w:val="24"/>
                <w:szCs w:val="24"/>
                <w:u w:val="none"/>
              </w:rPr>
            </w:pPr>
            <w:r>
              <w:rPr>
                <w:rFonts w:hint="default" w:ascii="Times New Roman" w:hAnsi="Times New Roman" w:cs="Times New Roman"/>
                <w:sz w:val="24"/>
                <w:szCs w:val="24"/>
                <w:u w:val="none"/>
              </w:rPr>
              <w:t>5、加强设备维护与保养，及时淘汰落后设备，适时添加润滑油，减少摩擦噪声。</w:t>
            </w:r>
          </w:p>
          <w:p w14:paraId="724AD566">
            <w:pPr>
              <w:pStyle w:val="103"/>
              <w:rPr>
                <w:rFonts w:hint="default" w:ascii="Times New Roman" w:hAnsi="Times New Roman" w:cs="Times New Roman"/>
                <w:sz w:val="24"/>
                <w:szCs w:val="24"/>
                <w:u w:val="none"/>
              </w:rPr>
            </w:pPr>
            <w:r>
              <w:rPr>
                <w:rFonts w:hint="default" w:ascii="Times New Roman" w:hAnsi="Times New Roman" w:cs="Times New Roman"/>
                <w:sz w:val="24"/>
                <w:szCs w:val="24"/>
                <w:u w:val="none"/>
              </w:rPr>
              <w:t>综上所述，在落实各项噪声污染防治措施的情况下，项目对周围声环境影响较小，本项目</w:t>
            </w:r>
            <w:r>
              <w:rPr>
                <w:rFonts w:hint="eastAsia" w:ascii="Times New Roman" w:hAnsi="Times New Roman" w:cs="Times New Roman"/>
                <w:sz w:val="24"/>
                <w:szCs w:val="24"/>
                <w:u w:val="none"/>
                <w:lang w:eastAsia="zh-CN"/>
              </w:rPr>
              <w:t>噪声</w:t>
            </w:r>
            <w:r>
              <w:rPr>
                <w:rFonts w:hint="default" w:ascii="Times New Roman" w:hAnsi="Times New Roman" w:cs="Times New Roman"/>
                <w:sz w:val="24"/>
                <w:szCs w:val="24"/>
                <w:u w:val="none"/>
              </w:rPr>
              <w:t>具体监测计划如下。</w:t>
            </w:r>
          </w:p>
          <w:p w14:paraId="08E53E17">
            <w:pPr>
              <w:pStyle w:val="103"/>
              <w:rPr>
                <w:rFonts w:hint="default" w:ascii="Times New Roman" w:hAnsi="Times New Roman" w:cs="Times New Roman"/>
                <w:sz w:val="24"/>
                <w:szCs w:val="24"/>
                <w:u w:val="none"/>
              </w:rPr>
            </w:pPr>
          </w:p>
          <w:p w14:paraId="3B63DA31">
            <w:pPr>
              <w:pStyle w:val="103"/>
              <w:rPr>
                <w:rFonts w:hint="default" w:ascii="Times New Roman" w:hAnsi="Times New Roman" w:cs="Times New Roman"/>
                <w:sz w:val="24"/>
                <w:szCs w:val="24"/>
                <w:u w:val="none"/>
              </w:rPr>
            </w:pPr>
          </w:p>
          <w:p w14:paraId="61171D70">
            <w:pPr>
              <w:pStyle w:val="20"/>
              <w:ind w:firstLine="420"/>
              <w:rPr>
                <w:rFonts w:hint="default" w:ascii="Times New Roman" w:hAnsi="Times New Roman" w:eastAsia="宋体" w:cs="Times New Roman"/>
                <w:b/>
                <w:bCs/>
                <w:sz w:val="24"/>
                <w:szCs w:val="24"/>
                <w:u w:val="none"/>
              </w:rPr>
            </w:pPr>
          </w:p>
          <w:p w14:paraId="13F14C5B">
            <w:pPr>
              <w:pStyle w:val="20"/>
              <w:spacing w:line="360" w:lineRule="auto"/>
              <w:ind w:firstLine="420"/>
              <w:rPr>
                <w:rFonts w:hint="default" w:ascii="Times New Roman" w:hAnsi="Times New Roman" w:eastAsia="宋体" w:cs="Times New Roman"/>
                <w:b/>
                <w:bCs/>
                <w:sz w:val="24"/>
                <w:szCs w:val="24"/>
                <w:u w:val="none"/>
              </w:rPr>
            </w:pPr>
            <w:r>
              <w:rPr>
                <w:rFonts w:hint="default" w:ascii="Times New Roman" w:hAnsi="Times New Roman" w:eastAsia="宋体" w:cs="Times New Roman"/>
                <w:b/>
                <w:bCs/>
                <w:sz w:val="24"/>
                <w:szCs w:val="24"/>
                <w:u w:val="none"/>
              </w:rPr>
              <w:t>表4.</w:t>
            </w:r>
            <w:r>
              <w:rPr>
                <w:rFonts w:hint="eastAsia" w:ascii="Times New Roman" w:hAnsi="Times New Roman" w:eastAsia="宋体" w:cs="Times New Roman"/>
                <w:b/>
                <w:bCs/>
                <w:sz w:val="24"/>
                <w:szCs w:val="24"/>
                <w:u w:val="none"/>
                <w:lang w:val="en-US" w:eastAsia="zh-CN"/>
              </w:rPr>
              <w:t>3-</w:t>
            </w:r>
            <w:r>
              <w:rPr>
                <w:rFonts w:hint="eastAsia" w:eastAsia="宋体" w:cs="Times New Roman"/>
                <w:b/>
                <w:bCs/>
                <w:sz w:val="24"/>
                <w:szCs w:val="24"/>
                <w:u w:val="none"/>
                <w:lang w:val="en-US" w:eastAsia="zh-CN"/>
              </w:rPr>
              <w:t>3</w:t>
            </w:r>
            <w:r>
              <w:rPr>
                <w:rFonts w:hint="default" w:ascii="Times New Roman" w:hAnsi="Times New Roman" w:eastAsia="宋体" w:cs="Times New Roman"/>
                <w:b/>
                <w:bCs/>
                <w:sz w:val="24"/>
                <w:szCs w:val="24"/>
                <w:u w:val="none"/>
              </w:rPr>
              <w:t xml:space="preserve">  项目监测计划一览表</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910"/>
              <w:gridCol w:w="1193"/>
              <w:gridCol w:w="1531"/>
              <w:gridCol w:w="1073"/>
              <w:gridCol w:w="3866"/>
            </w:tblGrid>
            <w:tr w14:paraId="7D78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 w:type="pct"/>
                  <w:tcBorders>
                    <w:top w:val="single" w:color="auto" w:sz="4" w:space="0"/>
                    <w:left w:val="single" w:color="auto" w:sz="4" w:space="0"/>
                    <w:bottom w:val="single" w:color="auto" w:sz="4" w:space="0"/>
                    <w:right w:val="single" w:color="auto" w:sz="4" w:space="0"/>
                  </w:tcBorders>
                  <w:vAlign w:val="center"/>
                </w:tcPr>
                <w:p w14:paraId="6321DEE2">
                  <w:pPr>
                    <w:pStyle w:val="103"/>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序号</w:t>
                  </w:r>
                </w:p>
              </w:tc>
              <w:tc>
                <w:tcPr>
                  <w:tcW w:w="498" w:type="pct"/>
                  <w:tcBorders>
                    <w:top w:val="single" w:color="auto" w:sz="4" w:space="0"/>
                    <w:left w:val="single" w:color="auto" w:sz="4" w:space="0"/>
                    <w:bottom w:val="single" w:color="auto" w:sz="4" w:space="0"/>
                    <w:right w:val="single" w:color="auto" w:sz="4" w:space="0"/>
                  </w:tcBorders>
                  <w:vAlign w:val="center"/>
                </w:tcPr>
                <w:p w14:paraId="44EB38A9">
                  <w:pPr>
                    <w:pStyle w:val="103"/>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验收</w:t>
                  </w:r>
                </w:p>
                <w:p w14:paraId="6B9A2F6C">
                  <w:pPr>
                    <w:pStyle w:val="103"/>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类别</w:t>
                  </w:r>
                </w:p>
              </w:tc>
              <w:tc>
                <w:tcPr>
                  <w:tcW w:w="653" w:type="pct"/>
                  <w:tcBorders>
                    <w:top w:val="single" w:color="auto" w:sz="4" w:space="0"/>
                    <w:left w:val="single" w:color="auto" w:sz="4" w:space="0"/>
                    <w:bottom w:val="single" w:color="auto" w:sz="4" w:space="0"/>
                    <w:right w:val="single" w:color="auto" w:sz="4" w:space="0"/>
                  </w:tcBorders>
                  <w:vAlign w:val="center"/>
                </w:tcPr>
                <w:p w14:paraId="4798457F">
                  <w:pPr>
                    <w:pStyle w:val="103"/>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监控指标</w:t>
                  </w:r>
                </w:p>
              </w:tc>
              <w:tc>
                <w:tcPr>
                  <w:tcW w:w="838" w:type="pct"/>
                  <w:tcBorders>
                    <w:top w:val="single" w:color="auto" w:sz="4" w:space="0"/>
                    <w:left w:val="single" w:color="auto" w:sz="4" w:space="0"/>
                    <w:bottom w:val="single" w:color="auto" w:sz="4" w:space="0"/>
                    <w:right w:val="single" w:color="auto" w:sz="4" w:space="0"/>
                  </w:tcBorders>
                  <w:vAlign w:val="center"/>
                </w:tcPr>
                <w:p w14:paraId="22AC0F42">
                  <w:pPr>
                    <w:pStyle w:val="103"/>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采样点</w:t>
                  </w:r>
                </w:p>
              </w:tc>
              <w:tc>
                <w:tcPr>
                  <w:tcW w:w="587" w:type="pct"/>
                  <w:tcBorders>
                    <w:top w:val="single" w:color="auto" w:sz="4" w:space="0"/>
                    <w:left w:val="single" w:color="auto" w:sz="4" w:space="0"/>
                    <w:bottom w:val="single" w:color="auto" w:sz="4" w:space="0"/>
                    <w:right w:val="single" w:color="auto" w:sz="4" w:space="0"/>
                  </w:tcBorders>
                  <w:vAlign w:val="center"/>
                </w:tcPr>
                <w:p w14:paraId="198A5BB8">
                  <w:pPr>
                    <w:pStyle w:val="103"/>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监测频次</w:t>
                  </w:r>
                </w:p>
              </w:tc>
              <w:tc>
                <w:tcPr>
                  <w:tcW w:w="2115" w:type="pct"/>
                  <w:tcBorders>
                    <w:top w:val="single" w:color="auto" w:sz="4" w:space="0"/>
                    <w:left w:val="single" w:color="auto" w:sz="4" w:space="0"/>
                    <w:bottom w:val="single" w:color="auto" w:sz="4" w:space="0"/>
                    <w:right w:val="single" w:color="auto" w:sz="4" w:space="0"/>
                  </w:tcBorders>
                  <w:vAlign w:val="center"/>
                </w:tcPr>
                <w:p w14:paraId="73EF96C8">
                  <w:pPr>
                    <w:pStyle w:val="103"/>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执行标准</w:t>
                  </w:r>
                </w:p>
              </w:tc>
            </w:tr>
            <w:tr w14:paraId="60FE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6" w:type="pct"/>
                  <w:tcBorders>
                    <w:top w:val="single" w:color="auto" w:sz="4" w:space="0"/>
                    <w:left w:val="single" w:color="auto" w:sz="4" w:space="0"/>
                    <w:bottom w:val="single" w:color="auto" w:sz="4" w:space="0"/>
                    <w:right w:val="single" w:color="auto" w:sz="4" w:space="0"/>
                  </w:tcBorders>
                  <w:vAlign w:val="center"/>
                </w:tcPr>
                <w:p w14:paraId="0CD44D1F">
                  <w:pPr>
                    <w:pStyle w:val="103"/>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w:t>
                  </w:r>
                </w:p>
              </w:tc>
              <w:tc>
                <w:tcPr>
                  <w:tcW w:w="498" w:type="pct"/>
                  <w:tcBorders>
                    <w:top w:val="single" w:color="auto" w:sz="4" w:space="0"/>
                    <w:left w:val="single" w:color="auto" w:sz="4" w:space="0"/>
                    <w:bottom w:val="single" w:color="auto" w:sz="4" w:space="0"/>
                    <w:right w:val="single" w:color="auto" w:sz="4" w:space="0"/>
                  </w:tcBorders>
                  <w:vAlign w:val="center"/>
                </w:tcPr>
                <w:p w14:paraId="332642C2">
                  <w:pPr>
                    <w:pStyle w:val="103"/>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噪声</w:t>
                  </w:r>
                </w:p>
              </w:tc>
              <w:tc>
                <w:tcPr>
                  <w:tcW w:w="653" w:type="pct"/>
                  <w:tcBorders>
                    <w:top w:val="single" w:color="auto" w:sz="4" w:space="0"/>
                    <w:left w:val="single" w:color="auto" w:sz="4" w:space="0"/>
                    <w:bottom w:val="single" w:color="auto" w:sz="4" w:space="0"/>
                    <w:right w:val="single" w:color="auto" w:sz="4" w:space="0"/>
                  </w:tcBorders>
                  <w:vAlign w:val="center"/>
                </w:tcPr>
                <w:p w14:paraId="123D3133">
                  <w:pPr>
                    <w:pStyle w:val="103"/>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LAeq</w:t>
                  </w:r>
                </w:p>
              </w:tc>
              <w:tc>
                <w:tcPr>
                  <w:tcW w:w="838" w:type="pct"/>
                  <w:tcBorders>
                    <w:top w:val="single" w:color="auto" w:sz="4" w:space="0"/>
                    <w:left w:val="single" w:color="auto" w:sz="4" w:space="0"/>
                    <w:bottom w:val="single" w:color="auto" w:sz="4" w:space="0"/>
                    <w:right w:val="single" w:color="auto" w:sz="4" w:space="0"/>
                  </w:tcBorders>
                  <w:vAlign w:val="center"/>
                </w:tcPr>
                <w:p w14:paraId="110FDFA9">
                  <w:pPr>
                    <w:pStyle w:val="103"/>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厂界</w:t>
                  </w:r>
                </w:p>
              </w:tc>
              <w:tc>
                <w:tcPr>
                  <w:tcW w:w="587" w:type="pct"/>
                  <w:tcBorders>
                    <w:top w:val="single" w:color="auto" w:sz="4" w:space="0"/>
                    <w:left w:val="single" w:color="auto" w:sz="4" w:space="0"/>
                    <w:bottom w:val="single" w:color="auto" w:sz="4" w:space="0"/>
                    <w:right w:val="single" w:color="auto" w:sz="4" w:space="0"/>
                  </w:tcBorders>
                  <w:vAlign w:val="center"/>
                </w:tcPr>
                <w:p w14:paraId="6FE58798">
                  <w:pPr>
                    <w:pStyle w:val="103"/>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r>
                    <w:rPr>
                      <w:rFonts w:hint="eastAsia" w:ascii="Times New Roman" w:hAnsi="Times New Roman" w:cs="Times New Roman"/>
                      <w:sz w:val="21"/>
                      <w:szCs w:val="21"/>
                      <w:u w:val="none"/>
                      <w:lang w:eastAsia="zh-CN"/>
                    </w:rPr>
                    <w:t>每年</w:t>
                  </w:r>
                  <w:r>
                    <w:rPr>
                      <w:rFonts w:hint="default" w:ascii="Times New Roman" w:hAnsi="Times New Roman" w:cs="Times New Roman"/>
                      <w:sz w:val="21"/>
                      <w:szCs w:val="21"/>
                      <w:u w:val="none"/>
                    </w:rPr>
                    <w:t>一次</w:t>
                  </w:r>
                </w:p>
              </w:tc>
              <w:tc>
                <w:tcPr>
                  <w:tcW w:w="2115" w:type="pct"/>
                  <w:tcBorders>
                    <w:top w:val="single" w:color="auto" w:sz="4" w:space="0"/>
                    <w:left w:val="single" w:color="auto" w:sz="4" w:space="0"/>
                    <w:bottom w:val="single" w:color="auto" w:sz="4" w:space="0"/>
                    <w:right w:val="single" w:color="auto" w:sz="4" w:space="0"/>
                  </w:tcBorders>
                  <w:vAlign w:val="center"/>
                </w:tcPr>
                <w:p w14:paraId="570DF2C3">
                  <w:pPr>
                    <w:pStyle w:val="103"/>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《工业企业厂界环境噪声排放标准》（GB12348-2008）中2类</w:t>
                  </w:r>
                  <w:r>
                    <w:rPr>
                      <w:rFonts w:hint="eastAsia" w:ascii="Times New Roman" w:hAnsi="Times New Roman" w:cs="Times New Roman"/>
                      <w:sz w:val="21"/>
                      <w:szCs w:val="21"/>
                      <w:u w:val="none"/>
                      <w:lang w:eastAsia="zh-CN"/>
                    </w:rPr>
                    <w:t>、</w:t>
                  </w:r>
                  <w:r>
                    <w:rPr>
                      <w:rFonts w:hint="eastAsia" w:ascii="Times New Roman" w:hAnsi="Times New Roman" w:cs="Times New Roman"/>
                      <w:sz w:val="21"/>
                      <w:szCs w:val="21"/>
                      <w:u w:val="none"/>
                      <w:lang w:val="en-US" w:eastAsia="zh-CN"/>
                    </w:rPr>
                    <w:t>4类</w:t>
                  </w:r>
                  <w:r>
                    <w:rPr>
                      <w:rFonts w:hint="default" w:ascii="Times New Roman" w:hAnsi="Times New Roman" w:cs="Times New Roman"/>
                      <w:sz w:val="21"/>
                      <w:szCs w:val="21"/>
                      <w:u w:val="none"/>
                    </w:rPr>
                    <w:t>功能区排放限值要求</w:t>
                  </w:r>
                </w:p>
              </w:tc>
            </w:tr>
          </w:tbl>
          <w:p w14:paraId="56690C24">
            <w:pPr>
              <w:pStyle w:val="103"/>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rPr>
              <w:t>4.</w:t>
            </w:r>
            <w:r>
              <w:rPr>
                <w:rFonts w:hint="eastAsia" w:ascii="Times New Roman" w:hAnsi="Times New Roman" w:cs="Times New Roman"/>
                <w:b/>
                <w:bCs/>
                <w:sz w:val="24"/>
                <w:szCs w:val="24"/>
                <w:u w:val="none"/>
                <w:lang w:val="en-US" w:eastAsia="zh-CN"/>
              </w:rPr>
              <w:t>4</w:t>
            </w:r>
            <w:r>
              <w:rPr>
                <w:rFonts w:hint="default" w:ascii="Times New Roman" w:hAnsi="Times New Roman" w:cs="Times New Roman"/>
                <w:b/>
                <w:bCs/>
                <w:sz w:val="24"/>
                <w:szCs w:val="24"/>
                <w:u w:val="none"/>
              </w:rPr>
              <w:t>固体废物</w:t>
            </w:r>
          </w:p>
          <w:p w14:paraId="5EA68A22">
            <w:pPr>
              <w:pStyle w:val="103"/>
              <w:rPr>
                <w:rFonts w:hint="default" w:ascii="Times New Roman" w:hAnsi="Times New Roman" w:cs="Times New Roman"/>
                <w:sz w:val="24"/>
                <w:szCs w:val="24"/>
                <w:u w:val="none"/>
              </w:rPr>
            </w:pPr>
            <w:r>
              <w:rPr>
                <w:rFonts w:hint="default" w:ascii="Times New Roman" w:hAnsi="Times New Roman" w:cs="Times New Roman"/>
                <w:sz w:val="24"/>
                <w:szCs w:val="24"/>
                <w:u w:val="none"/>
              </w:rPr>
              <w:t>本项目运营期固废可分为生活垃圾、一般工业固废和危险废物等。</w:t>
            </w:r>
          </w:p>
          <w:p w14:paraId="67EB2FF9">
            <w:pPr>
              <w:pStyle w:val="103"/>
              <w:rPr>
                <w:rFonts w:hint="default" w:ascii="Times New Roman" w:hAnsi="Times New Roman" w:cs="Times New Roman"/>
                <w:sz w:val="24"/>
                <w:szCs w:val="24"/>
                <w:u w:val="single"/>
              </w:rPr>
            </w:pPr>
            <w:r>
              <w:rPr>
                <w:rFonts w:hint="default" w:ascii="Times New Roman" w:hAnsi="Times New Roman" w:cs="Times New Roman"/>
                <w:sz w:val="24"/>
                <w:szCs w:val="24"/>
                <w:u w:val="single"/>
              </w:rPr>
              <w:t>（1）生活垃圾</w:t>
            </w:r>
          </w:p>
          <w:p w14:paraId="296DBA34">
            <w:pPr>
              <w:pStyle w:val="127"/>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本项目营运期劳动定员11人，均不在厂内食宿。员工生活垃圾约0.5kg/人·天，则本项目营运期生活垃圾产生量为1.65t/a。厂内生活垃圾经收集后定期由环卫部门清运。</w:t>
            </w:r>
          </w:p>
          <w:p w14:paraId="6E126554">
            <w:pPr>
              <w:pStyle w:val="127"/>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（2）一般工业固废</w:t>
            </w:r>
          </w:p>
          <w:p w14:paraId="5A7EC0B3">
            <w:pPr>
              <w:pStyle w:val="127"/>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项目一般工业固体废物有边角料、水泥浆、废焊渣等。</w:t>
            </w:r>
          </w:p>
          <w:p w14:paraId="1E5FFAC8">
            <w:pPr>
              <w:pStyle w:val="127"/>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fldChar w:fldCharType="begin"/>
            </w:r>
            <w:r>
              <w:rPr>
                <w:rFonts w:hint="default" w:ascii="Times New Roman" w:hAnsi="Times New Roman" w:cs="Times New Roman"/>
                <w:sz w:val="24"/>
                <w:szCs w:val="24"/>
                <w:u w:val="single"/>
              </w:rPr>
              <w:instrText xml:space="preserve"> = 1 \* GB3 \* MERGEFORMAT </w:instrText>
            </w:r>
            <w:r>
              <w:rPr>
                <w:rFonts w:hint="default" w:ascii="Times New Roman" w:hAnsi="Times New Roman" w:cs="Times New Roman"/>
                <w:sz w:val="24"/>
                <w:szCs w:val="24"/>
                <w:u w:val="single"/>
              </w:rPr>
              <w:fldChar w:fldCharType="separate"/>
            </w:r>
            <w:r>
              <w:rPr>
                <w:rFonts w:hint="default" w:ascii="Times New Roman" w:hAnsi="Times New Roman" w:cs="Times New Roman"/>
                <w:sz w:val="24"/>
                <w:szCs w:val="24"/>
                <w:u w:val="single"/>
              </w:rPr>
              <w:t>①</w:t>
            </w:r>
            <w:r>
              <w:rPr>
                <w:rFonts w:hint="default" w:ascii="Times New Roman" w:hAnsi="Times New Roman" w:cs="Times New Roman"/>
                <w:sz w:val="24"/>
                <w:szCs w:val="24"/>
                <w:u w:val="single"/>
              </w:rPr>
              <w:fldChar w:fldCharType="end"/>
            </w:r>
            <w:r>
              <w:rPr>
                <w:rFonts w:hint="default" w:ascii="Times New Roman" w:hAnsi="Times New Roman" w:cs="Times New Roman"/>
                <w:sz w:val="24"/>
                <w:szCs w:val="24"/>
                <w:u w:val="single"/>
              </w:rPr>
              <w:t>边角料：项目在制作电线杆骨架过程中将产生的边角料，年产量为</w:t>
            </w:r>
            <w:r>
              <w:rPr>
                <w:rFonts w:hint="eastAsia" w:cs="Times New Roman"/>
                <w:sz w:val="24"/>
                <w:szCs w:val="24"/>
                <w:u w:val="single"/>
                <w:lang w:val="en-US" w:eastAsia="zh-CN"/>
              </w:rPr>
              <w:t>2.28</w:t>
            </w:r>
            <w:r>
              <w:rPr>
                <w:rFonts w:hint="default" w:ascii="Times New Roman" w:hAnsi="Times New Roman" w:cs="Times New Roman"/>
                <w:sz w:val="24"/>
                <w:szCs w:val="24"/>
                <w:u w:val="single"/>
              </w:rPr>
              <w:t>t，暂存于一般固体废物暂存区，收集后外售。</w:t>
            </w:r>
          </w:p>
          <w:p w14:paraId="691D5FFE">
            <w:pPr>
              <w:pStyle w:val="127"/>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fldChar w:fldCharType="begin"/>
            </w:r>
            <w:r>
              <w:rPr>
                <w:rFonts w:hint="default" w:ascii="Times New Roman" w:hAnsi="Times New Roman" w:cs="Times New Roman"/>
                <w:sz w:val="24"/>
                <w:szCs w:val="24"/>
                <w:u w:val="single"/>
              </w:rPr>
              <w:instrText xml:space="preserve"> = 2 \* GB3 \* MERGEFORMAT </w:instrText>
            </w:r>
            <w:r>
              <w:rPr>
                <w:rFonts w:hint="default" w:ascii="Times New Roman" w:hAnsi="Times New Roman" w:cs="Times New Roman"/>
                <w:sz w:val="24"/>
                <w:szCs w:val="24"/>
                <w:u w:val="single"/>
              </w:rPr>
              <w:fldChar w:fldCharType="separate"/>
            </w:r>
            <w:r>
              <w:rPr>
                <w:rFonts w:hint="default" w:ascii="Times New Roman" w:hAnsi="Times New Roman" w:cs="Times New Roman"/>
                <w:sz w:val="24"/>
                <w:szCs w:val="24"/>
                <w:u w:val="single"/>
              </w:rPr>
              <w:t>②</w:t>
            </w:r>
            <w:r>
              <w:rPr>
                <w:rFonts w:hint="default" w:ascii="Times New Roman" w:hAnsi="Times New Roman" w:cs="Times New Roman"/>
                <w:sz w:val="24"/>
                <w:szCs w:val="24"/>
                <w:u w:val="single"/>
              </w:rPr>
              <w:fldChar w:fldCharType="end"/>
            </w:r>
            <w:r>
              <w:rPr>
                <w:rFonts w:hint="default" w:ascii="Times New Roman" w:hAnsi="Times New Roman" w:cs="Times New Roman"/>
                <w:sz w:val="24"/>
                <w:szCs w:val="24"/>
                <w:u w:val="single"/>
              </w:rPr>
              <w:t>水泥浆：项目成型车间在离心过程中会会产生水泥浆，年产生量为1.8t，暂存于一般固体废物暂存区，收集后外售。</w:t>
            </w:r>
          </w:p>
          <w:p w14:paraId="63596AEB">
            <w:pPr>
              <w:pStyle w:val="127"/>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fldChar w:fldCharType="begin"/>
            </w:r>
            <w:r>
              <w:rPr>
                <w:rFonts w:hint="default" w:ascii="Times New Roman" w:hAnsi="Times New Roman" w:cs="Times New Roman"/>
                <w:sz w:val="24"/>
                <w:szCs w:val="24"/>
                <w:u w:val="single"/>
              </w:rPr>
              <w:instrText xml:space="preserve"> = 3 \* GB3 \* MERGEFORMAT </w:instrText>
            </w:r>
            <w:r>
              <w:rPr>
                <w:rFonts w:hint="default" w:ascii="Times New Roman" w:hAnsi="Times New Roman" w:cs="Times New Roman"/>
                <w:sz w:val="24"/>
                <w:szCs w:val="24"/>
                <w:u w:val="single"/>
              </w:rPr>
              <w:fldChar w:fldCharType="separate"/>
            </w:r>
            <w:r>
              <w:rPr>
                <w:rFonts w:hint="default" w:ascii="Times New Roman" w:hAnsi="Times New Roman" w:cs="Times New Roman"/>
                <w:sz w:val="24"/>
                <w:szCs w:val="24"/>
                <w:u w:val="single"/>
              </w:rPr>
              <w:t>③</w:t>
            </w:r>
            <w:r>
              <w:rPr>
                <w:rFonts w:hint="default" w:ascii="Times New Roman" w:hAnsi="Times New Roman" w:cs="Times New Roman"/>
                <w:sz w:val="24"/>
                <w:szCs w:val="24"/>
                <w:u w:val="single"/>
              </w:rPr>
              <w:fldChar w:fldCharType="end"/>
            </w:r>
            <w:r>
              <w:rPr>
                <w:rFonts w:hint="default" w:ascii="Times New Roman" w:hAnsi="Times New Roman" w:cs="Times New Roman"/>
                <w:sz w:val="24"/>
                <w:szCs w:val="24"/>
                <w:u w:val="single"/>
              </w:rPr>
              <w:t>废焊渣：项目焊接工序会产生废焊渣，年产生量为0.04t，暂存于一般固体废物暂存区，收集后外售。</w:t>
            </w:r>
          </w:p>
          <w:p w14:paraId="1C5B7419">
            <w:pPr>
              <w:pStyle w:val="127"/>
              <w:ind w:firstLine="420"/>
              <w:rPr>
                <w:rFonts w:hint="eastAsia" w:ascii="Times New Roman" w:hAnsi="Times New Roman" w:eastAsia="宋体" w:cs="Times New Roman"/>
                <w:sz w:val="24"/>
                <w:szCs w:val="24"/>
                <w:u w:val="single"/>
                <w:lang w:eastAsia="zh-CN"/>
              </w:rPr>
            </w:pPr>
            <w:r>
              <w:rPr>
                <w:rFonts w:hint="eastAsia" w:cs="Times New Roman"/>
                <w:sz w:val="24"/>
                <w:szCs w:val="24"/>
                <w:u w:val="single"/>
                <w:lang w:eastAsia="zh-CN"/>
              </w:rPr>
              <w:t>④</w:t>
            </w:r>
            <w:r>
              <w:rPr>
                <w:rFonts w:hint="default" w:ascii="Times New Roman" w:hAnsi="Times New Roman" w:cs="Times New Roman"/>
                <w:sz w:val="24"/>
                <w:szCs w:val="24"/>
                <w:u w:val="single"/>
              </w:rPr>
              <w:t>生物质燃料灰渣</w:t>
            </w:r>
            <w:r>
              <w:rPr>
                <w:rFonts w:hint="default" w:ascii="Times New Roman" w:hAnsi="Times New Roman" w:cs="Times New Roman"/>
                <w:sz w:val="24"/>
                <w:szCs w:val="24"/>
                <w:u w:val="single"/>
                <w:lang w:eastAsia="zh-CN"/>
              </w:rPr>
              <w:t>：</w:t>
            </w:r>
            <w:r>
              <w:rPr>
                <w:rFonts w:hint="default" w:ascii="Times New Roman" w:hAnsi="Times New Roman" w:cs="Times New Roman"/>
                <w:sz w:val="24"/>
                <w:szCs w:val="24"/>
                <w:u w:val="single"/>
              </w:rPr>
              <w:t>生物质成型燃料灰分约为8%，年产生量为</w:t>
            </w:r>
            <w:r>
              <w:rPr>
                <w:rFonts w:hint="eastAsia" w:ascii="Times New Roman" w:hAnsi="Times New Roman" w:cs="Times New Roman"/>
                <w:sz w:val="24"/>
                <w:szCs w:val="24"/>
                <w:u w:val="single"/>
                <w:lang w:val="en-US" w:eastAsia="zh-CN"/>
              </w:rPr>
              <w:t>7.56</w:t>
            </w:r>
            <w:r>
              <w:rPr>
                <w:rFonts w:hint="default" w:ascii="Times New Roman" w:hAnsi="Times New Roman" w:cs="Times New Roman"/>
                <w:sz w:val="24"/>
                <w:szCs w:val="24"/>
                <w:u w:val="single"/>
              </w:rPr>
              <w:t>t，</w:t>
            </w:r>
            <w:r>
              <w:rPr>
                <w:rFonts w:hint="eastAsia" w:cs="Times New Roman"/>
                <w:sz w:val="24"/>
                <w:szCs w:val="24"/>
                <w:u w:val="single"/>
                <w:lang w:eastAsia="zh-CN"/>
              </w:rPr>
              <w:t>则年产生量为</w:t>
            </w:r>
            <w:r>
              <w:rPr>
                <w:rFonts w:hint="default" w:ascii="Times New Roman" w:hAnsi="Times New Roman" w:cs="Times New Roman"/>
                <w:sz w:val="24"/>
                <w:szCs w:val="24"/>
                <w:u w:val="single"/>
              </w:rPr>
              <w:t>由周边农户收集用于农田施肥</w:t>
            </w:r>
            <w:r>
              <w:rPr>
                <w:rFonts w:hint="eastAsia" w:cs="Times New Roman"/>
                <w:sz w:val="24"/>
                <w:szCs w:val="24"/>
                <w:u w:val="single"/>
                <w:lang w:eastAsia="zh-CN"/>
              </w:rPr>
              <w:t>。</w:t>
            </w:r>
          </w:p>
          <w:p w14:paraId="5EFBCD92">
            <w:pPr>
              <w:pStyle w:val="127"/>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（3）危险废物</w:t>
            </w:r>
          </w:p>
          <w:p w14:paraId="03544B6E">
            <w:pPr>
              <w:pStyle w:val="127"/>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项目危险废物有废润滑油桶和含油抹布。</w:t>
            </w:r>
          </w:p>
          <w:p w14:paraId="7D87E9F6">
            <w:pPr>
              <w:pStyle w:val="127"/>
              <w:ind w:firstLine="420"/>
              <w:jc w:val="both"/>
              <w:rPr>
                <w:rFonts w:hint="default" w:ascii="Times New Roman" w:hAnsi="Times New Roman" w:cs="Times New Roman"/>
                <w:sz w:val="24"/>
                <w:szCs w:val="24"/>
                <w:u w:val="single"/>
              </w:rPr>
            </w:pPr>
            <w:r>
              <w:rPr>
                <w:rFonts w:hint="default" w:ascii="Times New Roman" w:hAnsi="Times New Roman" w:cs="Times New Roman"/>
                <w:sz w:val="24"/>
                <w:szCs w:val="24"/>
                <w:u w:val="single"/>
              </w:rPr>
              <w:t>①废润滑油桶：项目机械设备维修养护过程中使用的废润滑油将产生废润滑油桶，年产生量约为0.02t/a，按《国家危险废物名录》（2021版），属于HW08废矿物油与含矿物油废物，废物代码为900-249-08（危险特性T，I）。经收集后暂存于危险废物暂存间，定期交由有资质单位处置。</w:t>
            </w:r>
          </w:p>
          <w:p w14:paraId="4E00A8A5">
            <w:pPr>
              <w:pStyle w:val="127"/>
              <w:ind w:firstLine="420"/>
              <w:jc w:val="both"/>
              <w:rPr>
                <w:rFonts w:hint="default" w:ascii="Times New Roman" w:hAnsi="Times New Roman" w:cs="Times New Roman"/>
                <w:sz w:val="24"/>
                <w:szCs w:val="24"/>
                <w:u w:val="single"/>
              </w:rPr>
            </w:pPr>
            <w:r>
              <w:rPr>
                <w:rFonts w:hint="default" w:ascii="Times New Roman" w:hAnsi="Times New Roman" w:cs="Times New Roman"/>
                <w:sz w:val="24"/>
                <w:szCs w:val="24"/>
                <w:u w:val="single"/>
              </w:rPr>
              <w:t>①废含油抹布：项目机械设备维修养护过程中使用的废润滑油将产生废含油抹布，年产生量约为0.05t/a，按《国家危险废物名录》（2021版），属于HW49 其他废物，废物代码为900-041-49（危险特性T/In）。经收集后暂存于危险废物暂存间，定期交由有资质单位处置。</w:t>
            </w:r>
          </w:p>
          <w:p w14:paraId="115EAB8A">
            <w:pPr>
              <w:pStyle w:val="127"/>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综上所述，本项目危险废物的最大储存量为</w:t>
            </w:r>
            <w:r>
              <w:rPr>
                <w:rFonts w:hint="eastAsia" w:ascii="Times New Roman" w:hAnsi="Times New Roman" w:cs="Times New Roman"/>
                <w:sz w:val="24"/>
                <w:szCs w:val="24"/>
                <w:u w:val="single"/>
                <w:lang w:val="en-US" w:eastAsia="zh-CN"/>
              </w:rPr>
              <w:t>0.07</w:t>
            </w:r>
            <w:r>
              <w:rPr>
                <w:rFonts w:hint="default" w:ascii="Times New Roman" w:hAnsi="Times New Roman" w:cs="Times New Roman"/>
                <w:sz w:val="24"/>
                <w:szCs w:val="24"/>
                <w:u w:val="single"/>
              </w:rPr>
              <w:t>t/a。</w:t>
            </w:r>
          </w:p>
          <w:p w14:paraId="04EAFA89">
            <w:pPr>
              <w:pStyle w:val="20"/>
              <w:keepNext w:val="0"/>
              <w:keepLines w:val="0"/>
              <w:pageBreakBefore w:val="0"/>
              <w:widowControl/>
              <w:kinsoku/>
              <w:wordWrap/>
              <w:overflowPunct/>
              <w:topLinePunct w:val="0"/>
              <w:autoSpaceDE/>
              <w:autoSpaceDN/>
              <w:bidi w:val="0"/>
              <w:adjustRightInd w:val="0"/>
              <w:snapToGrid w:val="0"/>
              <w:spacing w:line="360" w:lineRule="auto"/>
              <w:ind w:firstLine="0"/>
              <w:textAlignment w:val="auto"/>
              <w:rPr>
                <w:rFonts w:hint="default" w:ascii="Times New Roman" w:hAnsi="Times New Roman" w:eastAsia="宋体" w:cs="Times New Roman"/>
                <w:b/>
                <w:bCs/>
                <w:sz w:val="24"/>
                <w:szCs w:val="24"/>
                <w:u w:val="single"/>
              </w:rPr>
            </w:pPr>
            <w:r>
              <w:rPr>
                <w:rFonts w:hint="default" w:ascii="Times New Roman" w:hAnsi="Times New Roman" w:eastAsia="宋体" w:cs="Times New Roman"/>
                <w:b/>
                <w:bCs/>
                <w:sz w:val="24"/>
                <w:szCs w:val="24"/>
                <w:u w:val="single"/>
              </w:rPr>
              <w:t>表4.</w:t>
            </w:r>
            <w:r>
              <w:rPr>
                <w:rFonts w:hint="eastAsia" w:eastAsia="宋体" w:cs="Times New Roman"/>
                <w:b/>
                <w:bCs/>
                <w:sz w:val="24"/>
                <w:szCs w:val="24"/>
                <w:u w:val="single"/>
                <w:lang w:val="en-US" w:eastAsia="zh-CN"/>
              </w:rPr>
              <w:t>5</w:t>
            </w:r>
            <w:r>
              <w:rPr>
                <w:rFonts w:hint="default" w:ascii="Times New Roman" w:hAnsi="Times New Roman" w:eastAsia="宋体" w:cs="Times New Roman"/>
                <w:b/>
                <w:bCs/>
                <w:sz w:val="24"/>
                <w:szCs w:val="24"/>
                <w:u w:val="single"/>
              </w:rPr>
              <w:t>-1  项目运营期固废产生及处置情况一览表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421"/>
              <w:gridCol w:w="1100"/>
              <w:gridCol w:w="1882"/>
              <w:gridCol w:w="1481"/>
              <w:gridCol w:w="1021"/>
              <w:gridCol w:w="3231"/>
            </w:tblGrid>
            <w:tr w14:paraId="35C00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21" w:type="dxa"/>
                  <w:vAlign w:val="center"/>
                </w:tcPr>
                <w:p w14:paraId="0FA79955">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序号</w:t>
                  </w:r>
                </w:p>
              </w:tc>
              <w:tc>
                <w:tcPr>
                  <w:tcW w:w="1101" w:type="dxa"/>
                  <w:vAlign w:val="center"/>
                </w:tcPr>
                <w:p w14:paraId="54338A56">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固废性质</w:t>
                  </w:r>
                </w:p>
              </w:tc>
              <w:tc>
                <w:tcPr>
                  <w:tcW w:w="1883" w:type="dxa"/>
                  <w:vAlign w:val="center"/>
                </w:tcPr>
                <w:p w14:paraId="69D47917">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固废名称</w:t>
                  </w:r>
                </w:p>
              </w:tc>
              <w:tc>
                <w:tcPr>
                  <w:tcW w:w="1482" w:type="dxa"/>
                  <w:vAlign w:val="center"/>
                </w:tcPr>
                <w:p w14:paraId="16BEC88B">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代码</w:t>
                  </w:r>
                </w:p>
              </w:tc>
              <w:tc>
                <w:tcPr>
                  <w:tcW w:w="1022" w:type="dxa"/>
                  <w:vAlign w:val="center"/>
                </w:tcPr>
                <w:p w14:paraId="33EC4F62">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产生量 t/a</w:t>
                  </w:r>
                </w:p>
              </w:tc>
              <w:tc>
                <w:tcPr>
                  <w:tcW w:w="3233" w:type="dxa"/>
                  <w:vAlign w:val="center"/>
                </w:tcPr>
                <w:p w14:paraId="594A094D">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处置方式</w:t>
                  </w:r>
                </w:p>
              </w:tc>
            </w:tr>
            <w:tr w14:paraId="29DE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21" w:type="dxa"/>
                  <w:vAlign w:val="center"/>
                </w:tcPr>
                <w:p w14:paraId="4EF5A5B9">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1</w:t>
                  </w:r>
                </w:p>
              </w:tc>
              <w:tc>
                <w:tcPr>
                  <w:tcW w:w="1101" w:type="dxa"/>
                  <w:vAlign w:val="center"/>
                </w:tcPr>
                <w:p w14:paraId="0EAB9333">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生活垃圾</w:t>
                  </w:r>
                </w:p>
              </w:tc>
              <w:tc>
                <w:tcPr>
                  <w:tcW w:w="1883" w:type="dxa"/>
                  <w:vAlign w:val="center"/>
                </w:tcPr>
                <w:p w14:paraId="527DEE95">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生活垃圾</w:t>
                  </w:r>
                </w:p>
              </w:tc>
              <w:tc>
                <w:tcPr>
                  <w:tcW w:w="1482" w:type="dxa"/>
                  <w:vAlign w:val="center"/>
                </w:tcPr>
                <w:p w14:paraId="1EEAEDDD">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eastAsia"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w:t>
                  </w:r>
                </w:p>
              </w:tc>
              <w:tc>
                <w:tcPr>
                  <w:tcW w:w="1022" w:type="dxa"/>
                  <w:vAlign w:val="center"/>
                </w:tcPr>
                <w:p w14:paraId="554B70CC">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1.65</w:t>
                  </w:r>
                </w:p>
              </w:tc>
              <w:tc>
                <w:tcPr>
                  <w:tcW w:w="3233" w:type="dxa"/>
                  <w:vAlign w:val="center"/>
                </w:tcPr>
                <w:p w14:paraId="4C910308">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交由环卫部门定期清运</w:t>
                  </w:r>
                </w:p>
              </w:tc>
            </w:tr>
            <w:tr w14:paraId="6629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21" w:type="dxa"/>
                  <w:vAlign w:val="center"/>
                </w:tcPr>
                <w:p w14:paraId="146029F9">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2</w:t>
                  </w:r>
                </w:p>
              </w:tc>
              <w:tc>
                <w:tcPr>
                  <w:tcW w:w="1101" w:type="dxa"/>
                  <w:vMerge w:val="restart"/>
                  <w:vAlign w:val="center"/>
                </w:tcPr>
                <w:p w14:paraId="59A6BF6A">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一般工业固废</w:t>
                  </w:r>
                </w:p>
              </w:tc>
              <w:tc>
                <w:tcPr>
                  <w:tcW w:w="1883" w:type="dxa"/>
                  <w:vAlign w:val="center"/>
                </w:tcPr>
                <w:p w14:paraId="5A32FFC6">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边角料</w:t>
                  </w:r>
                </w:p>
              </w:tc>
              <w:tc>
                <w:tcPr>
                  <w:tcW w:w="1482" w:type="dxa"/>
                  <w:vMerge w:val="restart"/>
                  <w:vAlign w:val="center"/>
                </w:tcPr>
                <w:p w14:paraId="0D2A4A4D">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SW59</w:t>
                  </w:r>
                </w:p>
                <w:p w14:paraId="48247BCB">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lang w:val="en-US" w:eastAsia="zh-CN"/>
                    </w:rPr>
                  </w:pPr>
                  <w:r>
                    <w:rPr>
                      <w:rFonts w:hint="eastAsia" w:ascii="Times New Roman" w:hAnsi="Times New Roman" w:eastAsia="宋体" w:cs="Times New Roman"/>
                      <w:sz w:val="21"/>
                      <w:szCs w:val="21"/>
                      <w:u w:val="single"/>
                      <w:lang w:val="en-US" w:eastAsia="zh-CN"/>
                    </w:rPr>
                    <w:t>900-099-S59</w:t>
                  </w:r>
                </w:p>
              </w:tc>
              <w:tc>
                <w:tcPr>
                  <w:tcW w:w="1022" w:type="dxa"/>
                  <w:vAlign w:val="center"/>
                </w:tcPr>
                <w:p w14:paraId="2CD8DCDA">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2.28</w:t>
                  </w:r>
                </w:p>
              </w:tc>
              <w:tc>
                <w:tcPr>
                  <w:tcW w:w="3233" w:type="dxa"/>
                  <w:vMerge w:val="restart"/>
                  <w:vAlign w:val="center"/>
                </w:tcPr>
                <w:p w14:paraId="6AFDFE3A">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收集后外售</w:t>
                  </w:r>
                </w:p>
              </w:tc>
            </w:tr>
            <w:tr w14:paraId="37BBB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21" w:type="dxa"/>
                  <w:vAlign w:val="center"/>
                </w:tcPr>
                <w:p w14:paraId="01C8279D">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3</w:t>
                  </w:r>
                </w:p>
              </w:tc>
              <w:tc>
                <w:tcPr>
                  <w:tcW w:w="1101" w:type="dxa"/>
                  <w:vMerge w:val="continue"/>
                  <w:vAlign w:val="center"/>
                </w:tcPr>
                <w:p w14:paraId="064992E9">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p>
              </w:tc>
              <w:tc>
                <w:tcPr>
                  <w:tcW w:w="1883" w:type="dxa"/>
                  <w:vAlign w:val="center"/>
                </w:tcPr>
                <w:p w14:paraId="6550EFA9">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水泥浆</w:t>
                  </w:r>
                </w:p>
              </w:tc>
              <w:tc>
                <w:tcPr>
                  <w:tcW w:w="1482" w:type="dxa"/>
                  <w:vMerge w:val="continue"/>
                  <w:vAlign w:val="center"/>
                </w:tcPr>
                <w:p w14:paraId="48C4E7D5">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eastAsia" w:ascii="Times New Roman" w:hAnsi="Times New Roman" w:eastAsia="宋体" w:cs="Times New Roman"/>
                      <w:sz w:val="21"/>
                      <w:szCs w:val="21"/>
                      <w:u w:val="single"/>
                      <w:lang w:val="en-US" w:eastAsia="zh-CN"/>
                    </w:rPr>
                  </w:pPr>
                </w:p>
              </w:tc>
              <w:tc>
                <w:tcPr>
                  <w:tcW w:w="1022" w:type="dxa"/>
                  <w:vAlign w:val="center"/>
                </w:tcPr>
                <w:p w14:paraId="17097489">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1.8</w:t>
                  </w:r>
                </w:p>
              </w:tc>
              <w:tc>
                <w:tcPr>
                  <w:tcW w:w="3233" w:type="dxa"/>
                  <w:vMerge w:val="continue"/>
                  <w:vAlign w:val="center"/>
                </w:tcPr>
                <w:p w14:paraId="5A8E3E59">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p>
              </w:tc>
            </w:tr>
            <w:tr w14:paraId="3BBF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21" w:type="dxa"/>
                  <w:vAlign w:val="center"/>
                </w:tcPr>
                <w:p w14:paraId="5CF21E7E">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4</w:t>
                  </w:r>
                </w:p>
              </w:tc>
              <w:tc>
                <w:tcPr>
                  <w:tcW w:w="1101" w:type="dxa"/>
                  <w:vMerge w:val="continue"/>
                  <w:vAlign w:val="center"/>
                </w:tcPr>
                <w:p w14:paraId="303F07C9">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p>
              </w:tc>
              <w:tc>
                <w:tcPr>
                  <w:tcW w:w="1883" w:type="dxa"/>
                  <w:vAlign w:val="center"/>
                </w:tcPr>
                <w:p w14:paraId="377B535C">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废焊渣</w:t>
                  </w:r>
                </w:p>
              </w:tc>
              <w:tc>
                <w:tcPr>
                  <w:tcW w:w="1482" w:type="dxa"/>
                  <w:vMerge w:val="continue"/>
                  <w:vAlign w:val="center"/>
                </w:tcPr>
                <w:p w14:paraId="6FE184D3">
                  <w:pPr>
                    <w:jc w:val="center"/>
                    <w:rPr>
                      <w:rFonts w:hint="default"/>
                      <w:lang w:val="en-US" w:eastAsia="zh-CN"/>
                    </w:rPr>
                  </w:pPr>
                </w:p>
              </w:tc>
              <w:tc>
                <w:tcPr>
                  <w:tcW w:w="1022" w:type="dxa"/>
                  <w:vAlign w:val="center"/>
                </w:tcPr>
                <w:p w14:paraId="47D8A4BB">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0.04</w:t>
                  </w:r>
                </w:p>
              </w:tc>
              <w:tc>
                <w:tcPr>
                  <w:tcW w:w="3233" w:type="dxa"/>
                  <w:vMerge w:val="continue"/>
                  <w:vAlign w:val="center"/>
                </w:tcPr>
                <w:p w14:paraId="2EED9A57">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p>
              </w:tc>
            </w:tr>
            <w:tr w14:paraId="149AB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21" w:type="dxa"/>
                  <w:vAlign w:val="center"/>
                </w:tcPr>
                <w:p w14:paraId="4CC9EF33">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eastAsia"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5</w:t>
                  </w:r>
                </w:p>
              </w:tc>
              <w:tc>
                <w:tcPr>
                  <w:tcW w:w="1101" w:type="dxa"/>
                  <w:vMerge w:val="continue"/>
                  <w:vAlign w:val="center"/>
                </w:tcPr>
                <w:p w14:paraId="6FD39D04">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p>
              </w:tc>
              <w:tc>
                <w:tcPr>
                  <w:tcW w:w="1883" w:type="dxa"/>
                  <w:vAlign w:val="center"/>
                </w:tcPr>
                <w:p w14:paraId="194BFE4F">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eastAsia" w:ascii="Times New Roman" w:hAnsi="Times New Roman" w:eastAsia="宋体" w:cs="Times New Roman"/>
                      <w:sz w:val="21"/>
                      <w:szCs w:val="21"/>
                      <w:u w:val="single"/>
                      <w:lang w:eastAsia="zh-CN"/>
                    </w:rPr>
                  </w:pPr>
                  <w:r>
                    <w:rPr>
                      <w:rFonts w:hint="eastAsia" w:cs="Times New Roman"/>
                      <w:sz w:val="21"/>
                      <w:szCs w:val="21"/>
                      <w:u w:val="single"/>
                      <w:lang w:eastAsia="zh-CN"/>
                    </w:rPr>
                    <w:t>生物质灰渣</w:t>
                  </w:r>
                </w:p>
              </w:tc>
              <w:tc>
                <w:tcPr>
                  <w:tcW w:w="1482" w:type="dxa"/>
                  <w:vAlign w:val="center"/>
                </w:tcPr>
                <w:p w14:paraId="5F13DA83">
                  <w:pPr>
                    <w:jc w:val="center"/>
                    <w:rPr>
                      <w:rFonts w:hint="eastAsia"/>
                      <w:lang w:val="en-US" w:eastAsia="zh-CN"/>
                    </w:rPr>
                  </w:pPr>
                  <w:r>
                    <w:rPr>
                      <w:rFonts w:hint="eastAsia"/>
                      <w:lang w:val="en-US" w:eastAsia="zh-CN"/>
                    </w:rPr>
                    <w:t>SW03</w:t>
                  </w:r>
                </w:p>
                <w:p w14:paraId="402E97DB">
                  <w:pPr>
                    <w:jc w:val="center"/>
                    <w:rPr>
                      <w:rFonts w:hint="default"/>
                      <w:lang w:val="en-US" w:eastAsia="zh-CN"/>
                    </w:rPr>
                  </w:pPr>
                  <w:r>
                    <w:rPr>
                      <w:rFonts w:hint="eastAsia"/>
                      <w:lang w:val="en-US" w:eastAsia="zh-CN"/>
                    </w:rPr>
                    <w:t>900-099-S03</w:t>
                  </w:r>
                </w:p>
              </w:tc>
              <w:tc>
                <w:tcPr>
                  <w:tcW w:w="1022" w:type="dxa"/>
                  <w:vAlign w:val="center"/>
                </w:tcPr>
                <w:p w14:paraId="76EAAC54">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7.56</w:t>
                  </w:r>
                </w:p>
              </w:tc>
              <w:tc>
                <w:tcPr>
                  <w:tcW w:w="3233" w:type="dxa"/>
                  <w:vAlign w:val="center"/>
                </w:tcPr>
                <w:p w14:paraId="1FADC7CA">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由周边农户收集用于农田施肥</w:t>
                  </w:r>
                </w:p>
              </w:tc>
            </w:tr>
            <w:tr w14:paraId="2108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21" w:type="dxa"/>
                  <w:vAlign w:val="center"/>
                </w:tcPr>
                <w:p w14:paraId="142AA5C0">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eastAsia"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6</w:t>
                  </w:r>
                </w:p>
              </w:tc>
              <w:tc>
                <w:tcPr>
                  <w:tcW w:w="1101" w:type="dxa"/>
                  <w:vMerge w:val="restart"/>
                  <w:vAlign w:val="center"/>
                </w:tcPr>
                <w:p w14:paraId="2F1F7062">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危险废物</w:t>
                  </w:r>
                </w:p>
              </w:tc>
              <w:tc>
                <w:tcPr>
                  <w:tcW w:w="1883" w:type="dxa"/>
                  <w:vAlign w:val="center"/>
                </w:tcPr>
                <w:p w14:paraId="6A66420C">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废润滑油桶</w:t>
                  </w:r>
                </w:p>
              </w:tc>
              <w:tc>
                <w:tcPr>
                  <w:tcW w:w="1482" w:type="dxa"/>
                  <w:vAlign w:val="center"/>
                </w:tcPr>
                <w:p w14:paraId="74F5C71B">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HW08</w:t>
                  </w:r>
                </w:p>
                <w:p w14:paraId="789A07AD">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900-249-08</w:t>
                  </w:r>
                </w:p>
              </w:tc>
              <w:tc>
                <w:tcPr>
                  <w:tcW w:w="1022" w:type="dxa"/>
                  <w:vAlign w:val="center"/>
                </w:tcPr>
                <w:p w14:paraId="684854CC">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0.02</w:t>
                  </w:r>
                </w:p>
              </w:tc>
              <w:tc>
                <w:tcPr>
                  <w:tcW w:w="3233" w:type="dxa"/>
                  <w:vMerge w:val="restart"/>
                  <w:vAlign w:val="center"/>
                </w:tcPr>
                <w:p w14:paraId="760988B2">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暂存于危废暂存间，定期交由有资质单位处置</w:t>
                  </w:r>
                </w:p>
              </w:tc>
            </w:tr>
            <w:tr w14:paraId="610E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97" w:hRule="atLeast"/>
                <w:jc w:val="center"/>
              </w:trPr>
              <w:tc>
                <w:tcPr>
                  <w:tcW w:w="421" w:type="dxa"/>
                  <w:vAlign w:val="center"/>
                </w:tcPr>
                <w:p w14:paraId="0E3C816C">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eastAsia"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7</w:t>
                  </w:r>
                </w:p>
              </w:tc>
              <w:tc>
                <w:tcPr>
                  <w:tcW w:w="1101" w:type="dxa"/>
                  <w:vMerge w:val="continue"/>
                  <w:vAlign w:val="center"/>
                </w:tcPr>
                <w:p w14:paraId="177F7113">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single"/>
                    </w:rPr>
                  </w:pPr>
                </w:p>
              </w:tc>
              <w:tc>
                <w:tcPr>
                  <w:tcW w:w="1883" w:type="dxa"/>
                  <w:vAlign w:val="center"/>
                </w:tcPr>
                <w:p w14:paraId="300BD8A1">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废含油抹布</w:t>
                  </w:r>
                </w:p>
              </w:tc>
              <w:tc>
                <w:tcPr>
                  <w:tcW w:w="1482" w:type="dxa"/>
                  <w:vAlign w:val="center"/>
                </w:tcPr>
                <w:p w14:paraId="06899C5F">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HW49</w:t>
                  </w:r>
                </w:p>
                <w:p w14:paraId="1E5B5E8E">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900-041-49</w:t>
                  </w:r>
                </w:p>
              </w:tc>
              <w:tc>
                <w:tcPr>
                  <w:tcW w:w="1022" w:type="dxa"/>
                  <w:vAlign w:val="center"/>
                </w:tcPr>
                <w:p w14:paraId="31F59D66">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0.05</w:t>
                  </w:r>
                </w:p>
              </w:tc>
              <w:tc>
                <w:tcPr>
                  <w:tcW w:w="3233" w:type="dxa"/>
                  <w:vMerge w:val="continue"/>
                  <w:vAlign w:val="center"/>
                </w:tcPr>
                <w:p w14:paraId="4C212400">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single"/>
                    </w:rPr>
                  </w:pPr>
                </w:p>
              </w:tc>
            </w:tr>
          </w:tbl>
          <w:p w14:paraId="4F269B64">
            <w:pPr>
              <w:pStyle w:val="20"/>
              <w:keepNext w:val="0"/>
              <w:keepLines w:val="0"/>
              <w:pageBreakBefore w:val="0"/>
              <w:widowControl/>
              <w:kinsoku/>
              <w:wordWrap/>
              <w:overflowPunct/>
              <w:topLinePunct w:val="0"/>
              <w:autoSpaceDE/>
              <w:autoSpaceDN/>
              <w:bidi w:val="0"/>
              <w:adjustRightInd w:val="0"/>
              <w:snapToGrid w:val="0"/>
              <w:spacing w:line="360" w:lineRule="auto"/>
              <w:ind w:firstLine="0"/>
              <w:textAlignment w:val="auto"/>
              <w:rPr>
                <w:rFonts w:hint="default" w:ascii="Times New Roman" w:hAnsi="Times New Roman" w:eastAsia="宋体" w:cs="Times New Roman"/>
                <w:b/>
                <w:bCs/>
                <w:sz w:val="24"/>
                <w:szCs w:val="24"/>
                <w:u w:val="none"/>
              </w:rPr>
            </w:pPr>
            <w:r>
              <w:rPr>
                <w:rFonts w:hint="default" w:ascii="Times New Roman" w:hAnsi="Times New Roman" w:eastAsia="宋体" w:cs="Times New Roman"/>
                <w:b/>
                <w:bCs/>
                <w:sz w:val="24"/>
                <w:szCs w:val="24"/>
                <w:u w:val="none"/>
              </w:rPr>
              <w:t>表4.5-2   危险废物汇总样表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956"/>
              <w:gridCol w:w="1403"/>
              <w:gridCol w:w="908"/>
              <w:gridCol w:w="883"/>
              <w:gridCol w:w="1180"/>
              <w:gridCol w:w="667"/>
              <w:gridCol w:w="689"/>
              <w:gridCol w:w="848"/>
              <w:gridCol w:w="1129"/>
            </w:tblGrid>
            <w:tr w14:paraId="0238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3" w:type="dxa"/>
                  <w:vAlign w:val="center"/>
                </w:tcPr>
                <w:p w14:paraId="4B687BDD">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序号</w:t>
                  </w:r>
                </w:p>
              </w:tc>
              <w:tc>
                <w:tcPr>
                  <w:tcW w:w="956" w:type="dxa"/>
                  <w:vAlign w:val="center"/>
                </w:tcPr>
                <w:p w14:paraId="7509A05D">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危险废物名称</w:t>
                  </w:r>
                </w:p>
              </w:tc>
              <w:tc>
                <w:tcPr>
                  <w:tcW w:w="1403" w:type="dxa"/>
                  <w:vAlign w:val="center"/>
                </w:tcPr>
                <w:p w14:paraId="5B0BA114">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危险废物类别</w:t>
                  </w:r>
                </w:p>
              </w:tc>
              <w:tc>
                <w:tcPr>
                  <w:tcW w:w="908" w:type="dxa"/>
                  <w:vAlign w:val="center"/>
                </w:tcPr>
                <w:p w14:paraId="08B47132">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危险废物代码</w:t>
                  </w:r>
                </w:p>
              </w:tc>
              <w:tc>
                <w:tcPr>
                  <w:tcW w:w="883" w:type="dxa"/>
                  <w:vAlign w:val="center"/>
                </w:tcPr>
                <w:p w14:paraId="02BD681D">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产生量（t/a）</w:t>
                  </w:r>
                </w:p>
              </w:tc>
              <w:tc>
                <w:tcPr>
                  <w:tcW w:w="1180" w:type="dxa"/>
                  <w:vAlign w:val="center"/>
                </w:tcPr>
                <w:p w14:paraId="00E69C2B">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产生工序及装置</w:t>
                  </w:r>
                </w:p>
              </w:tc>
              <w:tc>
                <w:tcPr>
                  <w:tcW w:w="667" w:type="dxa"/>
                  <w:vAlign w:val="center"/>
                </w:tcPr>
                <w:p w14:paraId="20D2EBEE">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形态</w:t>
                  </w:r>
                </w:p>
              </w:tc>
              <w:tc>
                <w:tcPr>
                  <w:tcW w:w="689" w:type="dxa"/>
                  <w:vAlign w:val="center"/>
                </w:tcPr>
                <w:p w14:paraId="29B54457">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产废周期</w:t>
                  </w:r>
                </w:p>
              </w:tc>
              <w:tc>
                <w:tcPr>
                  <w:tcW w:w="848" w:type="dxa"/>
                  <w:vAlign w:val="center"/>
                </w:tcPr>
                <w:p w14:paraId="4A025E53">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危险</w:t>
                  </w:r>
                </w:p>
                <w:p w14:paraId="0212C550">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特性</w:t>
                  </w:r>
                </w:p>
              </w:tc>
              <w:tc>
                <w:tcPr>
                  <w:tcW w:w="1129" w:type="dxa"/>
                  <w:vAlign w:val="center"/>
                </w:tcPr>
                <w:p w14:paraId="55630388">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污染防治措施</w:t>
                  </w:r>
                </w:p>
              </w:tc>
            </w:tr>
            <w:tr w14:paraId="028B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3" w:type="dxa"/>
                  <w:vAlign w:val="center"/>
                </w:tcPr>
                <w:p w14:paraId="408B130B">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w:t>
                  </w:r>
                </w:p>
              </w:tc>
              <w:tc>
                <w:tcPr>
                  <w:tcW w:w="956" w:type="dxa"/>
                  <w:vAlign w:val="center"/>
                </w:tcPr>
                <w:p w14:paraId="6941E8DE">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废润滑油桶</w:t>
                  </w:r>
                </w:p>
              </w:tc>
              <w:tc>
                <w:tcPr>
                  <w:tcW w:w="1403" w:type="dxa"/>
                  <w:vAlign w:val="center"/>
                </w:tcPr>
                <w:p w14:paraId="6034ABEE">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HW08废矿物油与含矿物油废物</w:t>
                  </w:r>
                </w:p>
              </w:tc>
              <w:tc>
                <w:tcPr>
                  <w:tcW w:w="908" w:type="dxa"/>
                  <w:vAlign w:val="center"/>
                </w:tcPr>
                <w:p w14:paraId="21EFDD97">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900-249-08</w:t>
                  </w:r>
                </w:p>
              </w:tc>
              <w:tc>
                <w:tcPr>
                  <w:tcW w:w="883" w:type="dxa"/>
                  <w:vAlign w:val="center"/>
                </w:tcPr>
                <w:p w14:paraId="04E36151">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0.02</w:t>
                  </w:r>
                </w:p>
              </w:tc>
              <w:tc>
                <w:tcPr>
                  <w:tcW w:w="1180" w:type="dxa"/>
                  <w:vAlign w:val="center"/>
                </w:tcPr>
                <w:p w14:paraId="5590FDB0">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维修、维护设备</w:t>
                  </w:r>
                </w:p>
              </w:tc>
              <w:tc>
                <w:tcPr>
                  <w:tcW w:w="667" w:type="dxa"/>
                  <w:vAlign w:val="center"/>
                </w:tcPr>
                <w:p w14:paraId="5F2AD15E">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液态</w:t>
                  </w:r>
                </w:p>
              </w:tc>
              <w:tc>
                <w:tcPr>
                  <w:tcW w:w="689" w:type="dxa"/>
                  <w:vAlign w:val="center"/>
                </w:tcPr>
                <w:p w14:paraId="267C14F7">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年</w:t>
                  </w:r>
                </w:p>
              </w:tc>
              <w:tc>
                <w:tcPr>
                  <w:tcW w:w="848" w:type="dxa"/>
                  <w:vAlign w:val="center"/>
                </w:tcPr>
                <w:p w14:paraId="364B2A75">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T，I</w:t>
                  </w:r>
                </w:p>
              </w:tc>
              <w:tc>
                <w:tcPr>
                  <w:tcW w:w="1129" w:type="dxa"/>
                  <w:vMerge w:val="restart"/>
                  <w:vAlign w:val="center"/>
                </w:tcPr>
                <w:p w14:paraId="7FB06EBC">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分区暂存于危废暂存间，定期交由有资质单位处置</w:t>
                  </w:r>
                </w:p>
              </w:tc>
            </w:tr>
            <w:tr w14:paraId="74A4C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3" w:type="dxa"/>
                  <w:vAlign w:val="center"/>
                </w:tcPr>
                <w:p w14:paraId="51023EF2">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2</w:t>
                  </w:r>
                </w:p>
              </w:tc>
              <w:tc>
                <w:tcPr>
                  <w:tcW w:w="956" w:type="dxa"/>
                  <w:vAlign w:val="center"/>
                </w:tcPr>
                <w:p w14:paraId="2D1B01CC">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废含油抹布</w:t>
                  </w:r>
                </w:p>
              </w:tc>
              <w:tc>
                <w:tcPr>
                  <w:tcW w:w="1403" w:type="dxa"/>
                  <w:vAlign w:val="center"/>
                </w:tcPr>
                <w:p w14:paraId="6F2E6445">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HW49 其他废物</w:t>
                  </w:r>
                </w:p>
              </w:tc>
              <w:tc>
                <w:tcPr>
                  <w:tcW w:w="908" w:type="dxa"/>
                  <w:vAlign w:val="center"/>
                </w:tcPr>
                <w:p w14:paraId="24FB35EB">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900-041-49</w:t>
                  </w:r>
                </w:p>
              </w:tc>
              <w:tc>
                <w:tcPr>
                  <w:tcW w:w="883" w:type="dxa"/>
                  <w:vAlign w:val="center"/>
                </w:tcPr>
                <w:p w14:paraId="14D51630">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0.05</w:t>
                  </w:r>
                </w:p>
              </w:tc>
              <w:tc>
                <w:tcPr>
                  <w:tcW w:w="1180" w:type="dxa"/>
                  <w:vAlign w:val="center"/>
                </w:tcPr>
                <w:p w14:paraId="4B4C9B4E">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维修、维护设备</w:t>
                  </w:r>
                </w:p>
              </w:tc>
              <w:tc>
                <w:tcPr>
                  <w:tcW w:w="667" w:type="dxa"/>
                  <w:vAlign w:val="center"/>
                </w:tcPr>
                <w:p w14:paraId="3155BC54">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液态</w:t>
                  </w:r>
                </w:p>
              </w:tc>
              <w:tc>
                <w:tcPr>
                  <w:tcW w:w="689" w:type="dxa"/>
                  <w:vAlign w:val="center"/>
                </w:tcPr>
                <w:p w14:paraId="373AE671">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年</w:t>
                  </w:r>
                </w:p>
              </w:tc>
              <w:tc>
                <w:tcPr>
                  <w:tcW w:w="848" w:type="dxa"/>
                  <w:vAlign w:val="center"/>
                </w:tcPr>
                <w:p w14:paraId="713B3C9D">
                  <w:pPr>
                    <w:pStyle w:val="100"/>
                    <w:keepNext w:val="0"/>
                    <w:keepLines w:val="0"/>
                    <w:pageBreakBefore w:val="0"/>
                    <w:widowControl/>
                    <w:kinsoku/>
                    <w:wordWrap/>
                    <w:overflowPunct/>
                    <w:topLinePunct w:val="0"/>
                    <w:autoSpaceDN/>
                    <w:bidi w:val="0"/>
                    <w:adjustRightInd w:val="0"/>
                    <w:snapToGrid w:val="0"/>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T/In</w:t>
                  </w:r>
                </w:p>
              </w:tc>
              <w:tc>
                <w:tcPr>
                  <w:tcW w:w="1129" w:type="dxa"/>
                  <w:vMerge w:val="continue"/>
                  <w:vAlign w:val="center"/>
                </w:tcPr>
                <w:p w14:paraId="56AE8ED5">
                  <w:pPr>
                    <w:keepNext w:val="0"/>
                    <w:keepLines w:val="0"/>
                    <w:pageBreakBefore w:val="0"/>
                    <w:widowControl/>
                    <w:kinsoku/>
                    <w:wordWrap/>
                    <w:overflowPunct/>
                    <w:topLinePunct w:val="0"/>
                    <w:autoSpaceDE w:val="0"/>
                    <w:autoSpaceDN/>
                    <w:bidi w:val="0"/>
                    <w:adjustRightInd w:val="0"/>
                    <w:snapToGrid w:val="0"/>
                    <w:ind w:firstLine="0"/>
                    <w:jc w:val="center"/>
                    <w:textAlignment w:val="auto"/>
                    <w:rPr>
                      <w:rFonts w:hint="default" w:ascii="Times New Roman" w:hAnsi="Times New Roman" w:cs="Times New Roman"/>
                      <w:sz w:val="21"/>
                      <w:szCs w:val="21"/>
                      <w:u w:val="none"/>
                    </w:rPr>
                  </w:pPr>
                </w:p>
              </w:tc>
            </w:tr>
          </w:tbl>
          <w:p w14:paraId="58A3E65C">
            <w:pPr>
              <w:pStyle w:val="127"/>
              <w:ind w:firstLine="420"/>
              <w:rPr>
                <w:rFonts w:hint="default" w:ascii="Times New Roman" w:hAnsi="Times New Roman" w:cs="Times New Roman"/>
                <w:sz w:val="24"/>
                <w:szCs w:val="24"/>
                <w:u w:val="none"/>
              </w:rPr>
            </w:pPr>
            <w:r>
              <w:rPr>
                <w:rFonts w:hint="default" w:ascii="Times New Roman" w:hAnsi="Times New Roman" w:cs="Times New Roman"/>
                <w:sz w:val="24"/>
                <w:szCs w:val="24"/>
                <w:u w:val="none"/>
              </w:rPr>
              <w:t>本环评建议项目一般固体废物与危险废物分别存放在独立的一般固废暂存间和危险废物暂存间。其中危险废物堆放区域必须做到防风、防雨、防晒，分类堆放，设标识牌，并应按相关规定做好危险废物堆放区地面硬化、铺设防渗层，加强堆放区的防雨和防渗漏措施，以免其随雨水渗漏而造成地下水体的污染。同时企业应按要求建立转运、处理台账制度。厂内严禁自行焚烧各类固废。</w:t>
            </w:r>
          </w:p>
          <w:p w14:paraId="175BEED5">
            <w:pPr>
              <w:pStyle w:val="127"/>
              <w:ind w:firstLine="420"/>
              <w:rPr>
                <w:rFonts w:hint="default" w:ascii="Times New Roman" w:hAnsi="Times New Roman" w:cs="Times New Roman"/>
                <w:sz w:val="24"/>
                <w:szCs w:val="24"/>
                <w:u w:val="none"/>
              </w:rPr>
            </w:pPr>
            <w:r>
              <w:rPr>
                <w:rFonts w:hint="default" w:ascii="Times New Roman" w:hAnsi="Times New Roman" w:cs="Times New Roman"/>
                <w:sz w:val="24"/>
                <w:szCs w:val="24"/>
                <w:u w:val="none"/>
              </w:rPr>
              <w:t>厂区设置15m</w:t>
            </w:r>
            <w:r>
              <w:rPr>
                <w:rFonts w:hint="default" w:ascii="Times New Roman" w:hAnsi="Times New Roman" w:cs="Times New Roman"/>
                <w:sz w:val="24"/>
                <w:szCs w:val="24"/>
                <w:u w:val="none"/>
                <w:vertAlign w:val="superscript"/>
              </w:rPr>
              <w:t>2</w:t>
            </w:r>
            <w:r>
              <w:rPr>
                <w:rFonts w:hint="default" w:ascii="Times New Roman" w:hAnsi="Times New Roman" w:cs="Times New Roman"/>
                <w:sz w:val="24"/>
                <w:szCs w:val="24"/>
                <w:u w:val="none"/>
              </w:rPr>
              <w:t>一般工业固体废物暂存区，贮存场所要求如下：</w:t>
            </w:r>
          </w:p>
          <w:p w14:paraId="15BCD7F3">
            <w:pPr>
              <w:pStyle w:val="127"/>
              <w:ind w:firstLine="420"/>
              <w:rPr>
                <w:rFonts w:hint="default" w:ascii="Times New Roman" w:hAnsi="Times New Roman" w:cs="Times New Roman"/>
                <w:sz w:val="24"/>
                <w:szCs w:val="24"/>
                <w:u w:val="none"/>
              </w:rPr>
            </w:pPr>
            <w:r>
              <w:rPr>
                <w:rFonts w:hint="default" w:ascii="Times New Roman" w:hAnsi="Times New Roman" w:cs="Times New Roman"/>
                <w:sz w:val="24"/>
                <w:szCs w:val="24"/>
                <w:u w:val="none"/>
              </w:rPr>
              <w:t>①固体废物贮存场所要有防火、防扬散、防流失、防渗漏、防雨措施；并加强固体废弃物的分类存放管理，确保各类固废分类存放于固废暂存间内，不散乱堆放。</w:t>
            </w:r>
          </w:p>
          <w:p w14:paraId="48245144">
            <w:pPr>
              <w:pStyle w:val="127"/>
              <w:ind w:firstLine="420"/>
              <w:rPr>
                <w:rFonts w:hint="default" w:ascii="Times New Roman" w:hAnsi="Times New Roman" w:cs="Times New Roman"/>
                <w:sz w:val="24"/>
                <w:szCs w:val="24"/>
                <w:u w:val="none"/>
              </w:rPr>
            </w:pPr>
            <w:r>
              <w:rPr>
                <w:rFonts w:hint="default" w:ascii="Times New Roman" w:hAnsi="Times New Roman" w:cs="Times New Roman"/>
                <w:sz w:val="24"/>
                <w:szCs w:val="24"/>
                <w:u w:val="none"/>
              </w:rPr>
              <w:t>②固体废物贮存场所在醒目处设置一个标志牌。固废环境保护图形标志牌按照《环境保护图形标志》(GB15562.2-1995)规定制作。</w:t>
            </w:r>
          </w:p>
          <w:p w14:paraId="7D8194DB">
            <w:pPr>
              <w:pStyle w:val="127"/>
              <w:ind w:firstLine="420"/>
              <w:rPr>
                <w:rFonts w:hint="default" w:ascii="Times New Roman" w:hAnsi="Times New Roman" w:cs="Times New Roman"/>
                <w:sz w:val="24"/>
                <w:szCs w:val="24"/>
                <w:u w:val="none"/>
              </w:rPr>
            </w:pPr>
            <w:r>
              <w:rPr>
                <w:rFonts w:hint="default" w:ascii="Times New Roman" w:hAnsi="Times New Roman" w:cs="Times New Roman"/>
                <w:sz w:val="24"/>
                <w:szCs w:val="24"/>
                <w:u w:val="none"/>
              </w:rPr>
              <w:t>③企业应设置专门人员负责将废弃物运输到暂存间，进行分类堆放，在运输过程中，确保不撒漏、不混放。禁止一般工业固体废物和生活垃圾混入。</w:t>
            </w:r>
          </w:p>
          <w:p w14:paraId="1E6F8FD5">
            <w:pPr>
              <w:pStyle w:val="127"/>
              <w:ind w:firstLine="420"/>
              <w:rPr>
                <w:rFonts w:hint="default" w:ascii="Times New Roman" w:hAnsi="Times New Roman" w:cs="Times New Roman"/>
                <w:sz w:val="24"/>
                <w:szCs w:val="24"/>
                <w:u w:val="none"/>
              </w:rPr>
            </w:pPr>
            <w:r>
              <w:rPr>
                <w:rFonts w:hint="default" w:ascii="Times New Roman" w:hAnsi="Times New Roman" w:cs="Times New Roman"/>
                <w:sz w:val="24"/>
                <w:szCs w:val="24"/>
                <w:u w:val="none"/>
              </w:rPr>
              <w:t>④建立档案制度：应将入场的一般工业固体废物的种类和数量以及检查维护资料，详细记录在案，长期保存，供随时查阅。固废暂存间的固废应及时处置，不得停留较长时间。禁止在厂区内焚烧各类固废。</w:t>
            </w:r>
          </w:p>
          <w:p w14:paraId="0E4178C2">
            <w:pPr>
              <w:pStyle w:val="127"/>
              <w:ind w:firstLine="420"/>
              <w:rPr>
                <w:rFonts w:hint="default" w:ascii="Times New Roman" w:hAnsi="Times New Roman" w:cs="Times New Roman"/>
                <w:sz w:val="24"/>
                <w:szCs w:val="24"/>
                <w:u w:val="none"/>
              </w:rPr>
            </w:pPr>
            <w:r>
              <w:rPr>
                <w:rFonts w:hint="default" w:ascii="Times New Roman" w:hAnsi="Times New Roman" w:cs="Times New Roman"/>
                <w:sz w:val="24"/>
                <w:szCs w:val="24"/>
                <w:u w:val="none"/>
              </w:rPr>
              <w:t>⑤车间地面应收拾干净，各工段产生的废弃物应及时分类收集，不得外溢，及时转运。废弃物转运时，运输车辆需密闭，严禁泄漏。</w:t>
            </w:r>
          </w:p>
          <w:p w14:paraId="61F52589">
            <w:pPr>
              <w:pStyle w:val="127"/>
              <w:ind w:firstLine="420"/>
              <w:rPr>
                <w:rFonts w:hint="default" w:ascii="Times New Roman" w:hAnsi="Times New Roman" w:cs="Times New Roman"/>
                <w:sz w:val="24"/>
                <w:szCs w:val="24"/>
                <w:u w:val="none"/>
              </w:rPr>
            </w:pPr>
            <w:r>
              <w:rPr>
                <w:rFonts w:hint="default" w:ascii="Times New Roman" w:hAnsi="Times New Roman" w:cs="Times New Roman"/>
                <w:sz w:val="24"/>
                <w:szCs w:val="24"/>
                <w:u w:val="none"/>
              </w:rPr>
              <w:t>企业在厂内设置专门的危废暂存间，面积约为</w:t>
            </w:r>
            <w:r>
              <w:rPr>
                <w:rFonts w:hint="eastAsia" w:cs="Times New Roman"/>
                <w:sz w:val="24"/>
                <w:szCs w:val="24"/>
                <w:u w:val="none"/>
                <w:lang w:val="en-US" w:eastAsia="zh-CN"/>
              </w:rPr>
              <w:t>10</w:t>
            </w:r>
            <w:r>
              <w:rPr>
                <w:rFonts w:hint="default" w:ascii="Times New Roman" w:hAnsi="Times New Roman" w:cs="Times New Roman"/>
                <w:sz w:val="24"/>
                <w:szCs w:val="24"/>
                <w:u w:val="none"/>
              </w:rPr>
              <w:t>m</w:t>
            </w:r>
            <w:r>
              <w:rPr>
                <w:rFonts w:hint="default" w:ascii="Times New Roman" w:hAnsi="Times New Roman" w:cs="Times New Roman"/>
                <w:sz w:val="24"/>
                <w:szCs w:val="24"/>
                <w:u w:val="none"/>
                <w:vertAlign w:val="superscript"/>
              </w:rPr>
              <w:t>2</w:t>
            </w:r>
            <w:r>
              <w:rPr>
                <w:rFonts w:hint="default" w:ascii="Times New Roman" w:hAnsi="Times New Roman" w:cs="Times New Roman"/>
                <w:sz w:val="24"/>
                <w:szCs w:val="24"/>
                <w:u w:val="none"/>
              </w:rPr>
              <w:t>，并由专人负责危险废物的收集、暂存，避免二次污染。具体要求如下：</w:t>
            </w:r>
          </w:p>
          <w:p w14:paraId="13F57E45">
            <w:pPr>
              <w:pStyle w:val="127"/>
              <w:ind w:firstLine="420"/>
              <w:jc w:val="both"/>
              <w:rPr>
                <w:rFonts w:hint="default" w:ascii="Times New Roman" w:hAnsi="Times New Roman" w:cs="Times New Roman"/>
                <w:sz w:val="24"/>
                <w:szCs w:val="24"/>
                <w:u w:val="none"/>
              </w:rPr>
            </w:pPr>
            <w:r>
              <w:rPr>
                <w:rFonts w:hint="default" w:ascii="Times New Roman" w:hAnsi="Times New Roman" w:cs="Times New Roman"/>
                <w:sz w:val="24"/>
                <w:szCs w:val="24"/>
                <w:u w:val="none"/>
              </w:rPr>
              <w:t>①根据《危险废物鉴别技术规范》（HJ/T 298-2007）和《国家危险废物名录》，危废暂存间采取基础防渗层为0.5m粘土层，上铺2mm厚度高密度聚乙烯膜，再在上层铺10～15cm的水泥进行硬化，并涂防腐防渗涂层，并在周边设置围堰，在围堰内涂环氧树脂防渗，渗透系数≤10</w:t>
            </w:r>
            <w:r>
              <w:rPr>
                <w:rFonts w:hint="default" w:ascii="Times New Roman" w:hAnsi="Times New Roman" w:cs="Times New Roman"/>
                <w:sz w:val="24"/>
                <w:szCs w:val="24"/>
                <w:u w:val="none"/>
                <w:vertAlign w:val="superscript"/>
              </w:rPr>
              <w:t>-10</w:t>
            </w:r>
            <w:r>
              <w:rPr>
                <w:rFonts w:hint="default" w:ascii="Times New Roman" w:hAnsi="Times New Roman" w:cs="Times New Roman"/>
                <w:sz w:val="24"/>
                <w:szCs w:val="24"/>
                <w:u w:val="none"/>
              </w:rPr>
              <w:t>cm/s。同时贮存装置分类放置，设防雨、防风、防晒设施，避免污染物泄漏，污染环境。在危废间门口设置危废警示标志，由专人管理，设置严格的管理制度，无关人员不得进入危废暂存间。</w:t>
            </w:r>
          </w:p>
          <w:p w14:paraId="28C459CD">
            <w:pPr>
              <w:pStyle w:val="127"/>
              <w:ind w:firstLine="420"/>
              <w:rPr>
                <w:rFonts w:hint="default" w:ascii="Times New Roman" w:hAnsi="Times New Roman" w:cs="Times New Roman"/>
                <w:sz w:val="24"/>
                <w:szCs w:val="24"/>
                <w:u w:val="none"/>
              </w:rPr>
            </w:pPr>
            <w:r>
              <w:rPr>
                <w:rFonts w:hint="default" w:ascii="Times New Roman" w:hAnsi="Times New Roman" w:cs="Times New Roman"/>
                <w:sz w:val="24"/>
                <w:szCs w:val="24"/>
                <w:u w:val="none"/>
              </w:rPr>
              <w:t>②暂存间地面与裙脚要用坚固、防渗的材料建造。</w:t>
            </w:r>
          </w:p>
          <w:p w14:paraId="04D51972">
            <w:pPr>
              <w:pStyle w:val="127"/>
              <w:ind w:firstLine="420"/>
              <w:rPr>
                <w:rFonts w:hint="default" w:ascii="Times New Roman" w:hAnsi="Times New Roman" w:cs="Times New Roman"/>
                <w:sz w:val="24"/>
                <w:szCs w:val="24"/>
                <w:u w:val="none"/>
              </w:rPr>
            </w:pPr>
            <w:r>
              <w:rPr>
                <w:rFonts w:hint="default" w:ascii="Times New Roman" w:hAnsi="Times New Roman" w:cs="Times New Roman"/>
                <w:sz w:val="24"/>
                <w:szCs w:val="24"/>
                <w:u w:val="none"/>
              </w:rPr>
              <w:t>③暂存间用以存放装载液体、半固体危险废物容器的地方，必须有耐腐蚀的硬化地面，且表面无缝隙。</w:t>
            </w:r>
          </w:p>
          <w:p w14:paraId="3AF8F50D">
            <w:pPr>
              <w:pStyle w:val="127"/>
              <w:ind w:firstLine="420"/>
              <w:rPr>
                <w:rFonts w:hint="default" w:ascii="Times New Roman" w:hAnsi="Times New Roman" w:cs="Times New Roman"/>
                <w:sz w:val="24"/>
                <w:szCs w:val="24"/>
                <w:u w:val="none"/>
              </w:rPr>
            </w:pPr>
            <w:r>
              <w:rPr>
                <w:rFonts w:hint="default" w:ascii="Times New Roman" w:hAnsi="Times New Roman" w:cs="Times New Roman"/>
                <w:sz w:val="24"/>
                <w:szCs w:val="24"/>
                <w:u w:val="none"/>
              </w:rPr>
              <w:t>④不相容的危险废物必须分开存放，并设有隔离间隔短。</w:t>
            </w:r>
          </w:p>
          <w:p w14:paraId="38FF18B7">
            <w:pPr>
              <w:pStyle w:val="127"/>
              <w:ind w:firstLine="420"/>
              <w:rPr>
                <w:rFonts w:hint="default" w:ascii="Times New Roman" w:hAnsi="Times New Roman" w:cs="Times New Roman"/>
                <w:sz w:val="24"/>
                <w:szCs w:val="24"/>
                <w:u w:val="none"/>
              </w:rPr>
            </w:pPr>
            <w:r>
              <w:rPr>
                <w:rFonts w:hint="default" w:ascii="Times New Roman" w:hAnsi="Times New Roman" w:cs="Times New Roman"/>
                <w:sz w:val="24"/>
                <w:szCs w:val="24"/>
                <w:u w:val="none"/>
              </w:rPr>
              <w:t>⑤暂存间必须按《环境保护区图形标志-固体废物贮存（处置）场》（GB15562.2）的规定设置警示标志。</w:t>
            </w:r>
          </w:p>
          <w:p w14:paraId="0C4BD7C5">
            <w:pPr>
              <w:pStyle w:val="127"/>
              <w:ind w:firstLine="420"/>
              <w:jc w:val="both"/>
              <w:rPr>
                <w:rFonts w:hint="default" w:ascii="Times New Roman" w:hAnsi="Times New Roman" w:cs="Times New Roman"/>
                <w:sz w:val="24"/>
                <w:szCs w:val="24"/>
                <w:u w:val="none"/>
              </w:rPr>
            </w:pPr>
            <w:r>
              <w:rPr>
                <w:rFonts w:hint="default" w:ascii="Times New Roman" w:hAnsi="Times New Roman" w:cs="Times New Roman"/>
                <w:sz w:val="24"/>
                <w:szCs w:val="24"/>
                <w:u w:val="none"/>
              </w:rPr>
              <w:t>⑥作好危险废物情况的记录。记录上须注明危险废物的名称、来源、数量、特性和包装容器的类别、入库日期、存放库位、废物出库日期及接收单位名称。危险废物的记录和货单在危险废物回取后应继续保留3年。</w:t>
            </w:r>
          </w:p>
          <w:p w14:paraId="4240BD23">
            <w:pPr>
              <w:pStyle w:val="127"/>
              <w:ind w:firstLine="420"/>
              <w:rPr>
                <w:rFonts w:hint="default" w:ascii="Times New Roman" w:hAnsi="Times New Roman" w:cs="Times New Roman"/>
                <w:sz w:val="24"/>
                <w:szCs w:val="24"/>
                <w:u w:val="none"/>
              </w:rPr>
            </w:pPr>
            <w:r>
              <w:rPr>
                <w:rFonts w:hint="default" w:ascii="Times New Roman" w:hAnsi="Times New Roman" w:cs="Times New Roman"/>
                <w:sz w:val="24"/>
                <w:szCs w:val="24"/>
                <w:u w:val="none"/>
              </w:rPr>
              <w:t>分析可知，本项目固体废物去向明确，均能得到妥善处置，对周边环境影响较小。</w:t>
            </w:r>
          </w:p>
          <w:p w14:paraId="74EB2117">
            <w:pPr>
              <w:pStyle w:val="103"/>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rPr>
              <w:t>4.</w:t>
            </w:r>
            <w:r>
              <w:rPr>
                <w:rFonts w:hint="eastAsia" w:ascii="Times New Roman" w:hAnsi="Times New Roman" w:cs="Times New Roman"/>
                <w:b/>
                <w:bCs/>
                <w:sz w:val="24"/>
                <w:szCs w:val="24"/>
                <w:u w:val="none"/>
                <w:lang w:val="en-US" w:eastAsia="zh-CN"/>
              </w:rPr>
              <w:t>5</w:t>
            </w:r>
            <w:r>
              <w:rPr>
                <w:rFonts w:hint="default" w:ascii="Times New Roman" w:hAnsi="Times New Roman" w:cs="Times New Roman"/>
                <w:b/>
                <w:bCs/>
                <w:sz w:val="24"/>
                <w:szCs w:val="24"/>
                <w:u w:val="none"/>
              </w:rPr>
              <w:t>地下水、土壤环境影响及防护措施</w:t>
            </w:r>
          </w:p>
          <w:p w14:paraId="77708EA3">
            <w:pPr>
              <w:pStyle w:val="103"/>
              <w:rPr>
                <w:rFonts w:hint="default" w:ascii="Times New Roman" w:hAnsi="Times New Roman" w:cs="Times New Roman"/>
                <w:sz w:val="24"/>
                <w:szCs w:val="24"/>
                <w:u w:val="none"/>
              </w:rPr>
            </w:pPr>
            <w:r>
              <w:rPr>
                <w:rFonts w:hint="default" w:ascii="Times New Roman" w:hAnsi="Times New Roman" w:cs="Times New Roman"/>
                <w:sz w:val="24"/>
                <w:szCs w:val="24"/>
                <w:u w:val="none"/>
              </w:rPr>
              <w:t>（1）污染物及污染途径</w:t>
            </w:r>
          </w:p>
          <w:p w14:paraId="72CA627A">
            <w:pPr>
              <w:pStyle w:val="103"/>
              <w:jc w:val="both"/>
              <w:rPr>
                <w:rFonts w:hint="default" w:ascii="Times New Roman" w:hAnsi="Times New Roman" w:cs="Times New Roman"/>
                <w:sz w:val="24"/>
                <w:szCs w:val="24"/>
                <w:u w:val="none"/>
              </w:rPr>
            </w:pPr>
            <w:r>
              <w:rPr>
                <w:rFonts w:hint="default" w:ascii="Times New Roman" w:hAnsi="Times New Roman" w:cs="Times New Roman"/>
                <w:sz w:val="24"/>
                <w:szCs w:val="24"/>
                <w:u w:val="none"/>
              </w:rPr>
              <w:t>项目危废暂存间拟采用C30混凝土铺底，再进行防渗漆处理；设备均为地面以上设备，不与天然土壤直接接触，因此厂内地下水污染源主要是危废暂存间发生的渗漏等。污染物污染地下水的途径主要包括：危废暂存间等公辅设施防渗措施不到位。</w:t>
            </w:r>
          </w:p>
          <w:p w14:paraId="1A371263">
            <w:pPr>
              <w:pStyle w:val="103"/>
              <w:rPr>
                <w:rFonts w:hint="default" w:ascii="Times New Roman" w:hAnsi="Times New Roman" w:cs="Times New Roman"/>
                <w:sz w:val="24"/>
                <w:szCs w:val="24"/>
                <w:u w:val="none"/>
              </w:rPr>
            </w:pPr>
            <w:r>
              <w:rPr>
                <w:rFonts w:hint="default" w:ascii="Times New Roman" w:hAnsi="Times New Roman" w:cs="Times New Roman"/>
                <w:sz w:val="24"/>
                <w:szCs w:val="24"/>
                <w:u w:val="none"/>
              </w:rPr>
              <w:t>（2）污染防控措施</w:t>
            </w:r>
          </w:p>
          <w:p w14:paraId="7B12542A">
            <w:pPr>
              <w:pStyle w:val="103"/>
              <w:jc w:val="both"/>
              <w:rPr>
                <w:rFonts w:hint="default" w:ascii="Times New Roman" w:hAnsi="Times New Roman" w:cs="Times New Roman"/>
                <w:sz w:val="24"/>
                <w:szCs w:val="24"/>
                <w:u w:val="none"/>
              </w:rPr>
            </w:pPr>
            <w:r>
              <w:rPr>
                <w:rFonts w:hint="default" w:ascii="Times New Roman" w:hAnsi="Times New Roman" w:cs="Times New Roman"/>
                <w:sz w:val="24"/>
                <w:szCs w:val="24"/>
                <w:u w:val="none"/>
              </w:rPr>
              <w:t>根据《环境影响评价技术导则—地下水环境》（HJ610-2016）要求，重点防渗区防渗性能应大于等于6.0m厚，渗透系数K≤10</w:t>
            </w:r>
            <w:r>
              <w:rPr>
                <w:rFonts w:hint="default" w:ascii="Times New Roman" w:hAnsi="Times New Roman" w:cs="Times New Roman"/>
                <w:sz w:val="24"/>
                <w:szCs w:val="24"/>
                <w:u w:val="none"/>
                <w:vertAlign w:val="superscript"/>
              </w:rPr>
              <w:t>-7</w:t>
            </w:r>
            <w:r>
              <w:rPr>
                <w:rFonts w:hint="default" w:ascii="Times New Roman" w:hAnsi="Times New Roman" w:cs="Times New Roman"/>
                <w:sz w:val="24"/>
                <w:szCs w:val="24"/>
                <w:u w:val="none"/>
              </w:rPr>
              <w:t>cm/s的等效黏土层的防渗性能。重点防渗区地面根据</w:t>
            </w:r>
            <w:r>
              <w:rPr>
                <w:rFonts w:hint="default" w:ascii="Times New Roman" w:hAnsi="Times New Roman" w:cs="Times New Roman"/>
                <w:sz w:val="24"/>
                <w:szCs w:val="24"/>
                <w:u w:val="none"/>
                <w:lang w:val="zh-CN"/>
              </w:rPr>
              <w:t>《危险废物贮存污染控制标准》（GB 18597—2023）</w:t>
            </w:r>
            <w:r>
              <w:rPr>
                <w:rFonts w:hint="default" w:ascii="Times New Roman" w:hAnsi="Times New Roman" w:cs="Times New Roman"/>
                <w:sz w:val="24"/>
                <w:szCs w:val="24"/>
                <w:u w:val="none"/>
              </w:rPr>
              <w:t>要求执行，地面采用防水土工布铺底，上铺混凝土层进行硬化，然后进行防渗漆处理。通过上述措施，可保证危废暂存间所在区域地面防渗层渗透系数≤10</w:t>
            </w:r>
            <w:r>
              <w:rPr>
                <w:rFonts w:hint="default" w:ascii="Times New Roman" w:hAnsi="Times New Roman" w:cs="Times New Roman"/>
                <w:sz w:val="24"/>
                <w:szCs w:val="24"/>
                <w:u w:val="none"/>
                <w:vertAlign w:val="superscript"/>
              </w:rPr>
              <w:t>-10</w:t>
            </w:r>
            <w:r>
              <w:rPr>
                <w:rFonts w:hint="default" w:ascii="Times New Roman" w:hAnsi="Times New Roman" w:cs="Times New Roman"/>
                <w:sz w:val="24"/>
                <w:szCs w:val="24"/>
                <w:u w:val="none"/>
              </w:rPr>
              <w:t>cm/s。</w:t>
            </w:r>
          </w:p>
          <w:p w14:paraId="78C2C785">
            <w:pPr>
              <w:pStyle w:val="103"/>
              <w:jc w:val="both"/>
              <w:rPr>
                <w:rFonts w:hint="default" w:ascii="Times New Roman" w:hAnsi="Times New Roman" w:cs="Times New Roman"/>
                <w:sz w:val="24"/>
                <w:szCs w:val="24"/>
                <w:u w:val="none"/>
              </w:rPr>
            </w:pPr>
            <w:r>
              <w:rPr>
                <w:rFonts w:hint="default" w:ascii="Times New Roman" w:hAnsi="Times New Roman" w:cs="Times New Roman"/>
                <w:sz w:val="24"/>
                <w:szCs w:val="24"/>
                <w:u w:val="none"/>
              </w:rPr>
              <w:t>在项目投入运营后，建设单位应做危废暂存间、化粪池和污水管道等容易渗漏引起地下水、土壤污染的区域的管理，定期巡查，避免发生跑冒滴漏现象。如发现泄漏，应立即采取应急措施，确保不会对项目所在地及周围土壤造成大的影响。</w:t>
            </w:r>
          </w:p>
          <w:p w14:paraId="7890D2CD">
            <w:pPr>
              <w:pStyle w:val="103"/>
              <w:rPr>
                <w:rFonts w:hint="default" w:ascii="Times New Roman" w:hAnsi="Times New Roman" w:cs="Times New Roman"/>
                <w:sz w:val="24"/>
                <w:szCs w:val="24"/>
                <w:u w:val="none"/>
              </w:rPr>
            </w:pPr>
            <w:r>
              <w:rPr>
                <w:rFonts w:hint="default" w:ascii="Times New Roman" w:hAnsi="Times New Roman" w:cs="Times New Roman"/>
                <w:sz w:val="24"/>
                <w:szCs w:val="24"/>
                <w:u w:val="none"/>
              </w:rPr>
              <w:t>在采取了相应的地下水、土壤环境污染防控措施后，项目地下水、土壤环境影响是可以接受的。</w:t>
            </w:r>
          </w:p>
          <w:p w14:paraId="369430AF">
            <w:pPr>
              <w:pStyle w:val="103"/>
              <w:rPr>
                <w:rFonts w:hint="default" w:ascii="Times New Roman" w:hAnsi="Times New Roman" w:cs="Times New Roman"/>
                <w:sz w:val="24"/>
                <w:szCs w:val="24"/>
                <w:u w:val="none"/>
              </w:rPr>
            </w:pPr>
            <w:r>
              <w:rPr>
                <w:rFonts w:hint="default" w:ascii="Times New Roman" w:hAnsi="Times New Roman" w:cs="Times New Roman"/>
                <w:sz w:val="24"/>
                <w:szCs w:val="24"/>
                <w:u w:val="none"/>
              </w:rPr>
              <w:t>（3）跟踪监测</w:t>
            </w:r>
          </w:p>
          <w:p w14:paraId="36A61C24">
            <w:pPr>
              <w:pStyle w:val="103"/>
              <w:rPr>
                <w:rFonts w:hint="default" w:ascii="Times New Roman" w:hAnsi="Times New Roman" w:cs="Times New Roman"/>
                <w:sz w:val="24"/>
                <w:szCs w:val="24"/>
                <w:u w:val="none"/>
              </w:rPr>
            </w:pPr>
            <w:r>
              <w:rPr>
                <w:rFonts w:hint="default" w:ascii="Times New Roman" w:hAnsi="Times New Roman" w:cs="Times New Roman"/>
                <w:sz w:val="24"/>
                <w:szCs w:val="24"/>
                <w:u w:val="none"/>
              </w:rPr>
              <w:t>项目建设单位按照报告提出的要求积极落实处理措施，废气处理设备正常运行，产生的固体废弃物得到妥善处置，对地下水、土壤环境影响是可接受的，因此无需进行跟踪监测。</w:t>
            </w:r>
          </w:p>
          <w:p w14:paraId="5BBE257A">
            <w:pPr>
              <w:pStyle w:val="103"/>
              <w:rPr>
                <w:rFonts w:hint="default" w:ascii="Times New Roman" w:hAnsi="Times New Roman" w:cs="Times New Roman"/>
                <w:b/>
                <w:bCs/>
                <w:sz w:val="24"/>
                <w:szCs w:val="24"/>
                <w:u w:val="single"/>
              </w:rPr>
            </w:pPr>
            <w:r>
              <w:rPr>
                <w:rFonts w:hint="default" w:ascii="Times New Roman" w:hAnsi="Times New Roman" w:cs="Times New Roman"/>
                <w:b/>
                <w:bCs/>
                <w:sz w:val="24"/>
                <w:szCs w:val="24"/>
                <w:u w:val="single"/>
              </w:rPr>
              <w:t>4.</w:t>
            </w:r>
            <w:r>
              <w:rPr>
                <w:rFonts w:hint="eastAsia" w:ascii="Times New Roman" w:hAnsi="Times New Roman" w:cs="Times New Roman"/>
                <w:b/>
                <w:bCs/>
                <w:sz w:val="24"/>
                <w:szCs w:val="24"/>
                <w:u w:val="single"/>
                <w:lang w:val="en-US" w:eastAsia="zh-CN"/>
              </w:rPr>
              <w:t>6</w:t>
            </w:r>
            <w:r>
              <w:rPr>
                <w:rFonts w:hint="default" w:ascii="Times New Roman" w:hAnsi="Times New Roman" w:cs="Times New Roman"/>
                <w:b/>
                <w:bCs/>
                <w:sz w:val="24"/>
                <w:szCs w:val="24"/>
                <w:u w:val="single"/>
              </w:rPr>
              <w:t>环境风险</w:t>
            </w:r>
          </w:p>
          <w:p w14:paraId="4F221E29">
            <w:pPr>
              <w:pStyle w:val="103"/>
              <w:jc w:val="both"/>
              <w:rPr>
                <w:rFonts w:hint="default" w:ascii="Times New Roman" w:hAnsi="Times New Roman" w:cs="Times New Roman"/>
                <w:sz w:val="24"/>
                <w:szCs w:val="24"/>
                <w:u w:val="single"/>
              </w:rPr>
            </w:pPr>
            <w:r>
              <w:rPr>
                <w:rFonts w:hint="default" w:ascii="Times New Roman" w:hAnsi="Times New Roman" w:cs="Times New Roman"/>
                <w:sz w:val="24"/>
                <w:szCs w:val="24"/>
                <w:u w:val="single"/>
              </w:rPr>
              <w:t>本项目属于水泥制品制造，本项目涉及危险物质主要有危险废物</w:t>
            </w:r>
            <w:r>
              <w:rPr>
                <w:rFonts w:hint="eastAsia" w:cs="Times New Roman"/>
                <w:sz w:val="24"/>
                <w:szCs w:val="24"/>
                <w:u w:val="single"/>
                <w:lang w:eastAsia="zh-CN"/>
              </w:rPr>
              <w:t>、机油等</w:t>
            </w:r>
            <w:r>
              <w:rPr>
                <w:rFonts w:hint="default" w:ascii="Times New Roman" w:hAnsi="Times New Roman" w:cs="Times New Roman"/>
                <w:sz w:val="24"/>
                <w:szCs w:val="24"/>
                <w:u w:val="single"/>
              </w:rPr>
              <w:t>，参照《建设项目环境风险评价技术导则》（HJ169-2018）附录C中表C.1行业及生产工艺（M），本项目行业及生产工艺不属于其中涉及危险物质使用、贮存的项目，对照《企业突发环境事件风险分级方法》（HJ941-2018）中附录A，其中危险废物属于突发环境风险物质。项目涉及的突发环境风险物质贮存量及其临界量如下表。</w:t>
            </w:r>
          </w:p>
          <w:p w14:paraId="0CC31D1B">
            <w:pPr>
              <w:pStyle w:val="20"/>
              <w:spacing w:line="360" w:lineRule="auto"/>
              <w:rPr>
                <w:rFonts w:hint="default" w:ascii="Times New Roman" w:hAnsi="Times New Roman" w:eastAsia="宋体" w:cs="Times New Roman"/>
                <w:b/>
                <w:bCs/>
                <w:sz w:val="24"/>
                <w:szCs w:val="24"/>
                <w:u w:val="single"/>
              </w:rPr>
            </w:pPr>
            <w:r>
              <w:rPr>
                <w:rFonts w:hint="default" w:ascii="Times New Roman" w:hAnsi="Times New Roman" w:eastAsia="宋体" w:cs="Times New Roman"/>
                <w:b/>
                <w:bCs/>
                <w:sz w:val="24"/>
                <w:szCs w:val="24"/>
                <w:u w:val="single"/>
              </w:rPr>
              <w:t>表4.</w:t>
            </w:r>
            <w:r>
              <w:rPr>
                <w:rFonts w:hint="eastAsia" w:ascii="Times New Roman" w:hAnsi="Times New Roman" w:eastAsia="宋体" w:cs="Times New Roman"/>
                <w:b/>
                <w:bCs/>
                <w:sz w:val="24"/>
                <w:szCs w:val="24"/>
                <w:u w:val="single"/>
                <w:lang w:val="en-US" w:eastAsia="zh-CN"/>
              </w:rPr>
              <w:t>6</w:t>
            </w:r>
            <w:r>
              <w:rPr>
                <w:rFonts w:hint="default" w:ascii="Times New Roman" w:hAnsi="Times New Roman" w:eastAsia="宋体" w:cs="Times New Roman"/>
                <w:b/>
                <w:bCs/>
                <w:sz w:val="24"/>
                <w:szCs w:val="24"/>
                <w:u w:val="single"/>
              </w:rPr>
              <w:t>-1   项目涉及的突发环境风险物质贮存量及其临界量一览表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3"/>
              <w:gridCol w:w="1392"/>
              <w:gridCol w:w="1212"/>
              <w:gridCol w:w="2163"/>
              <w:gridCol w:w="1410"/>
              <w:gridCol w:w="1196"/>
            </w:tblGrid>
            <w:tr w14:paraId="000A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5" w:type="dxa"/>
                  <w:vAlign w:val="center"/>
                </w:tcPr>
                <w:p w14:paraId="10DEC229">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名称</w:t>
                  </w:r>
                </w:p>
              </w:tc>
              <w:tc>
                <w:tcPr>
                  <w:tcW w:w="1393" w:type="dxa"/>
                  <w:vAlign w:val="center"/>
                </w:tcPr>
                <w:p w14:paraId="1FCDDE84">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类别</w:t>
                  </w:r>
                </w:p>
              </w:tc>
              <w:tc>
                <w:tcPr>
                  <w:tcW w:w="1213" w:type="dxa"/>
                  <w:vAlign w:val="center"/>
                </w:tcPr>
                <w:p w14:paraId="6B28B3CC">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最大暂存量（t）</w:t>
                  </w:r>
                </w:p>
              </w:tc>
              <w:tc>
                <w:tcPr>
                  <w:tcW w:w="2165" w:type="dxa"/>
                  <w:vAlign w:val="center"/>
                </w:tcPr>
                <w:p w14:paraId="734A31C3">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存放方式</w:t>
                  </w:r>
                </w:p>
              </w:tc>
              <w:tc>
                <w:tcPr>
                  <w:tcW w:w="1410" w:type="dxa"/>
                  <w:vAlign w:val="center"/>
                </w:tcPr>
                <w:p w14:paraId="51787A89">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附录中临界量（Qn/t）</w:t>
                  </w:r>
                </w:p>
              </w:tc>
              <w:tc>
                <w:tcPr>
                  <w:tcW w:w="1196" w:type="dxa"/>
                  <w:vAlign w:val="center"/>
                </w:tcPr>
                <w:p w14:paraId="4F296BE5">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Q值</w:t>
                  </w:r>
                </w:p>
              </w:tc>
            </w:tr>
            <w:tr w14:paraId="141C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5" w:type="dxa"/>
                  <w:vAlign w:val="center"/>
                </w:tcPr>
                <w:p w14:paraId="5C0733E7">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危险废物</w:t>
                  </w:r>
                </w:p>
              </w:tc>
              <w:tc>
                <w:tcPr>
                  <w:tcW w:w="1393" w:type="dxa"/>
                  <w:vAlign w:val="center"/>
                </w:tcPr>
                <w:p w14:paraId="67110777">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有毒有害</w:t>
                  </w:r>
                </w:p>
              </w:tc>
              <w:tc>
                <w:tcPr>
                  <w:tcW w:w="1213" w:type="dxa"/>
                  <w:vAlign w:val="center"/>
                </w:tcPr>
                <w:p w14:paraId="051F8376">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0.07</w:t>
                  </w:r>
                </w:p>
              </w:tc>
              <w:tc>
                <w:tcPr>
                  <w:tcW w:w="2165" w:type="dxa"/>
                  <w:vAlign w:val="center"/>
                </w:tcPr>
                <w:p w14:paraId="1A86C976">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收集后暂存在危废间</w:t>
                  </w:r>
                </w:p>
              </w:tc>
              <w:tc>
                <w:tcPr>
                  <w:tcW w:w="1410" w:type="dxa"/>
                  <w:vAlign w:val="center"/>
                </w:tcPr>
                <w:p w14:paraId="3A9FD758">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50</w:t>
                  </w:r>
                </w:p>
              </w:tc>
              <w:tc>
                <w:tcPr>
                  <w:tcW w:w="1196" w:type="dxa"/>
                  <w:vAlign w:val="center"/>
                </w:tcPr>
                <w:p w14:paraId="2FA7EDD0">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0.00014</w:t>
                  </w:r>
                </w:p>
              </w:tc>
            </w:tr>
            <w:tr w14:paraId="291D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65" w:type="dxa"/>
                  <w:vAlign w:val="center"/>
                </w:tcPr>
                <w:p w14:paraId="6C1489D2">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sz w:val="21"/>
                      <w:szCs w:val="21"/>
                      <w:u w:val="single"/>
                      <w:lang w:eastAsia="zh-CN"/>
                    </w:rPr>
                  </w:pPr>
                  <w:r>
                    <w:rPr>
                      <w:rFonts w:hint="eastAsia" w:cs="Times New Roman"/>
                      <w:sz w:val="21"/>
                      <w:szCs w:val="21"/>
                      <w:u w:val="single"/>
                      <w:lang w:eastAsia="zh-CN"/>
                    </w:rPr>
                    <w:t>机油</w:t>
                  </w:r>
                </w:p>
              </w:tc>
              <w:tc>
                <w:tcPr>
                  <w:tcW w:w="1393" w:type="dxa"/>
                  <w:vAlign w:val="center"/>
                </w:tcPr>
                <w:p w14:paraId="0A1219FA">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w:t>
                  </w:r>
                </w:p>
              </w:tc>
              <w:tc>
                <w:tcPr>
                  <w:tcW w:w="1213" w:type="dxa"/>
                  <w:vAlign w:val="center"/>
                </w:tcPr>
                <w:p w14:paraId="2C4E114A">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lang w:val="en-US" w:eastAsia="zh-CN"/>
                    </w:rPr>
                  </w:pPr>
                  <w:r>
                    <w:rPr>
                      <w:rFonts w:hint="eastAsia" w:cs="Times New Roman"/>
                      <w:sz w:val="21"/>
                      <w:szCs w:val="21"/>
                      <w:u w:val="single"/>
                      <w:lang w:val="en-US" w:eastAsia="zh-CN"/>
                    </w:rPr>
                    <w:t>0.5</w:t>
                  </w:r>
                </w:p>
              </w:tc>
              <w:tc>
                <w:tcPr>
                  <w:tcW w:w="2165" w:type="dxa"/>
                  <w:vAlign w:val="center"/>
                </w:tcPr>
                <w:p w14:paraId="281625EB">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sz w:val="21"/>
                      <w:szCs w:val="21"/>
                      <w:u w:val="single"/>
                      <w:lang w:eastAsia="zh-CN"/>
                    </w:rPr>
                  </w:pPr>
                  <w:r>
                    <w:rPr>
                      <w:rFonts w:hint="eastAsia" w:cs="Times New Roman"/>
                      <w:sz w:val="21"/>
                      <w:szCs w:val="21"/>
                      <w:u w:val="single"/>
                      <w:lang w:eastAsia="zh-CN"/>
                    </w:rPr>
                    <w:t>原料库</w:t>
                  </w:r>
                </w:p>
              </w:tc>
              <w:tc>
                <w:tcPr>
                  <w:tcW w:w="1410" w:type="dxa"/>
                  <w:vAlign w:val="center"/>
                </w:tcPr>
                <w:p w14:paraId="0A6C9C2C">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2500</w:t>
                  </w:r>
                </w:p>
              </w:tc>
              <w:tc>
                <w:tcPr>
                  <w:tcW w:w="1196" w:type="dxa"/>
                  <w:vAlign w:val="center"/>
                </w:tcPr>
                <w:p w14:paraId="69CD6616">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p>
              </w:tc>
            </w:tr>
          </w:tbl>
          <w:p w14:paraId="0DEE155F">
            <w:pPr>
              <w:pStyle w:val="58"/>
              <w:rPr>
                <w:rFonts w:hint="default" w:ascii="Times New Roman" w:hAnsi="Times New Roman" w:cs="Times New Roman"/>
                <w:sz w:val="24"/>
                <w:szCs w:val="24"/>
                <w:u w:val="single"/>
              </w:rPr>
            </w:pPr>
            <w:r>
              <w:rPr>
                <w:rFonts w:hint="default" w:ascii="Times New Roman" w:hAnsi="Times New Roman" w:cs="Times New Roman"/>
                <w:sz w:val="24"/>
                <w:szCs w:val="24"/>
                <w:u w:val="single"/>
              </w:rPr>
              <w:t>对项目风险进行分析，项目环境分析识别情况见下表。</w:t>
            </w:r>
          </w:p>
          <w:p w14:paraId="124CF603">
            <w:pPr>
              <w:pStyle w:val="20"/>
              <w:spacing w:line="360" w:lineRule="auto"/>
              <w:rPr>
                <w:rFonts w:hint="default" w:ascii="Times New Roman" w:hAnsi="Times New Roman" w:eastAsia="宋体" w:cs="Times New Roman"/>
                <w:b/>
                <w:bCs/>
                <w:sz w:val="24"/>
                <w:szCs w:val="24"/>
                <w:u w:val="single"/>
                <w:lang w:val="en-US" w:eastAsia="zh-CN"/>
              </w:rPr>
            </w:pPr>
            <w:r>
              <w:rPr>
                <w:rFonts w:hint="default" w:ascii="Times New Roman" w:hAnsi="Times New Roman" w:eastAsia="宋体" w:cs="Times New Roman"/>
                <w:b/>
                <w:bCs/>
                <w:sz w:val="24"/>
                <w:szCs w:val="24"/>
                <w:u w:val="single"/>
                <w:lang w:val="en-US" w:eastAsia="zh-CN"/>
              </w:rPr>
              <w:t>表4.</w:t>
            </w:r>
            <w:r>
              <w:rPr>
                <w:rFonts w:hint="eastAsia" w:ascii="Times New Roman" w:hAnsi="Times New Roman" w:eastAsia="宋体" w:cs="Times New Roman"/>
                <w:b/>
                <w:bCs/>
                <w:sz w:val="24"/>
                <w:szCs w:val="24"/>
                <w:u w:val="single"/>
                <w:lang w:val="en-US" w:eastAsia="zh-CN"/>
              </w:rPr>
              <w:t>6</w:t>
            </w:r>
            <w:r>
              <w:rPr>
                <w:rFonts w:hint="default" w:ascii="Times New Roman" w:hAnsi="Times New Roman" w:eastAsia="宋体" w:cs="Times New Roman"/>
                <w:b/>
                <w:bCs/>
                <w:sz w:val="24"/>
                <w:szCs w:val="24"/>
                <w:u w:val="single"/>
                <w:lang w:val="en-US" w:eastAsia="zh-CN"/>
              </w:rPr>
              <w:t>-2   项目环境风险识别情况表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269"/>
              <w:gridCol w:w="2119"/>
              <w:gridCol w:w="2034"/>
              <w:gridCol w:w="1524"/>
              <w:gridCol w:w="1519"/>
            </w:tblGrid>
            <w:tr w14:paraId="5337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5" w:type="dxa"/>
                  <w:vAlign w:val="center"/>
                </w:tcPr>
                <w:p w14:paraId="5E57EEE5">
                  <w:pPr>
                    <w:keepNext w:val="0"/>
                    <w:keepLines w:val="0"/>
                    <w:pageBreakBefore w:val="0"/>
                    <w:kinsoku/>
                    <w:wordWrap/>
                    <w:overflowPunct/>
                    <w:topLinePunct w:val="0"/>
                    <w:bidi w:val="0"/>
                    <w:adjustRightInd/>
                    <w:snapToGrid/>
                    <w:ind w:firstLine="0"/>
                    <w:jc w:val="center"/>
                    <w:textAlignment w:val="auto"/>
                    <w:rPr>
                      <w:rFonts w:hint="default" w:ascii="Times New Roman" w:hAnsi="Times New Roman" w:cs="Times New Roman"/>
                      <w:kern w:val="0"/>
                      <w:sz w:val="21"/>
                      <w:szCs w:val="21"/>
                      <w:u w:val="single"/>
                    </w:rPr>
                  </w:pPr>
                  <w:r>
                    <w:rPr>
                      <w:rFonts w:hint="default" w:ascii="Times New Roman" w:hAnsi="Times New Roman" w:cs="Times New Roman"/>
                      <w:kern w:val="0"/>
                      <w:sz w:val="21"/>
                      <w:szCs w:val="21"/>
                      <w:u w:val="single"/>
                    </w:rPr>
                    <w:t>序号</w:t>
                  </w:r>
                </w:p>
              </w:tc>
              <w:tc>
                <w:tcPr>
                  <w:tcW w:w="1162" w:type="dxa"/>
                  <w:vAlign w:val="center"/>
                </w:tcPr>
                <w:p w14:paraId="5B87C889">
                  <w:pPr>
                    <w:keepNext w:val="0"/>
                    <w:keepLines w:val="0"/>
                    <w:pageBreakBefore w:val="0"/>
                    <w:kinsoku/>
                    <w:wordWrap/>
                    <w:overflowPunct/>
                    <w:topLinePunct w:val="0"/>
                    <w:bidi w:val="0"/>
                    <w:adjustRightInd/>
                    <w:snapToGrid/>
                    <w:ind w:firstLine="0"/>
                    <w:jc w:val="center"/>
                    <w:textAlignment w:val="auto"/>
                    <w:rPr>
                      <w:rFonts w:hint="default" w:ascii="Times New Roman" w:hAnsi="Times New Roman" w:cs="Times New Roman"/>
                      <w:kern w:val="0"/>
                      <w:sz w:val="21"/>
                      <w:szCs w:val="21"/>
                      <w:u w:val="single"/>
                    </w:rPr>
                  </w:pPr>
                  <w:r>
                    <w:rPr>
                      <w:rFonts w:hint="default" w:ascii="Times New Roman" w:hAnsi="Times New Roman" w:cs="Times New Roman"/>
                      <w:kern w:val="0"/>
                      <w:sz w:val="21"/>
                      <w:szCs w:val="21"/>
                      <w:u w:val="single"/>
                    </w:rPr>
                    <w:t>危险单元</w:t>
                  </w:r>
                </w:p>
              </w:tc>
              <w:tc>
                <w:tcPr>
                  <w:tcW w:w="1941" w:type="dxa"/>
                  <w:vAlign w:val="center"/>
                </w:tcPr>
                <w:p w14:paraId="1D95E773">
                  <w:pPr>
                    <w:keepNext w:val="0"/>
                    <w:keepLines w:val="0"/>
                    <w:pageBreakBefore w:val="0"/>
                    <w:kinsoku/>
                    <w:wordWrap/>
                    <w:overflowPunct/>
                    <w:topLinePunct w:val="0"/>
                    <w:bidi w:val="0"/>
                    <w:adjustRightInd/>
                    <w:snapToGrid/>
                    <w:ind w:firstLine="0"/>
                    <w:jc w:val="center"/>
                    <w:textAlignment w:val="auto"/>
                    <w:rPr>
                      <w:rFonts w:hint="default" w:ascii="Times New Roman" w:hAnsi="Times New Roman" w:cs="Times New Roman"/>
                      <w:kern w:val="0"/>
                      <w:sz w:val="21"/>
                      <w:szCs w:val="21"/>
                      <w:u w:val="single"/>
                    </w:rPr>
                  </w:pPr>
                  <w:r>
                    <w:rPr>
                      <w:rFonts w:hint="default" w:ascii="Times New Roman" w:hAnsi="Times New Roman" w:cs="Times New Roman"/>
                      <w:kern w:val="0"/>
                      <w:sz w:val="21"/>
                      <w:szCs w:val="21"/>
                      <w:u w:val="single"/>
                    </w:rPr>
                    <w:t>风险源</w:t>
                  </w:r>
                </w:p>
              </w:tc>
              <w:tc>
                <w:tcPr>
                  <w:tcW w:w="1863" w:type="dxa"/>
                  <w:vAlign w:val="center"/>
                </w:tcPr>
                <w:p w14:paraId="0D7E08E9">
                  <w:pPr>
                    <w:keepNext w:val="0"/>
                    <w:keepLines w:val="0"/>
                    <w:pageBreakBefore w:val="0"/>
                    <w:kinsoku/>
                    <w:wordWrap/>
                    <w:overflowPunct/>
                    <w:topLinePunct w:val="0"/>
                    <w:bidi w:val="0"/>
                    <w:adjustRightInd/>
                    <w:snapToGrid/>
                    <w:ind w:firstLine="0"/>
                    <w:jc w:val="center"/>
                    <w:textAlignment w:val="auto"/>
                    <w:rPr>
                      <w:rFonts w:hint="default" w:ascii="Times New Roman" w:hAnsi="Times New Roman" w:cs="Times New Roman"/>
                      <w:kern w:val="0"/>
                      <w:sz w:val="21"/>
                      <w:szCs w:val="21"/>
                      <w:u w:val="single"/>
                    </w:rPr>
                  </w:pPr>
                  <w:r>
                    <w:rPr>
                      <w:rFonts w:hint="default" w:ascii="Times New Roman" w:hAnsi="Times New Roman" w:cs="Times New Roman"/>
                      <w:kern w:val="0"/>
                      <w:sz w:val="21"/>
                      <w:szCs w:val="21"/>
                      <w:u w:val="single"/>
                    </w:rPr>
                    <w:t>主要危险物质</w:t>
                  </w:r>
                </w:p>
              </w:tc>
              <w:tc>
                <w:tcPr>
                  <w:tcW w:w="1396" w:type="dxa"/>
                  <w:vAlign w:val="center"/>
                </w:tcPr>
                <w:p w14:paraId="2C46DA4C">
                  <w:pPr>
                    <w:keepNext w:val="0"/>
                    <w:keepLines w:val="0"/>
                    <w:pageBreakBefore w:val="0"/>
                    <w:kinsoku/>
                    <w:wordWrap/>
                    <w:overflowPunct/>
                    <w:topLinePunct w:val="0"/>
                    <w:bidi w:val="0"/>
                    <w:adjustRightInd/>
                    <w:snapToGrid/>
                    <w:ind w:firstLine="0"/>
                    <w:jc w:val="center"/>
                    <w:textAlignment w:val="auto"/>
                    <w:rPr>
                      <w:rFonts w:hint="default" w:ascii="Times New Roman" w:hAnsi="Times New Roman" w:cs="Times New Roman"/>
                      <w:kern w:val="0"/>
                      <w:sz w:val="21"/>
                      <w:szCs w:val="21"/>
                      <w:u w:val="single"/>
                    </w:rPr>
                  </w:pPr>
                  <w:r>
                    <w:rPr>
                      <w:rFonts w:hint="default" w:ascii="Times New Roman" w:hAnsi="Times New Roman" w:cs="Times New Roman"/>
                      <w:kern w:val="0"/>
                      <w:sz w:val="21"/>
                      <w:szCs w:val="21"/>
                      <w:u w:val="single"/>
                    </w:rPr>
                    <w:t>环境风险类型</w:t>
                  </w:r>
                </w:p>
              </w:tc>
              <w:tc>
                <w:tcPr>
                  <w:tcW w:w="1391" w:type="dxa"/>
                  <w:vAlign w:val="center"/>
                </w:tcPr>
                <w:p w14:paraId="33123FD0">
                  <w:pPr>
                    <w:keepNext w:val="0"/>
                    <w:keepLines w:val="0"/>
                    <w:pageBreakBefore w:val="0"/>
                    <w:kinsoku/>
                    <w:wordWrap/>
                    <w:overflowPunct/>
                    <w:topLinePunct w:val="0"/>
                    <w:bidi w:val="0"/>
                    <w:adjustRightInd/>
                    <w:snapToGrid/>
                    <w:ind w:firstLine="0"/>
                    <w:jc w:val="center"/>
                    <w:textAlignment w:val="auto"/>
                    <w:rPr>
                      <w:rFonts w:hint="default" w:ascii="Times New Roman" w:hAnsi="Times New Roman" w:cs="Times New Roman"/>
                      <w:kern w:val="0"/>
                      <w:sz w:val="21"/>
                      <w:szCs w:val="21"/>
                      <w:u w:val="single"/>
                    </w:rPr>
                  </w:pPr>
                  <w:r>
                    <w:rPr>
                      <w:rFonts w:hint="default" w:ascii="Times New Roman" w:hAnsi="Times New Roman" w:cs="Times New Roman"/>
                      <w:kern w:val="0"/>
                      <w:sz w:val="21"/>
                      <w:szCs w:val="21"/>
                      <w:u w:val="single"/>
                    </w:rPr>
                    <w:t>环境影响途径</w:t>
                  </w:r>
                </w:p>
              </w:tc>
            </w:tr>
            <w:tr w14:paraId="2880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5" w:type="dxa"/>
                  <w:vAlign w:val="center"/>
                </w:tcPr>
                <w:p w14:paraId="13BB9FFA">
                  <w:pPr>
                    <w:keepNext w:val="0"/>
                    <w:keepLines w:val="0"/>
                    <w:pageBreakBefore w:val="0"/>
                    <w:kinsoku/>
                    <w:wordWrap/>
                    <w:overflowPunct/>
                    <w:topLinePunct w:val="0"/>
                    <w:bidi w:val="0"/>
                    <w:adjustRightInd/>
                    <w:snapToGrid/>
                    <w:ind w:firstLine="0"/>
                    <w:jc w:val="center"/>
                    <w:textAlignment w:val="auto"/>
                    <w:rPr>
                      <w:rFonts w:hint="default" w:ascii="Times New Roman" w:hAnsi="Times New Roman" w:cs="Times New Roman"/>
                      <w:kern w:val="0"/>
                      <w:sz w:val="21"/>
                      <w:szCs w:val="21"/>
                      <w:u w:val="single"/>
                    </w:rPr>
                  </w:pPr>
                  <w:r>
                    <w:rPr>
                      <w:rFonts w:hint="default" w:ascii="Times New Roman" w:hAnsi="Times New Roman" w:cs="Times New Roman"/>
                      <w:kern w:val="0"/>
                      <w:sz w:val="21"/>
                      <w:szCs w:val="21"/>
                      <w:u w:val="single"/>
                    </w:rPr>
                    <w:t>1</w:t>
                  </w:r>
                </w:p>
              </w:tc>
              <w:tc>
                <w:tcPr>
                  <w:tcW w:w="1162" w:type="dxa"/>
                  <w:vAlign w:val="center"/>
                </w:tcPr>
                <w:p w14:paraId="0D5BFEC0">
                  <w:pPr>
                    <w:keepNext w:val="0"/>
                    <w:keepLines w:val="0"/>
                    <w:pageBreakBefore w:val="0"/>
                    <w:kinsoku/>
                    <w:wordWrap/>
                    <w:overflowPunct/>
                    <w:topLinePunct w:val="0"/>
                    <w:bidi w:val="0"/>
                    <w:adjustRightInd/>
                    <w:snapToGrid/>
                    <w:ind w:firstLine="0"/>
                    <w:jc w:val="center"/>
                    <w:textAlignment w:val="auto"/>
                    <w:rPr>
                      <w:rFonts w:hint="default" w:ascii="Times New Roman" w:hAnsi="Times New Roman" w:cs="Times New Roman"/>
                      <w:kern w:val="0"/>
                      <w:sz w:val="21"/>
                      <w:szCs w:val="21"/>
                      <w:u w:val="single"/>
                    </w:rPr>
                  </w:pPr>
                  <w:r>
                    <w:rPr>
                      <w:rFonts w:hint="default" w:ascii="Times New Roman" w:hAnsi="Times New Roman" w:cs="Times New Roman"/>
                      <w:kern w:val="0"/>
                      <w:sz w:val="21"/>
                      <w:szCs w:val="21"/>
                      <w:u w:val="single"/>
                    </w:rPr>
                    <w:t>危废暂存间</w:t>
                  </w:r>
                </w:p>
              </w:tc>
              <w:tc>
                <w:tcPr>
                  <w:tcW w:w="1941" w:type="dxa"/>
                  <w:vAlign w:val="center"/>
                </w:tcPr>
                <w:p w14:paraId="216F87DD">
                  <w:pPr>
                    <w:keepNext w:val="0"/>
                    <w:keepLines w:val="0"/>
                    <w:pageBreakBefore w:val="0"/>
                    <w:kinsoku/>
                    <w:wordWrap/>
                    <w:overflowPunct/>
                    <w:topLinePunct w:val="0"/>
                    <w:bidi w:val="0"/>
                    <w:adjustRightInd/>
                    <w:snapToGrid/>
                    <w:ind w:firstLine="0"/>
                    <w:jc w:val="center"/>
                    <w:textAlignment w:val="auto"/>
                    <w:rPr>
                      <w:rFonts w:hint="default" w:ascii="Times New Roman" w:hAnsi="Times New Roman" w:cs="Times New Roman"/>
                      <w:kern w:val="0"/>
                      <w:sz w:val="21"/>
                      <w:szCs w:val="21"/>
                      <w:u w:val="single"/>
                    </w:rPr>
                  </w:pPr>
                  <w:r>
                    <w:rPr>
                      <w:rFonts w:hint="default" w:ascii="Times New Roman" w:hAnsi="Times New Roman" w:cs="Times New Roman"/>
                      <w:sz w:val="21"/>
                      <w:szCs w:val="21"/>
                      <w:u w:val="single"/>
                    </w:rPr>
                    <w:t>危险废物</w:t>
                  </w:r>
                </w:p>
              </w:tc>
              <w:tc>
                <w:tcPr>
                  <w:tcW w:w="1863" w:type="dxa"/>
                  <w:vAlign w:val="center"/>
                </w:tcPr>
                <w:p w14:paraId="144FD801">
                  <w:pPr>
                    <w:keepNext w:val="0"/>
                    <w:keepLines w:val="0"/>
                    <w:pageBreakBefore w:val="0"/>
                    <w:widowControl w:val="0"/>
                    <w:kinsoku/>
                    <w:wordWrap/>
                    <w:overflowPunct/>
                    <w:topLinePunct w:val="0"/>
                    <w:autoSpaceDE w:val="0"/>
                    <w:autoSpaceDN w:val="0"/>
                    <w:bidi w:val="0"/>
                    <w:adjustRightInd/>
                    <w:snapToGrid/>
                    <w:ind w:firstLine="0"/>
                    <w:jc w:val="center"/>
                    <w:textAlignment w:val="auto"/>
                    <w:rPr>
                      <w:rFonts w:hint="default" w:ascii="Times New Roman" w:hAnsi="Times New Roman" w:cs="Times New Roman"/>
                      <w:kern w:val="0"/>
                      <w:sz w:val="21"/>
                      <w:szCs w:val="21"/>
                      <w:u w:val="single"/>
                    </w:rPr>
                  </w:pPr>
                  <w:r>
                    <w:rPr>
                      <w:rFonts w:hint="default" w:ascii="Times New Roman" w:hAnsi="Times New Roman" w:cs="Times New Roman"/>
                      <w:kern w:val="0"/>
                      <w:sz w:val="21"/>
                      <w:szCs w:val="21"/>
                      <w:u w:val="single"/>
                    </w:rPr>
                    <w:t>废润滑油桶、废含油抹布</w:t>
                  </w:r>
                </w:p>
              </w:tc>
              <w:tc>
                <w:tcPr>
                  <w:tcW w:w="1396" w:type="dxa"/>
                  <w:vAlign w:val="center"/>
                </w:tcPr>
                <w:p w14:paraId="2C93DD8A">
                  <w:pPr>
                    <w:keepNext w:val="0"/>
                    <w:keepLines w:val="0"/>
                    <w:pageBreakBefore w:val="0"/>
                    <w:kinsoku/>
                    <w:wordWrap/>
                    <w:overflowPunct/>
                    <w:topLinePunct w:val="0"/>
                    <w:bidi w:val="0"/>
                    <w:adjustRightInd/>
                    <w:snapToGrid/>
                    <w:ind w:firstLine="0"/>
                    <w:jc w:val="center"/>
                    <w:textAlignment w:val="auto"/>
                    <w:rPr>
                      <w:rFonts w:hint="default" w:ascii="Times New Roman" w:hAnsi="Times New Roman" w:cs="Times New Roman"/>
                      <w:kern w:val="0"/>
                      <w:sz w:val="21"/>
                      <w:szCs w:val="21"/>
                      <w:u w:val="single"/>
                    </w:rPr>
                  </w:pPr>
                  <w:r>
                    <w:rPr>
                      <w:rFonts w:hint="default" w:ascii="Times New Roman" w:hAnsi="Times New Roman" w:cs="Times New Roman"/>
                      <w:kern w:val="0"/>
                      <w:sz w:val="21"/>
                      <w:szCs w:val="21"/>
                      <w:u w:val="single"/>
                    </w:rPr>
                    <w:t>泄漏、火灾</w:t>
                  </w:r>
                </w:p>
              </w:tc>
              <w:tc>
                <w:tcPr>
                  <w:tcW w:w="1391" w:type="dxa"/>
                  <w:vAlign w:val="center"/>
                </w:tcPr>
                <w:p w14:paraId="55FD66F2">
                  <w:pPr>
                    <w:keepNext w:val="0"/>
                    <w:keepLines w:val="0"/>
                    <w:pageBreakBefore w:val="0"/>
                    <w:kinsoku/>
                    <w:wordWrap/>
                    <w:overflowPunct/>
                    <w:topLinePunct w:val="0"/>
                    <w:bidi w:val="0"/>
                    <w:adjustRightInd/>
                    <w:snapToGrid/>
                    <w:ind w:firstLine="0"/>
                    <w:jc w:val="center"/>
                    <w:textAlignment w:val="auto"/>
                    <w:rPr>
                      <w:rFonts w:hint="default" w:ascii="Times New Roman" w:hAnsi="Times New Roman" w:cs="Times New Roman"/>
                      <w:kern w:val="0"/>
                      <w:sz w:val="21"/>
                      <w:szCs w:val="21"/>
                      <w:u w:val="single"/>
                    </w:rPr>
                  </w:pPr>
                  <w:r>
                    <w:rPr>
                      <w:rFonts w:hint="default" w:ascii="Times New Roman" w:hAnsi="Times New Roman" w:cs="Times New Roman"/>
                      <w:kern w:val="0"/>
                      <w:sz w:val="21"/>
                      <w:szCs w:val="21"/>
                      <w:u w:val="single"/>
                    </w:rPr>
                    <w:t>大气、地表水</w:t>
                  </w:r>
                </w:p>
              </w:tc>
            </w:tr>
          </w:tbl>
          <w:p w14:paraId="200C967A">
            <w:pPr>
              <w:pStyle w:val="128"/>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项目营运过程中涉及的危险化学品主要包括</w:t>
            </w:r>
            <w:r>
              <w:rPr>
                <w:rFonts w:hint="default" w:ascii="Times New Roman" w:hAnsi="Times New Roman" w:cs="Times New Roman"/>
                <w:sz w:val="24"/>
                <w:szCs w:val="24"/>
                <w:u w:val="single"/>
                <w:lang w:eastAsia="zh-CN"/>
              </w:rPr>
              <w:t>机油</w:t>
            </w:r>
            <w:r>
              <w:rPr>
                <w:rFonts w:hint="default" w:ascii="Times New Roman" w:hAnsi="Times New Roman" w:cs="Times New Roman"/>
                <w:sz w:val="24"/>
                <w:szCs w:val="24"/>
                <w:u w:val="single"/>
              </w:rPr>
              <w:t>及危险废物。通过风险源辨识分析可知，本项目生产贮存单元不构成重大危险源。本项目对人员伤害影响最大、潜在风险最高的风险主要是</w:t>
            </w:r>
            <w:r>
              <w:rPr>
                <w:rFonts w:hint="eastAsia" w:cs="Times New Roman"/>
                <w:sz w:val="24"/>
                <w:szCs w:val="24"/>
                <w:u w:val="single"/>
                <w:lang w:eastAsia="zh-CN"/>
              </w:rPr>
              <w:t>机油</w:t>
            </w:r>
            <w:r>
              <w:rPr>
                <w:rFonts w:hint="default" w:ascii="Times New Roman" w:hAnsi="Times New Roman" w:cs="Times New Roman"/>
                <w:sz w:val="24"/>
                <w:szCs w:val="24"/>
                <w:u w:val="single"/>
              </w:rPr>
              <w:t>、危险废物的泄漏以及泄漏引起的火灾造成的次生环境污染（大气污染和消防废水）。具体防范措施如下：</w:t>
            </w:r>
          </w:p>
          <w:p w14:paraId="1114E03C">
            <w:pPr>
              <w:pStyle w:val="128"/>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1、按规范要求进行原料、产品的储存。设产品的专用库房，库房保持通风干燥，远离火种、热源，并注意防潮。</w:t>
            </w:r>
          </w:p>
          <w:p w14:paraId="4E7C4903">
            <w:pPr>
              <w:pStyle w:val="128"/>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2、对原料的使用和储存提出相应的管理及使用要求，并严格按照该管理要求进行日常监督、管理。原料仓库保持干燥通风，生产存储过程中原料及物料做到密闭，不长时间暴露在空气中。原料转移和上料过程严格按照操作规程进行操作，按照安全生产要求设立仓库和生产区的防火防爆防潮设施及器具，做到生产区清净整洁，防止物料的撒漏。</w:t>
            </w:r>
          </w:p>
          <w:p w14:paraId="26A1F3FE">
            <w:pPr>
              <w:pStyle w:val="128"/>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3、加强企业实际生产过程中各工艺环节的管理，定期进行设备及相应环保设施的维护。</w:t>
            </w:r>
          </w:p>
          <w:p w14:paraId="3AAB1B42">
            <w:pPr>
              <w:pStyle w:val="128"/>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4、强化风险意识、加强安全管理，严格按操作规程操作。远离火种、热源，配备相应品种和数量的消防器材及泄漏应急处理设备。</w:t>
            </w:r>
          </w:p>
          <w:p w14:paraId="6DFD94E1">
            <w:pPr>
              <w:pStyle w:val="128"/>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5、严格控制点火源，员工在仓库作业时严禁动用明火，同时按消防要求配置灭火器材。车间内应按消防要求配备足够型号相符的灭火器，车间工作人员及相关责任人均应熟悉其放置地点，用法，而且要经常检查。</w:t>
            </w:r>
          </w:p>
          <w:p w14:paraId="0B8FD478">
            <w:pPr>
              <w:pStyle w:val="128"/>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6、建立健全安全检查制度，定期进行安全检查，及时整改安全隐患，防止事故发生。加强工作人员的安全教育，由厂区安全及环保管理人员对厂区员工进行安全与环保知识培训，熟悉国家安全生产方针、政策、法规、标准，增强安全意识和法制观念，掌握安全卫生基本知识，具有一定的安全管理和决策能力；加大管理力度，及时清扫、检修设备也是必不可少的防护措施。</w:t>
            </w:r>
          </w:p>
          <w:p w14:paraId="4B14C32A">
            <w:pPr>
              <w:pStyle w:val="128"/>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7、一旦发生火灾，消防废水随意排放将会对周边地表水体造成污染，因此环评要求，严禁将消防废水外排，用水泵将消防废水导流至沉淀池或空桶内进行暂存；若池内水将无法全部收容，则应立即联系罐车将池内废水进行转移至</w:t>
            </w:r>
            <w:r>
              <w:rPr>
                <w:rFonts w:hint="eastAsia" w:ascii="Times New Roman" w:hAnsi="Times New Roman" w:cs="Times New Roman"/>
                <w:sz w:val="24"/>
                <w:szCs w:val="24"/>
                <w:u w:val="single"/>
                <w:lang w:eastAsia="zh-CN"/>
              </w:rPr>
              <w:t>新田县污水处理厂</w:t>
            </w:r>
            <w:r>
              <w:rPr>
                <w:rFonts w:hint="default" w:ascii="Times New Roman" w:hAnsi="Times New Roman" w:cs="Times New Roman"/>
                <w:sz w:val="24"/>
                <w:szCs w:val="24"/>
                <w:u w:val="single"/>
              </w:rPr>
              <w:t>进行分批次处理。</w:t>
            </w:r>
          </w:p>
          <w:p w14:paraId="6571B270">
            <w:pPr>
              <w:pStyle w:val="128"/>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8、危险废物的存放区贴上醒目的专用标签；储区应备有泄漏应急处理设备。</w:t>
            </w:r>
          </w:p>
          <w:p w14:paraId="1C21A618">
            <w:pPr>
              <w:pStyle w:val="128"/>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9、制定风险防范措施和制度以及书面的应急程序，以便在发生意外时，行动有所依据。对员工进行指导和培训，确保在紧急情况下能实施应急程序。配备应急医疗药品，厂房周围设消防通道，保证消防车辆畅通。建、构筑物周围设消防给水管，并配备灭火器材装置。</w:t>
            </w:r>
          </w:p>
          <w:p w14:paraId="1123D187">
            <w:pPr>
              <w:pStyle w:val="128"/>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10、企业应制定事故应急预案，定期演练。</w:t>
            </w:r>
          </w:p>
          <w:p w14:paraId="208DBF79">
            <w:pPr>
              <w:pStyle w:val="128"/>
              <w:ind w:firstLine="420"/>
              <w:rPr>
                <w:rFonts w:hint="default" w:ascii="Times New Roman" w:hAnsi="Times New Roman" w:cs="Times New Roman"/>
                <w:sz w:val="24"/>
                <w:szCs w:val="24"/>
                <w:u w:val="single"/>
              </w:rPr>
            </w:pPr>
            <w:r>
              <w:rPr>
                <w:rFonts w:hint="default" w:ascii="Times New Roman" w:hAnsi="Times New Roman" w:cs="Times New Roman"/>
                <w:sz w:val="24"/>
                <w:szCs w:val="24"/>
                <w:u w:val="single"/>
              </w:rPr>
              <w:t>由于本项目润滑油最大存储量较小，相应的风险物质更少，在建设单位严格落实各项风险防范措施和应急预案的前提下，工程环境风险可防可控，项目建设是可行的。</w:t>
            </w:r>
          </w:p>
          <w:p w14:paraId="58552D0A">
            <w:pPr>
              <w:pStyle w:val="20"/>
              <w:spacing w:line="360" w:lineRule="auto"/>
              <w:rPr>
                <w:rFonts w:hint="default" w:ascii="Times New Roman" w:hAnsi="Times New Roman" w:eastAsia="宋体" w:cs="Times New Roman"/>
                <w:b/>
                <w:bCs/>
                <w:sz w:val="24"/>
                <w:szCs w:val="24"/>
                <w:u w:val="single"/>
              </w:rPr>
            </w:pPr>
            <w:r>
              <w:rPr>
                <w:rFonts w:hint="default" w:ascii="Times New Roman" w:hAnsi="Times New Roman" w:eastAsia="宋体" w:cs="Times New Roman"/>
                <w:b/>
                <w:bCs/>
                <w:sz w:val="24"/>
                <w:szCs w:val="24"/>
                <w:u w:val="single"/>
              </w:rPr>
              <w:t>表4.7-3   建设项目环境风险简单分析内容表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7"/>
              <w:gridCol w:w="1356"/>
              <w:gridCol w:w="1962"/>
              <w:gridCol w:w="1405"/>
              <w:gridCol w:w="2546"/>
            </w:tblGrid>
            <w:tr w14:paraId="122B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7" w:type="dxa"/>
                  <w:vAlign w:val="center"/>
                </w:tcPr>
                <w:p w14:paraId="0DA8D74B">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建设项目名称</w:t>
                  </w:r>
                </w:p>
              </w:tc>
              <w:tc>
                <w:tcPr>
                  <w:tcW w:w="7269" w:type="dxa"/>
                  <w:gridSpan w:val="4"/>
                  <w:vAlign w:val="center"/>
                </w:tcPr>
                <w:p w14:paraId="5CED262E">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lang w:eastAsia="zh-CN"/>
                    </w:rPr>
                    <w:t>新田县新电东晖混凝土制品有限责任公司年产2万根水泥电杆扩建项目</w:t>
                  </w:r>
                </w:p>
              </w:tc>
            </w:tr>
            <w:tr w14:paraId="4825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7" w:type="dxa"/>
                  <w:vAlign w:val="center"/>
                </w:tcPr>
                <w:p w14:paraId="7263D1E3">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建设地点</w:t>
                  </w:r>
                </w:p>
              </w:tc>
              <w:tc>
                <w:tcPr>
                  <w:tcW w:w="1356" w:type="dxa"/>
                  <w:vAlign w:val="center"/>
                </w:tcPr>
                <w:p w14:paraId="693BFA08">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（湖南）省</w:t>
                  </w:r>
                </w:p>
              </w:tc>
              <w:tc>
                <w:tcPr>
                  <w:tcW w:w="1962" w:type="dxa"/>
                  <w:vAlign w:val="center"/>
                </w:tcPr>
                <w:p w14:paraId="064544D9">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w:t>
                  </w:r>
                  <w:r>
                    <w:rPr>
                      <w:rFonts w:hint="eastAsia" w:ascii="Times New Roman" w:hAnsi="Times New Roman" w:cs="Times New Roman"/>
                      <w:sz w:val="21"/>
                      <w:szCs w:val="21"/>
                      <w:u w:val="single"/>
                      <w:lang w:eastAsia="zh-CN"/>
                    </w:rPr>
                    <w:t>永州</w:t>
                  </w:r>
                  <w:r>
                    <w:rPr>
                      <w:rFonts w:hint="default" w:ascii="Times New Roman" w:hAnsi="Times New Roman" w:cs="Times New Roman"/>
                      <w:sz w:val="21"/>
                      <w:szCs w:val="21"/>
                      <w:u w:val="single"/>
                    </w:rPr>
                    <w:t>）市</w:t>
                  </w:r>
                </w:p>
              </w:tc>
              <w:tc>
                <w:tcPr>
                  <w:tcW w:w="1405" w:type="dxa"/>
                  <w:vAlign w:val="center"/>
                </w:tcPr>
                <w:p w14:paraId="6C842247">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sz w:val="21"/>
                      <w:szCs w:val="21"/>
                      <w:u w:val="single"/>
                      <w:lang w:eastAsia="zh-CN"/>
                    </w:rPr>
                  </w:pPr>
                  <w:r>
                    <w:rPr>
                      <w:rFonts w:hint="default" w:ascii="Times New Roman" w:hAnsi="Times New Roman" w:cs="Times New Roman"/>
                      <w:sz w:val="21"/>
                      <w:szCs w:val="21"/>
                      <w:u w:val="single"/>
                    </w:rPr>
                    <w:t>（</w:t>
                  </w:r>
                  <w:r>
                    <w:rPr>
                      <w:rFonts w:hint="eastAsia" w:ascii="Times New Roman" w:hAnsi="Times New Roman" w:cs="Times New Roman"/>
                      <w:sz w:val="21"/>
                      <w:szCs w:val="21"/>
                      <w:u w:val="single"/>
                      <w:lang w:eastAsia="zh-CN"/>
                    </w:rPr>
                    <w:t>新田</w:t>
                  </w:r>
                  <w:r>
                    <w:rPr>
                      <w:rFonts w:hint="default" w:ascii="Times New Roman" w:hAnsi="Times New Roman" w:cs="Times New Roman"/>
                      <w:sz w:val="21"/>
                      <w:szCs w:val="21"/>
                      <w:u w:val="single"/>
                    </w:rPr>
                    <w:t>）</w:t>
                  </w:r>
                  <w:r>
                    <w:rPr>
                      <w:rFonts w:hint="eastAsia" w:ascii="Times New Roman" w:hAnsi="Times New Roman" w:cs="Times New Roman"/>
                      <w:sz w:val="21"/>
                      <w:szCs w:val="21"/>
                      <w:u w:val="single"/>
                      <w:lang w:eastAsia="zh-CN"/>
                    </w:rPr>
                    <w:t>县</w:t>
                  </w:r>
                </w:p>
              </w:tc>
              <w:tc>
                <w:tcPr>
                  <w:tcW w:w="2546" w:type="dxa"/>
                  <w:vAlign w:val="center"/>
                </w:tcPr>
                <w:p w14:paraId="4EA13C72">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eastAsia" w:ascii="Times New Roman" w:hAnsi="Times New Roman" w:cs="Times New Roman"/>
                      <w:sz w:val="21"/>
                      <w:szCs w:val="21"/>
                      <w:u w:val="single"/>
                      <w:lang w:eastAsia="zh-CN"/>
                    </w:rPr>
                    <w:t>龙泉镇</w:t>
                  </w:r>
                  <w:r>
                    <w:rPr>
                      <w:rFonts w:hint="default" w:ascii="Times New Roman" w:hAnsi="Times New Roman" w:cs="Times New Roman"/>
                      <w:sz w:val="21"/>
                      <w:szCs w:val="21"/>
                      <w:u w:val="single"/>
                    </w:rPr>
                    <w:t>中山街道云梯岭村</w:t>
                  </w:r>
                </w:p>
              </w:tc>
            </w:tr>
            <w:tr w14:paraId="7C5A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7" w:type="dxa"/>
                  <w:vAlign w:val="center"/>
                </w:tcPr>
                <w:p w14:paraId="450AD1C2">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地理坐标</w:t>
                  </w:r>
                </w:p>
              </w:tc>
              <w:tc>
                <w:tcPr>
                  <w:tcW w:w="1356" w:type="dxa"/>
                  <w:vAlign w:val="center"/>
                </w:tcPr>
                <w:p w14:paraId="5E190953">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经度</w:t>
                  </w:r>
                </w:p>
              </w:tc>
              <w:tc>
                <w:tcPr>
                  <w:tcW w:w="1962" w:type="dxa"/>
                  <w:vAlign w:val="center"/>
                </w:tcPr>
                <w:p w14:paraId="452E355E">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112°14′9.02014″</w:t>
                  </w:r>
                </w:p>
              </w:tc>
              <w:tc>
                <w:tcPr>
                  <w:tcW w:w="1405" w:type="dxa"/>
                  <w:vAlign w:val="center"/>
                </w:tcPr>
                <w:p w14:paraId="299ABB4E">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纬度</w:t>
                  </w:r>
                </w:p>
              </w:tc>
              <w:tc>
                <w:tcPr>
                  <w:tcW w:w="2546" w:type="dxa"/>
                  <w:vAlign w:val="center"/>
                </w:tcPr>
                <w:p w14:paraId="3F295429">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25°52′47.38647″</w:t>
                  </w:r>
                </w:p>
              </w:tc>
            </w:tr>
            <w:tr w14:paraId="125D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7" w:type="dxa"/>
                  <w:vAlign w:val="center"/>
                </w:tcPr>
                <w:p w14:paraId="1E5ED65C">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主要危险物质及分布</w:t>
                  </w:r>
                </w:p>
              </w:tc>
              <w:tc>
                <w:tcPr>
                  <w:tcW w:w="7269" w:type="dxa"/>
                  <w:gridSpan w:val="4"/>
                  <w:vAlign w:val="center"/>
                </w:tcPr>
                <w:p w14:paraId="08A29F55">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危险废物暂存间（危险废物）</w:t>
                  </w:r>
                </w:p>
              </w:tc>
            </w:tr>
            <w:tr w14:paraId="17D8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7" w:type="dxa"/>
                  <w:vAlign w:val="center"/>
                </w:tcPr>
                <w:p w14:paraId="11D004D1">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环境影响途径及危害后果</w:t>
                  </w:r>
                </w:p>
              </w:tc>
              <w:tc>
                <w:tcPr>
                  <w:tcW w:w="7269" w:type="dxa"/>
                  <w:gridSpan w:val="4"/>
                  <w:vAlign w:val="center"/>
                </w:tcPr>
                <w:p w14:paraId="17AD89A6">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原材料和危险废物的运输、贮存过程中，如管理操作不当或发生意外事故。存在着泄漏、燃烧、爆炸等环境风险事故。一旦发生此类事故，引起原料或危废的泄漏、爆炸或火灾事故，将会对周围空气、土壤、地下水环境产生较大污染。</w:t>
                  </w:r>
                </w:p>
              </w:tc>
            </w:tr>
            <w:tr w14:paraId="5792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7" w:type="dxa"/>
                  <w:vAlign w:val="center"/>
                </w:tcPr>
                <w:p w14:paraId="4C30A8C5">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风险防范措施要求</w:t>
                  </w:r>
                </w:p>
              </w:tc>
              <w:tc>
                <w:tcPr>
                  <w:tcW w:w="7269" w:type="dxa"/>
                  <w:gridSpan w:val="4"/>
                  <w:vAlign w:val="center"/>
                </w:tcPr>
                <w:p w14:paraId="08807893">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1、按规范要求进行原料、产品的储存。设产品的专用库房，库房保持通风干燥，远离火种、热源，并注意防潮。</w:t>
                  </w:r>
                </w:p>
                <w:p w14:paraId="67E34BE2">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2、对原料的使用和储存提出相应的管理及使用要求，并严格按照该管理要求进行日常监督、管理。原料仓库保持干燥通风，生产存储过程中原料及物料做到密闭，不长时间暴露在空气中。原料转移和上料过程严格按照操作规程进行操作，按照安全生产要求设立仓库和生产区的防火防爆防潮设施及器具，做到生产区清净整洁，防止物料的撒漏。</w:t>
                  </w:r>
                </w:p>
                <w:p w14:paraId="76AEBFAA">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3、加强企业实际生产过程中各工艺环节的管理，定期进行设备及相应环保设施的维护。</w:t>
                  </w:r>
                </w:p>
                <w:p w14:paraId="695597A0">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4、强化风险意识、加强安全管理，严格按操作规程操作。远离火种、热源，配备相应品种和数量的消防器材及泄漏应急处理设备。</w:t>
                  </w:r>
                </w:p>
                <w:p w14:paraId="11C87D43">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5、严格控制点火源，员工在仓库作业时严禁动用明火，同时按消防要求配置灭火器材。车间内应按消防要求配备足够型号相符的灭火器，车间工作人员及相关责任人均应熟悉其放置地点，用法，而且要经常检查。</w:t>
                  </w:r>
                </w:p>
                <w:p w14:paraId="5DCD32B1">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6、建立健全安全检查制度，定期进行安全检查，及时整改安全隐患，防止事故发生。加强工作人员的安全教育，由厂区安全及环保管理人员对厂区员工进行安全与环保知识培训，熟悉国家安全生产方针、政策、法规、标准，增强安全意识和法制观念，掌握安全卫生基本知识，具有一定的安全管理和决策能力；加大管理力度，及时清扫、检修设备也是必不可少的防护措施。</w:t>
                  </w:r>
                </w:p>
                <w:p w14:paraId="3F32DF71">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7、一旦发生火灾，消防废水随意排放将会对周边地表水体造成污染，因此环评要求，严禁将消防废水外排，用水泵将消防废水导流至沉淀池或空桶内进行暂存；若池内水将无法全部收容，则应立即联系罐车将池内废水进行转移至</w:t>
                  </w:r>
                  <w:r>
                    <w:rPr>
                      <w:rFonts w:hint="eastAsia" w:ascii="Times New Roman" w:hAnsi="Times New Roman" w:cs="Times New Roman"/>
                      <w:sz w:val="21"/>
                      <w:szCs w:val="21"/>
                      <w:u w:val="single"/>
                      <w:lang w:eastAsia="zh-CN"/>
                    </w:rPr>
                    <w:t>新田县污水处理厂</w:t>
                  </w:r>
                  <w:r>
                    <w:rPr>
                      <w:rFonts w:hint="default" w:ascii="Times New Roman" w:hAnsi="Times New Roman" w:cs="Times New Roman"/>
                      <w:sz w:val="21"/>
                      <w:szCs w:val="21"/>
                      <w:u w:val="single"/>
                    </w:rPr>
                    <w:t>进行分批次处理。</w:t>
                  </w:r>
                </w:p>
                <w:p w14:paraId="73B54713">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8、危险废物的存放区贴上醒目的专用标签；储区应备有泄漏应急处理设备。</w:t>
                  </w:r>
                </w:p>
                <w:p w14:paraId="201F11C6">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9、制定风险防范措施和制度以及书面的应急程序，以便在发生意外时，行动有所依据。对员工进行指导和培训，确保在紧急情况下能实施应急程序。配备应急医疗药品，厂房周围设消防通道，保证消防车辆畅通。建、构筑物周围设消防给水管，并配备灭火器材装置。</w:t>
                  </w:r>
                </w:p>
                <w:p w14:paraId="349BDF1C">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jc w:val="left"/>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10、企业应制定事故应急预案，定期演练。</w:t>
                  </w:r>
                </w:p>
              </w:tc>
            </w:tr>
            <w:tr w14:paraId="7B4F1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6" w:type="dxa"/>
                  <w:gridSpan w:val="5"/>
                  <w:vAlign w:val="center"/>
                </w:tcPr>
                <w:p w14:paraId="25FE4AAA">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jc w:val="both"/>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填表说明（列出项目相关信息及评价说明）：</w:t>
                  </w:r>
                </w:p>
                <w:p w14:paraId="146959A0">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single"/>
                    </w:rPr>
                  </w:pPr>
                  <w:r>
                    <w:rPr>
                      <w:rFonts w:hint="default" w:ascii="Times New Roman" w:hAnsi="Times New Roman" w:cs="Times New Roman"/>
                      <w:sz w:val="21"/>
                      <w:szCs w:val="21"/>
                      <w:u w:val="single"/>
                    </w:rPr>
                    <w:t>项目的事故发生频率为极小概率事件，最大可信事故为原料或危废泄漏引发火灾或次生环境风险。因此项目原料库及危废暂存间要保持干燥清洁，远离火源，避免因泄漏引发火灾或次生环境风险。</w:t>
                  </w:r>
                </w:p>
              </w:tc>
            </w:tr>
          </w:tbl>
          <w:p w14:paraId="0183BD05">
            <w:pPr>
              <w:pStyle w:val="103"/>
              <w:rPr>
                <w:rFonts w:hint="default" w:ascii="Times New Roman" w:hAnsi="Times New Roman" w:eastAsia="宋体" w:cs="Times New Roman"/>
                <w:b/>
                <w:bCs/>
                <w:sz w:val="24"/>
                <w:szCs w:val="24"/>
                <w:u w:val="none"/>
                <w:lang w:val="en-US" w:eastAsia="zh-CN"/>
              </w:rPr>
            </w:pPr>
            <w:r>
              <w:rPr>
                <w:rFonts w:hint="eastAsia" w:ascii="Times New Roman" w:hAnsi="Times New Roman" w:eastAsia="宋体" w:cs="Times New Roman"/>
                <w:b/>
                <w:bCs/>
                <w:sz w:val="24"/>
                <w:szCs w:val="24"/>
                <w:u w:val="none"/>
                <w:lang w:val="en-US" w:eastAsia="zh-CN"/>
              </w:rPr>
              <w:t>4.7 “三本账”情况</w:t>
            </w:r>
          </w:p>
          <w:p w14:paraId="54428561">
            <w:pPr>
              <w:pStyle w:val="128"/>
              <w:ind w:firstLine="420"/>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根据工程分析，项目整改前后三本账为：</w:t>
            </w:r>
          </w:p>
          <w:p w14:paraId="4236DAE6">
            <w:pPr>
              <w:pStyle w:val="20"/>
              <w:spacing w:line="360" w:lineRule="auto"/>
              <w:rPr>
                <w:rFonts w:hint="default" w:ascii="Times New Roman" w:hAnsi="Times New Roman" w:eastAsia="宋体" w:cs="Times New Roman"/>
                <w:b/>
                <w:bCs/>
                <w:sz w:val="24"/>
                <w:szCs w:val="24"/>
                <w:u w:val="none"/>
              </w:rPr>
            </w:pPr>
            <w:r>
              <w:rPr>
                <w:rFonts w:hint="default" w:ascii="Times New Roman" w:hAnsi="Times New Roman" w:eastAsia="宋体" w:cs="Times New Roman"/>
                <w:b/>
                <w:bCs/>
                <w:sz w:val="24"/>
                <w:szCs w:val="24"/>
                <w:u w:val="none"/>
              </w:rPr>
              <w:t>表</w:t>
            </w:r>
            <w:r>
              <w:rPr>
                <w:rFonts w:hint="eastAsia" w:ascii="Times New Roman" w:hAnsi="Times New Roman" w:eastAsia="宋体" w:cs="Times New Roman"/>
                <w:b/>
                <w:bCs/>
                <w:sz w:val="24"/>
                <w:szCs w:val="24"/>
                <w:u w:val="none"/>
                <w:lang w:val="en-US" w:eastAsia="zh-CN"/>
              </w:rPr>
              <w:t>4</w:t>
            </w:r>
            <w:r>
              <w:rPr>
                <w:rFonts w:hint="eastAsia" w:ascii="Times New Roman" w:hAnsi="Times New Roman" w:eastAsia="宋体" w:cs="Times New Roman"/>
                <w:b/>
                <w:bCs/>
                <w:sz w:val="24"/>
                <w:szCs w:val="24"/>
                <w:u w:val="none"/>
              </w:rPr>
              <w:t>-</w:t>
            </w:r>
            <w:r>
              <w:rPr>
                <w:rFonts w:hint="eastAsia" w:ascii="Times New Roman" w:hAnsi="Times New Roman" w:eastAsia="宋体" w:cs="Times New Roman"/>
                <w:b/>
                <w:bCs/>
                <w:sz w:val="24"/>
                <w:szCs w:val="24"/>
                <w:u w:val="none"/>
                <w:lang w:val="en-US" w:eastAsia="zh-CN"/>
              </w:rPr>
              <w:t>15</w:t>
            </w:r>
            <w:r>
              <w:rPr>
                <w:rFonts w:hint="default" w:ascii="Times New Roman" w:hAnsi="Times New Roman" w:eastAsia="宋体" w:cs="Times New Roman"/>
                <w:b/>
                <w:bCs/>
                <w:sz w:val="24"/>
                <w:szCs w:val="24"/>
                <w:u w:val="none"/>
              </w:rPr>
              <w:t xml:space="preserve"> 本项目</w:t>
            </w:r>
            <w:r>
              <w:rPr>
                <w:rFonts w:hint="eastAsia" w:ascii="Times New Roman" w:hAnsi="Times New Roman" w:eastAsia="宋体" w:cs="Times New Roman"/>
                <w:b/>
                <w:bCs/>
                <w:sz w:val="24"/>
                <w:szCs w:val="24"/>
                <w:u w:val="none"/>
                <w:lang w:eastAsia="zh-CN"/>
              </w:rPr>
              <w:t>扩建</w:t>
            </w:r>
            <w:r>
              <w:rPr>
                <w:rFonts w:hint="default" w:ascii="Times New Roman" w:hAnsi="Times New Roman" w:eastAsia="宋体" w:cs="Times New Roman"/>
                <w:b/>
                <w:bCs/>
                <w:sz w:val="24"/>
                <w:szCs w:val="24"/>
                <w:u w:val="none"/>
              </w:rPr>
              <w:t>前后三本账一览表</w:t>
            </w:r>
          </w:p>
          <w:tbl>
            <w:tblPr>
              <w:tblStyle w:val="39"/>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952"/>
              <w:gridCol w:w="893"/>
              <w:gridCol w:w="1497"/>
              <w:gridCol w:w="1413"/>
              <w:gridCol w:w="1198"/>
              <w:gridCol w:w="1294"/>
              <w:gridCol w:w="1283"/>
            </w:tblGrid>
            <w:tr w14:paraId="323E1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restart"/>
                  <w:noWrap w:val="0"/>
                  <w:vAlign w:val="center"/>
                </w:tcPr>
                <w:p w14:paraId="0BC64970">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类别</w:t>
                  </w:r>
                </w:p>
              </w:tc>
              <w:tc>
                <w:tcPr>
                  <w:tcW w:w="1012" w:type="pct"/>
                  <w:gridSpan w:val="2"/>
                  <w:vMerge w:val="restart"/>
                  <w:noWrap w:val="0"/>
                  <w:vAlign w:val="center"/>
                </w:tcPr>
                <w:p w14:paraId="03E83E13">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污染物</w:t>
                  </w:r>
                </w:p>
              </w:tc>
              <w:tc>
                <w:tcPr>
                  <w:tcW w:w="821" w:type="pct"/>
                  <w:noWrap w:val="0"/>
                  <w:vAlign w:val="center"/>
                </w:tcPr>
                <w:p w14:paraId="0A6E8F1C">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现有工程</w:t>
                  </w:r>
                </w:p>
              </w:tc>
              <w:tc>
                <w:tcPr>
                  <w:tcW w:w="775" w:type="pct"/>
                  <w:noWrap w:val="0"/>
                  <w:vAlign w:val="center"/>
                </w:tcPr>
                <w:p w14:paraId="51ECE5D5">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r>
                    <w:rPr>
                      <w:rFonts w:hint="eastAsia" w:ascii="Times New Roman" w:hAnsi="Times New Roman" w:eastAsia="宋体" w:cs="Times New Roman"/>
                      <w:sz w:val="21"/>
                      <w:szCs w:val="21"/>
                      <w:u w:val="single"/>
                      <w:lang w:eastAsia="zh-CN"/>
                    </w:rPr>
                    <w:t>扩建</w:t>
                  </w:r>
                  <w:r>
                    <w:rPr>
                      <w:rFonts w:hint="eastAsia" w:ascii="Times New Roman" w:hAnsi="Times New Roman" w:eastAsia="宋体" w:cs="Times New Roman"/>
                      <w:sz w:val="21"/>
                      <w:szCs w:val="21"/>
                      <w:u w:val="single"/>
                    </w:rPr>
                    <w:t>后工程</w:t>
                  </w:r>
                </w:p>
              </w:tc>
              <w:tc>
                <w:tcPr>
                  <w:tcW w:w="2071" w:type="pct"/>
                  <w:gridSpan w:val="3"/>
                  <w:noWrap w:val="0"/>
                  <w:vAlign w:val="center"/>
                </w:tcPr>
                <w:p w14:paraId="5B0F5AD6">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rPr>
                    <w:t>总体工程</w:t>
                  </w:r>
                  <w:r>
                    <w:rPr>
                      <w:rFonts w:hint="eastAsia" w:ascii="Times New Roman" w:hAnsi="Times New Roman" w:eastAsia="宋体" w:cs="Times New Roman"/>
                      <w:sz w:val="21"/>
                      <w:szCs w:val="21"/>
                      <w:u w:val="single"/>
                      <w:lang w:val="en-US" w:eastAsia="zh-CN"/>
                    </w:rPr>
                    <w:t>t/a</w:t>
                  </w:r>
                </w:p>
              </w:tc>
            </w:tr>
            <w:tr w14:paraId="042535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noWrap w:val="0"/>
                  <w:vAlign w:val="center"/>
                </w:tcPr>
                <w:p w14:paraId="11FCE1CD">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p>
              </w:tc>
              <w:tc>
                <w:tcPr>
                  <w:tcW w:w="1012" w:type="pct"/>
                  <w:gridSpan w:val="2"/>
                  <w:vMerge w:val="continue"/>
                  <w:noWrap w:val="0"/>
                  <w:vAlign w:val="center"/>
                </w:tcPr>
                <w:p w14:paraId="2811EC9F">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p>
              </w:tc>
              <w:tc>
                <w:tcPr>
                  <w:tcW w:w="821" w:type="pct"/>
                  <w:noWrap w:val="0"/>
                  <w:vAlign w:val="center"/>
                </w:tcPr>
                <w:p w14:paraId="0D8A0B82">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rPr>
                    <w:t>排放量</w:t>
                  </w:r>
                  <w:r>
                    <w:rPr>
                      <w:rFonts w:hint="eastAsia" w:ascii="Times New Roman" w:hAnsi="Times New Roman" w:eastAsia="宋体" w:cs="Times New Roman"/>
                      <w:sz w:val="21"/>
                      <w:szCs w:val="21"/>
                      <w:u w:val="single"/>
                      <w:lang w:val="en-US" w:eastAsia="zh-CN"/>
                    </w:rPr>
                    <w:t>t/a</w:t>
                  </w:r>
                </w:p>
              </w:tc>
              <w:tc>
                <w:tcPr>
                  <w:tcW w:w="775" w:type="pct"/>
                  <w:noWrap w:val="0"/>
                  <w:vAlign w:val="center"/>
                </w:tcPr>
                <w:p w14:paraId="22D7060D">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rPr>
                    <w:t>排放量</w:t>
                  </w:r>
                  <w:r>
                    <w:rPr>
                      <w:rFonts w:hint="eastAsia" w:ascii="Times New Roman" w:hAnsi="Times New Roman" w:eastAsia="宋体" w:cs="Times New Roman"/>
                      <w:sz w:val="21"/>
                      <w:szCs w:val="21"/>
                      <w:u w:val="single"/>
                      <w:lang w:val="en-US" w:eastAsia="zh-CN"/>
                    </w:rPr>
                    <w:t>t/a</w:t>
                  </w:r>
                </w:p>
              </w:tc>
              <w:tc>
                <w:tcPr>
                  <w:tcW w:w="657" w:type="pct"/>
                  <w:noWrap w:val="0"/>
                  <w:vAlign w:val="center"/>
                </w:tcPr>
                <w:p w14:paraId="28A5E8E6">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“以新带老”消减量</w:t>
                  </w:r>
                </w:p>
              </w:tc>
              <w:tc>
                <w:tcPr>
                  <w:tcW w:w="710" w:type="pct"/>
                  <w:noWrap w:val="0"/>
                  <w:vAlign w:val="center"/>
                </w:tcPr>
                <w:p w14:paraId="47449E52">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排放总量</w:t>
                  </w:r>
                </w:p>
              </w:tc>
              <w:tc>
                <w:tcPr>
                  <w:tcW w:w="703" w:type="pct"/>
                  <w:noWrap w:val="0"/>
                  <w:vAlign w:val="center"/>
                </w:tcPr>
                <w:p w14:paraId="346FD85E">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排放增减量</w:t>
                  </w:r>
                </w:p>
              </w:tc>
            </w:tr>
            <w:tr w14:paraId="28D16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restart"/>
                  <w:noWrap w:val="0"/>
                  <w:vAlign w:val="center"/>
                </w:tcPr>
                <w:p w14:paraId="7419C901">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废水</w:t>
                  </w:r>
                </w:p>
              </w:tc>
              <w:tc>
                <w:tcPr>
                  <w:tcW w:w="1012" w:type="pct"/>
                  <w:gridSpan w:val="2"/>
                  <w:noWrap w:val="0"/>
                  <w:vAlign w:val="center"/>
                </w:tcPr>
                <w:p w14:paraId="571C2695">
                  <w:pPr>
                    <w:pStyle w:val="112"/>
                    <w:keepNext w:val="0"/>
                    <w:keepLines w:val="0"/>
                    <w:pageBreakBefore w:val="0"/>
                    <w:kinsoku/>
                    <w:wordWrap/>
                    <w:overflowPunct/>
                    <w:topLinePunct w:val="0"/>
                    <w:autoSpaceDN/>
                    <w:bidi w:val="0"/>
                    <w:adjustRightInd/>
                    <w:snapToGrid/>
                    <w:rPr>
                      <w:rFonts w:hint="default" w:ascii="Times New Roman" w:hAnsi="Times New Roman" w:eastAsia="宋体" w:cs="Times New Roman"/>
                      <w:sz w:val="21"/>
                      <w:szCs w:val="21"/>
                      <w:u w:val="single"/>
                    </w:rPr>
                  </w:pPr>
                  <w:r>
                    <w:rPr>
                      <w:rFonts w:hint="default" w:ascii="Times New Roman" w:hAnsi="Times New Roman" w:cs="Times New Roman"/>
                      <w:b w:val="0"/>
                      <w:bCs/>
                      <w:sz w:val="21"/>
                      <w:szCs w:val="21"/>
                      <w:u w:val="single"/>
                    </w:rPr>
                    <w:t>生活废水</w:t>
                  </w:r>
                </w:p>
              </w:tc>
              <w:tc>
                <w:tcPr>
                  <w:tcW w:w="821" w:type="pct"/>
                  <w:noWrap w:val="0"/>
                  <w:vAlign w:val="center"/>
                </w:tcPr>
                <w:p w14:paraId="7BA243B6">
                  <w:pPr>
                    <w:pStyle w:val="112"/>
                    <w:keepNext w:val="0"/>
                    <w:keepLines w:val="0"/>
                    <w:pageBreakBefore w:val="0"/>
                    <w:kinsoku/>
                    <w:wordWrap/>
                    <w:overflowPunct/>
                    <w:topLinePunct w:val="0"/>
                    <w:autoSpaceDN/>
                    <w:bidi w:val="0"/>
                    <w:adjustRightInd/>
                    <w:snapToGrid/>
                    <w:rPr>
                      <w:rFonts w:hint="default" w:ascii="Times New Roman" w:hAnsi="Times New Roman" w:eastAsia="宋体" w:cs="Times New Roman"/>
                      <w:sz w:val="21"/>
                      <w:szCs w:val="21"/>
                      <w:u w:val="single"/>
                    </w:rPr>
                  </w:pPr>
                  <w:r>
                    <w:rPr>
                      <w:rFonts w:hint="eastAsia" w:ascii="Times New Roman" w:hAnsi="Times New Roman" w:cs="Times New Roman"/>
                      <w:b w:val="0"/>
                      <w:bCs/>
                      <w:sz w:val="21"/>
                      <w:szCs w:val="21"/>
                      <w:u w:val="single"/>
                      <w:lang w:val="en-US" w:eastAsia="zh-CN"/>
                    </w:rPr>
                    <w:t>63.84</w:t>
                  </w:r>
                </w:p>
              </w:tc>
              <w:tc>
                <w:tcPr>
                  <w:tcW w:w="775" w:type="pct"/>
                  <w:noWrap w:val="0"/>
                  <w:vAlign w:val="center"/>
                </w:tcPr>
                <w:p w14:paraId="56FB26BD">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100.32</w:t>
                  </w:r>
                </w:p>
              </w:tc>
              <w:tc>
                <w:tcPr>
                  <w:tcW w:w="657" w:type="pct"/>
                  <w:noWrap w:val="0"/>
                  <w:vAlign w:val="center"/>
                </w:tcPr>
                <w:p w14:paraId="1E028175">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r>
                    <w:rPr>
                      <w:rFonts w:hint="eastAsia" w:ascii="Times New Roman" w:hAnsi="Times New Roman" w:eastAsia="宋体" w:cs="Times New Roman"/>
                      <w:sz w:val="21"/>
                      <w:szCs w:val="21"/>
                      <w:u w:val="single"/>
                      <w:lang w:val="en-US" w:eastAsia="zh-CN"/>
                    </w:rPr>
                    <w:t>0</w:t>
                  </w:r>
                </w:p>
              </w:tc>
              <w:tc>
                <w:tcPr>
                  <w:tcW w:w="710" w:type="pct"/>
                  <w:shd w:val="clear" w:color="auto" w:fill="auto"/>
                  <w:noWrap w:val="0"/>
                  <w:vAlign w:val="center"/>
                </w:tcPr>
                <w:p w14:paraId="4E55828F">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000000" w:themeColor="text1"/>
                      <w:kern w:val="0"/>
                      <w:sz w:val="21"/>
                      <w:szCs w:val="21"/>
                      <w:u w:val="single"/>
                      <w:lang w:val="en-US" w:eastAsia="zh-CN" w:bidi="ar-SA"/>
                      <w14:textFill>
                        <w14:solidFill>
                          <w14:schemeClr w14:val="tx1"/>
                        </w14:solidFill>
                      </w14:textFill>
                    </w:rPr>
                  </w:pPr>
                  <w:r>
                    <w:rPr>
                      <w:rFonts w:hint="eastAsia" w:ascii="Times New Roman" w:hAnsi="Times New Roman" w:eastAsia="宋体" w:cs="Times New Roman"/>
                      <w:sz w:val="21"/>
                      <w:szCs w:val="21"/>
                      <w:u w:val="single"/>
                      <w:lang w:val="en-US" w:eastAsia="zh-CN"/>
                    </w:rPr>
                    <w:t>100.32</w:t>
                  </w:r>
                </w:p>
              </w:tc>
              <w:tc>
                <w:tcPr>
                  <w:tcW w:w="703" w:type="pct"/>
                  <w:noWrap w:val="0"/>
                  <w:vAlign w:val="center"/>
                </w:tcPr>
                <w:p w14:paraId="6EFCE3FE">
                  <w:pPr>
                    <w:pStyle w:val="112"/>
                    <w:keepNext w:val="0"/>
                    <w:keepLines w:val="0"/>
                    <w:pageBreakBefore w:val="0"/>
                    <w:kinsoku/>
                    <w:wordWrap/>
                    <w:overflowPunct/>
                    <w:topLinePunct w:val="0"/>
                    <w:autoSpaceDN/>
                    <w:bidi w:val="0"/>
                    <w:adjustRightInd/>
                    <w:snapToGrid/>
                    <w:rPr>
                      <w:rFonts w:hint="default" w:ascii="Times New Roman" w:hAnsi="Times New Roman" w:eastAsia="宋体" w:cs="Times New Roman"/>
                      <w:sz w:val="21"/>
                      <w:szCs w:val="21"/>
                      <w:u w:val="single"/>
                    </w:rPr>
                  </w:pPr>
                  <w:r>
                    <w:rPr>
                      <w:rFonts w:hint="eastAsia" w:ascii="Times New Roman" w:hAnsi="Times New Roman" w:cs="Times New Roman"/>
                      <w:b w:val="0"/>
                      <w:bCs/>
                      <w:sz w:val="21"/>
                      <w:szCs w:val="21"/>
                      <w:u w:val="single"/>
                      <w:lang w:val="en-US" w:eastAsia="zh-CN"/>
                    </w:rPr>
                    <w:t>+63.84</w:t>
                  </w:r>
                </w:p>
              </w:tc>
            </w:tr>
            <w:tr w14:paraId="487E5A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noWrap w:val="0"/>
                  <w:vAlign w:val="center"/>
                </w:tcPr>
                <w:p w14:paraId="3675E846">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p>
              </w:tc>
              <w:tc>
                <w:tcPr>
                  <w:tcW w:w="1012" w:type="pct"/>
                  <w:gridSpan w:val="2"/>
                  <w:noWrap w:val="0"/>
                  <w:vAlign w:val="center"/>
                </w:tcPr>
                <w:p w14:paraId="71606EFB">
                  <w:pPr>
                    <w:pStyle w:val="112"/>
                    <w:keepNext w:val="0"/>
                    <w:keepLines w:val="0"/>
                    <w:pageBreakBefore w:val="0"/>
                    <w:kinsoku/>
                    <w:wordWrap/>
                    <w:overflowPunct/>
                    <w:topLinePunct w:val="0"/>
                    <w:autoSpaceDN/>
                    <w:bidi w:val="0"/>
                    <w:adjustRightInd/>
                    <w:snapToGrid/>
                    <w:rPr>
                      <w:rFonts w:hint="default" w:ascii="Times New Roman" w:hAnsi="Times New Roman" w:eastAsia="宋体" w:cs="Times New Roman"/>
                      <w:sz w:val="21"/>
                      <w:szCs w:val="21"/>
                      <w:u w:val="single"/>
                    </w:rPr>
                  </w:pPr>
                  <w:r>
                    <w:rPr>
                      <w:rFonts w:hint="eastAsia" w:ascii="Times New Roman" w:hAnsi="Times New Roman" w:cs="Times New Roman"/>
                      <w:b w:val="0"/>
                      <w:bCs/>
                      <w:sz w:val="21"/>
                      <w:szCs w:val="21"/>
                      <w:u w:val="single"/>
                      <w:lang w:eastAsia="zh-CN"/>
                    </w:rPr>
                    <w:t>养护</w:t>
                  </w:r>
                  <w:r>
                    <w:rPr>
                      <w:rFonts w:hint="default" w:ascii="Times New Roman" w:hAnsi="Times New Roman" w:cs="Times New Roman"/>
                      <w:b w:val="0"/>
                      <w:bCs/>
                      <w:sz w:val="21"/>
                      <w:szCs w:val="21"/>
                      <w:u w:val="single"/>
                    </w:rPr>
                    <w:t>废水</w:t>
                  </w:r>
                </w:p>
              </w:tc>
              <w:tc>
                <w:tcPr>
                  <w:tcW w:w="821" w:type="pct"/>
                  <w:noWrap w:val="0"/>
                  <w:vAlign w:val="center"/>
                </w:tcPr>
                <w:p w14:paraId="3E1E57E5">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sz w:val="21"/>
                      <w:szCs w:val="21"/>
                      <w:u w:val="single"/>
                    </w:rPr>
                  </w:pPr>
                  <w:r>
                    <w:rPr>
                      <w:rFonts w:hint="eastAsia" w:ascii="Times New Roman" w:hAnsi="Times New Roman" w:cs="Times New Roman"/>
                      <w:b w:val="0"/>
                      <w:bCs/>
                      <w:sz w:val="21"/>
                      <w:szCs w:val="21"/>
                      <w:u w:val="single"/>
                      <w:lang w:val="en-US" w:eastAsia="zh-CN"/>
                    </w:rPr>
                    <w:t>1.509</w:t>
                  </w:r>
                </w:p>
              </w:tc>
              <w:tc>
                <w:tcPr>
                  <w:tcW w:w="775" w:type="pct"/>
                  <w:noWrap w:val="0"/>
                  <w:vAlign w:val="center"/>
                </w:tcPr>
                <w:p w14:paraId="4DDAC9AA">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2.64</w:t>
                  </w:r>
                </w:p>
              </w:tc>
              <w:tc>
                <w:tcPr>
                  <w:tcW w:w="657" w:type="pct"/>
                  <w:noWrap w:val="0"/>
                  <w:vAlign w:val="center"/>
                </w:tcPr>
                <w:p w14:paraId="464A256C">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0</w:t>
                  </w:r>
                </w:p>
              </w:tc>
              <w:tc>
                <w:tcPr>
                  <w:tcW w:w="710" w:type="pct"/>
                  <w:shd w:val="clear" w:color="auto" w:fill="auto"/>
                  <w:noWrap w:val="0"/>
                  <w:vAlign w:val="center"/>
                </w:tcPr>
                <w:p w14:paraId="0C6CC9C0">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000000" w:themeColor="text1"/>
                      <w:kern w:val="0"/>
                      <w:sz w:val="21"/>
                      <w:szCs w:val="21"/>
                      <w:u w:val="single"/>
                      <w:lang w:val="en-US" w:eastAsia="zh-CN" w:bidi="ar-SA"/>
                      <w14:textFill>
                        <w14:solidFill>
                          <w14:schemeClr w14:val="tx1"/>
                        </w14:solidFill>
                      </w14:textFill>
                    </w:rPr>
                  </w:pPr>
                  <w:r>
                    <w:rPr>
                      <w:rFonts w:hint="eastAsia" w:ascii="Times New Roman" w:hAnsi="Times New Roman" w:eastAsia="宋体" w:cs="Times New Roman"/>
                      <w:sz w:val="21"/>
                      <w:szCs w:val="21"/>
                      <w:u w:val="single"/>
                      <w:lang w:val="en-US" w:eastAsia="zh-CN"/>
                    </w:rPr>
                    <w:t>2.64</w:t>
                  </w:r>
                </w:p>
              </w:tc>
              <w:tc>
                <w:tcPr>
                  <w:tcW w:w="703" w:type="pct"/>
                  <w:noWrap w:val="0"/>
                  <w:vAlign w:val="center"/>
                </w:tcPr>
                <w:p w14:paraId="4EB62E5F">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sz w:val="21"/>
                      <w:szCs w:val="21"/>
                      <w:u w:val="single"/>
                    </w:rPr>
                  </w:pPr>
                  <w:r>
                    <w:rPr>
                      <w:rFonts w:hint="eastAsia" w:ascii="Times New Roman" w:hAnsi="Times New Roman" w:cs="Times New Roman"/>
                      <w:b w:val="0"/>
                      <w:bCs/>
                      <w:sz w:val="21"/>
                      <w:szCs w:val="21"/>
                      <w:u w:val="single"/>
                      <w:lang w:val="en-US" w:eastAsia="zh-CN"/>
                    </w:rPr>
                    <w:t>+1.509</w:t>
                  </w:r>
                </w:p>
              </w:tc>
            </w:tr>
            <w:tr w14:paraId="39C5FC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noWrap w:val="0"/>
                  <w:vAlign w:val="center"/>
                </w:tcPr>
                <w:p w14:paraId="397FDDA7">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p>
              </w:tc>
              <w:tc>
                <w:tcPr>
                  <w:tcW w:w="1012" w:type="pct"/>
                  <w:gridSpan w:val="2"/>
                  <w:noWrap w:val="0"/>
                  <w:vAlign w:val="center"/>
                </w:tcPr>
                <w:p w14:paraId="49685002">
                  <w:pPr>
                    <w:pStyle w:val="112"/>
                    <w:keepNext w:val="0"/>
                    <w:keepLines w:val="0"/>
                    <w:pageBreakBefore w:val="0"/>
                    <w:kinsoku/>
                    <w:wordWrap/>
                    <w:overflowPunct/>
                    <w:topLinePunct w:val="0"/>
                    <w:autoSpaceDN/>
                    <w:bidi w:val="0"/>
                    <w:adjustRightInd/>
                    <w:snapToGrid/>
                    <w:rPr>
                      <w:rFonts w:hint="eastAsia" w:ascii="Times New Roman" w:hAnsi="Times New Roman" w:eastAsia="宋体" w:cs="Times New Roman"/>
                      <w:sz w:val="21"/>
                      <w:szCs w:val="21"/>
                      <w:u w:val="single"/>
                    </w:rPr>
                  </w:pPr>
                  <w:r>
                    <w:rPr>
                      <w:rFonts w:hint="eastAsia" w:ascii="Times New Roman" w:hAnsi="Times New Roman" w:cs="Times New Roman"/>
                      <w:b w:val="0"/>
                      <w:bCs/>
                      <w:sz w:val="21"/>
                      <w:szCs w:val="21"/>
                      <w:u w:val="single"/>
                      <w:lang w:eastAsia="zh-CN"/>
                    </w:rPr>
                    <w:t>搅拌废水</w:t>
                  </w:r>
                </w:p>
              </w:tc>
              <w:tc>
                <w:tcPr>
                  <w:tcW w:w="821" w:type="pct"/>
                  <w:noWrap w:val="0"/>
                  <w:vAlign w:val="center"/>
                </w:tcPr>
                <w:p w14:paraId="611732FB">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sz w:val="21"/>
                      <w:szCs w:val="21"/>
                      <w:u w:val="single"/>
                    </w:rPr>
                  </w:pPr>
                  <w:r>
                    <w:rPr>
                      <w:rFonts w:hint="eastAsia" w:ascii="Times New Roman" w:hAnsi="Times New Roman" w:cs="Times New Roman"/>
                      <w:b w:val="0"/>
                      <w:bCs/>
                      <w:sz w:val="21"/>
                      <w:szCs w:val="21"/>
                      <w:u w:val="single"/>
                      <w:lang w:val="en-US" w:eastAsia="zh-CN"/>
                    </w:rPr>
                    <w:t>60</w:t>
                  </w:r>
                </w:p>
              </w:tc>
              <w:tc>
                <w:tcPr>
                  <w:tcW w:w="775" w:type="pct"/>
                  <w:noWrap w:val="0"/>
                  <w:vAlign w:val="center"/>
                </w:tcPr>
                <w:p w14:paraId="78D9F5E3">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120</w:t>
                  </w:r>
                </w:p>
              </w:tc>
              <w:tc>
                <w:tcPr>
                  <w:tcW w:w="657" w:type="pct"/>
                  <w:noWrap w:val="0"/>
                  <w:vAlign w:val="center"/>
                </w:tcPr>
                <w:p w14:paraId="0FE9D791">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sz w:val="21"/>
                      <w:szCs w:val="21"/>
                      <w:u w:val="single"/>
                    </w:rPr>
                  </w:pPr>
                  <w:r>
                    <w:rPr>
                      <w:rFonts w:hint="eastAsia" w:ascii="Times New Roman" w:hAnsi="Times New Roman" w:eastAsia="宋体" w:cs="Times New Roman"/>
                      <w:sz w:val="21"/>
                      <w:szCs w:val="21"/>
                      <w:u w:val="single"/>
                    </w:rPr>
                    <w:t>0</w:t>
                  </w:r>
                </w:p>
              </w:tc>
              <w:tc>
                <w:tcPr>
                  <w:tcW w:w="710" w:type="pct"/>
                  <w:shd w:val="clear" w:color="auto" w:fill="auto"/>
                  <w:noWrap w:val="0"/>
                  <w:vAlign w:val="center"/>
                </w:tcPr>
                <w:p w14:paraId="07AFA53B">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color w:val="000000" w:themeColor="text1"/>
                      <w:kern w:val="0"/>
                      <w:sz w:val="21"/>
                      <w:szCs w:val="21"/>
                      <w:u w:val="single"/>
                      <w:lang w:val="en-US" w:eastAsia="zh-CN" w:bidi="ar-SA"/>
                      <w14:textFill>
                        <w14:solidFill>
                          <w14:schemeClr w14:val="tx1"/>
                        </w14:solidFill>
                      </w14:textFill>
                    </w:rPr>
                  </w:pPr>
                  <w:r>
                    <w:rPr>
                      <w:rFonts w:hint="eastAsia" w:ascii="Times New Roman" w:hAnsi="Times New Roman" w:eastAsia="宋体" w:cs="Times New Roman"/>
                      <w:sz w:val="21"/>
                      <w:szCs w:val="21"/>
                      <w:u w:val="single"/>
                      <w:lang w:val="en-US" w:eastAsia="zh-CN"/>
                    </w:rPr>
                    <w:t>120</w:t>
                  </w:r>
                </w:p>
              </w:tc>
              <w:tc>
                <w:tcPr>
                  <w:tcW w:w="703" w:type="pct"/>
                  <w:noWrap w:val="0"/>
                  <w:vAlign w:val="center"/>
                </w:tcPr>
                <w:p w14:paraId="399FF4D9">
                  <w:pPr>
                    <w:keepNext w:val="0"/>
                    <w:keepLines w:val="0"/>
                    <w:pageBreakBefore w:val="0"/>
                    <w:kinsoku/>
                    <w:wordWrap/>
                    <w:overflowPunct/>
                    <w:topLinePunct w:val="0"/>
                    <w:autoSpaceDN/>
                    <w:bidi w:val="0"/>
                    <w:adjustRightInd/>
                    <w:snapToGrid/>
                    <w:jc w:val="center"/>
                    <w:rPr>
                      <w:rFonts w:hint="eastAsia" w:ascii="Times New Roman" w:hAnsi="Times New Roman" w:eastAsia="宋体" w:cs="Times New Roman"/>
                      <w:sz w:val="21"/>
                      <w:szCs w:val="21"/>
                      <w:u w:val="single"/>
                    </w:rPr>
                  </w:pPr>
                  <w:r>
                    <w:rPr>
                      <w:rFonts w:hint="eastAsia" w:ascii="Times New Roman" w:hAnsi="Times New Roman" w:cs="Times New Roman"/>
                      <w:b w:val="0"/>
                      <w:bCs/>
                      <w:sz w:val="21"/>
                      <w:szCs w:val="21"/>
                      <w:u w:val="single"/>
                      <w:lang w:val="en-US" w:eastAsia="zh-CN"/>
                    </w:rPr>
                    <w:t>+60</w:t>
                  </w:r>
                </w:p>
              </w:tc>
            </w:tr>
            <w:tr w14:paraId="5015C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19" w:type="pct"/>
                  <w:vMerge w:val="restart"/>
                  <w:noWrap w:val="0"/>
                  <w:vAlign w:val="center"/>
                </w:tcPr>
                <w:p w14:paraId="263C72C3">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废气</w:t>
                  </w:r>
                </w:p>
              </w:tc>
              <w:tc>
                <w:tcPr>
                  <w:tcW w:w="522" w:type="pct"/>
                  <w:vMerge w:val="restart"/>
                  <w:noWrap w:val="0"/>
                  <w:vAlign w:val="center"/>
                </w:tcPr>
                <w:p w14:paraId="10A0C16C">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sz w:val="21"/>
                      <w:szCs w:val="21"/>
                      <w:u w:val="single"/>
                      <w:lang w:eastAsia="zh-CN"/>
                    </w:rPr>
                  </w:pPr>
                  <w:r>
                    <w:rPr>
                      <w:rFonts w:hint="eastAsia" w:ascii="Times New Roman" w:hAnsi="Times New Roman" w:eastAsia="宋体" w:cs="Times New Roman"/>
                      <w:sz w:val="21"/>
                      <w:szCs w:val="21"/>
                      <w:u w:val="single"/>
                      <w:lang w:eastAsia="zh-CN"/>
                    </w:rPr>
                    <w:t>燃烧废气</w:t>
                  </w:r>
                </w:p>
              </w:tc>
              <w:tc>
                <w:tcPr>
                  <w:tcW w:w="490" w:type="pct"/>
                  <w:noWrap w:val="0"/>
                  <w:vAlign w:val="center"/>
                </w:tcPr>
                <w:p w14:paraId="147D6D16">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SO</w:t>
                  </w:r>
                  <w:r>
                    <w:rPr>
                      <w:rFonts w:hint="default" w:ascii="Times New Roman" w:hAnsi="Times New Roman" w:eastAsia="宋体" w:cs="Times New Roman"/>
                      <w:sz w:val="21"/>
                      <w:szCs w:val="21"/>
                      <w:u w:val="single"/>
                      <w:vertAlign w:val="subscript"/>
                    </w:rPr>
                    <w:t>2</w:t>
                  </w:r>
                </w:p>
              </w:tc>
              <w:tc>
                <w:tcPr>
                  <w:tcW w:w="821" w:type="pct"/>
                  <w:noWrap w:val="0"/>
                  <w:vAlign w:val="center"/>
                </w:tcPr>
                <w:p w14:paraId="716080F4">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rPr>
                  </w:pPr>
                  <w:r>
                    <w:rPr>
                      <w:rFonts w:hint="eastAsia" w:ascii="Times New Roman" w:hAnsi="Times New Roman" w:cs="Times New Roman"/>
                      <w:color w:val="auto"/>
                      <w:sz w:val="21"/>
                      <w:szCs w:val="21"/>
                      <w:u w:val="single"/>
                      <w:lang w:val="en-US" w:eastAsia="zh-CN"/>
                    </w:rPr>
                    <w:t>0.008</w:t>
                  </w:r>
                </w:p>
              </w:tc>
              <w:tc>
                <w:tcPr>
                  <w:tcW w:w="775" w:type="pct"/>
                  <w:shd w:val="clear" w:color="auto" w:fill="auto"/>
                  <w:noWrap w:val="0"/>
                  <w:vAlign w:val="center"/>
                </w:tcPr>
                <w:p w14:paraId="11DAAB45">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lang w:val="en-US" w:eastAsia="zh-CN" w:bidi="ar-SA"/>
                    </w:rPr>
                  </w:pPr>
                  <w:r>
                    <w:rPr>
                      <w:rFonts w:hint="eastAsia" w:ascii="Times New Roman" w:hAnsi="Times New Roman" w:cs="Times New Roman"/>
                      <w:sz w:val="21"/>
                      <w:szCs w:val="21"/>
                      <w:u w:val="none"/>
                      <w:lang w:val="en-US" w:eastAsia="zh-CN"/>
                    </w:rPr>
                    <w:t>0.016</w:t>
                  </w:r>
                </w:p>
              </w:tc>
              <w:tc>
                <w:tcPr>
                  <w:tcW w:w="657" w:type="pct"/>
                  <w:shd w:val="clear" w:color="auto" w:fill="auto"/>
                  <w:noWrap w:val="0"/>
                  <w:vAlign w:val="center"/>
                </w:tcPr>
                <w:p w14:paraId="15E14F8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lang w:val="en-US" w:eastAsia="zh-CN" w:bidi="ar-SA"/>
                    </w:rPr>
                  </w:pPr>
                  <w:r>
                    <w:rPr>
                      <w:rFonts w:hint="eastAsia" w:ascii="Times New Roman" w:hAnsi="Times New Roman" w:eastAsia="宋体" w:cs="Times New Roman"/>
                      <w:sz w:val="21"/>
                      <w:szCs w:val="21"/>
                      <w:u w:val="single"/>
                    </w:rPr>
                    <w:t>0</w:t>
                  </w:r>
                </w:p>
              </w:tc>
              <w:tc>
                <w:tcPr>
                  <w:tcW w:w="710" w:type="pct"/>
                  <w:noWrap w:val="0"/>
                  <w:vAlign w:val="center"/>
                </w:tcPr>
                <w:p w14:paraId="155A295C">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single"/>
                    </w:rPr>
                  </w:pPr>
                  <w:r>
                    <w:rPr>
                      <w:rFonts w:hint="eastAsia" w:ascii="Times New Roman" w:hAnsi="Times New Roman" w:cs="Times New Roman"/>
                      <w:sz w:val="21"/>
                      <w:szCs w:val="21"/>
                      <w:u w:val="none"/>
                      <w:lang w:val="en-US" w:eastAsia="zh-CN"/>
                    </w:rPr>
                    <w:t>0.016</w:t>
                  </w:r>
                </w:p>
              </w:tc>
              <w:tc>
                <w:tcPr>
                  <w:tcW w:w="1283" w:type="dxa"/>
                  <w:noWrap w:val="0"/>
                  <w:vAlign w:val="center"/>
                </w:tcPr>
                <w:p w14:paraId="79E91030">
                  <w:pPr>
                    <w:keepNext w:val="0"/>
                    <w:keepLines w:val="0"/>
                    <w:pageBreakBefore w:val="0"/>
                    <w:widowControl/>
                    <w:suppressLineNumbers w:val="0"/>
                    <w:kinsoku/>
                    <w:wordWrap/>
                    <w:overflowPunct/>
                    <w:topLinePunct w:val="0"/>
                    <w:autoSpaceDN/>
                    <w:bidi w:val="0"/>
                    <w:adjustRightInd/>
                    <w:snapToGrid/>
                    <w:jc w:val="center"/>
                    <w:textAlignment w:val="center"/>
                    <w:rPr>
                      <w:rFonts w:hint="default" w:ascii="Times New Roman" w:hAnsi="Times New Roman" w:eastAsia="宋体" w:cs="Times New Roman"/>
                      <w:sz w:val="21"/>
                      <w:szCs w:val="21"/>
                      <w:u w:val="single"/>
                      <w:lang w:val="en-US"/>
                    </w:rPr>
                  </w:pPr>
                  <w:r>
                    <w:rPr>
                      <w:rFonts w:hint="eastAsia" w:ascii="Times New Roman" w:hAnsi="Times New Roman" w:cs="Times New Roman"/>
                      <w:i w:val="0"/>
                      <w:iCs w:val="0"/>
                      <w:color w:val="000000"/>
                      <w:kern w:val="0"/>
                      <w:sz w:val="22"/>
                      <w:szCs w:val="22"/>
                      <w:u w:val="single"/>
                      <w:lang w:val="en-US" w:eastAsia="zh-CN" w:bidi="ar"/>
                    </w:rPr>
                    <w:t>+</w:t>
                  </w:r>
                  <w:r>
                    <w:rPr>
                      <w:rFonts w:hint="default" w:ascii="Times New Roman" w:hAnsi="Times New Roman" w:eastAsia="宋体" w:cs="Times New Roman"/>
                      <w:i w:val="0"/>
                      <w:iCs w:val="0"/>
                      <w:color w:val="000000"/>
                      <w:kern w:val="0"/>
                      <w:sz w:val="22"/>
                      <w:szCs w:val="22"/>
                      <w:u w:val="single"/>
                      <w:lang w:val="en-US" w:eastAsia="zh-CN" w:bidi="ar"/>
                    </w:rPr>
                    <w:t>0.0</w:t>
                  </w:r>
                  <w:r>
                    <w:rPr>
                      <w:rFonts w:hint="eastAsia" w:ascii="Times New Roman" w:hAnsi="Times New Roman" w:cs="Times New Roman"/>
                      <w:i w:val="0"/>
                      <w:iCs w:val="0"/>
                      <w:color w:val="000000"/>
                      <w:kern w:val="0"/>
                      <w:sz w:val="22"/>
                      <w:szCs w:val="22"/>
                      <w:u w:val="single"/>
                      <w:lang w:val="en-US" w:eastAsia="zh-CN" w:bidi="ar"/>
                    </w:rPr>
                    <w:t>08</w:t>
                  </w:r>
                </w:p>
              </w:tc>
            </w:tr>
            <w:tr w14:paraId="1CDA0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9" w:type="pct"/>
                  <w:vMerge w:val="continue"/>
                  <w:noWrap w:val="0"/>
                  <w:vAlign w:val="center"/>
                </w:tcPr>
                <w:p w14:paraId="4494E692">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p>
              </w:tc>
              <w:tc>
                <w:tcPr>
                  <w:tcW w:w="522" w:type="pct"/>
                  <w:vMerge w:val="continue"/>
                  <w:noWrap w:val="0"/>
                  <w:vAlign w:val="center"/>
                </w:tcPr>
                <w:p w14:paraId="6CFD5570">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sz w:val="21"/>
                      <w:szCs w:val="21"/>
                      <w:u w:val="single"/>
                    </w:rPr>
                  </w:pPr>
                </w:p>
              </w:tc>
              <w:tc>
                <w:tcPr>
                  <w:tcW w:w="490" w:type="pct"/>
                  <w:noWrap w:val="0"/>
                  <w:vAlign w:val="center"/>
                </w:tcPr>
                <w:p w14:paraId="4483B2C6">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rPr>
                    <w:t>NO</w:t>
                  </w:r>
                  <w:r>
                    <w:rPr>
                      <w:rFonts w:hint="eastAsia" w:ascii="Times New Roman" w:hAnsi="Times New Roman" w:eastAsia="宋体" w:cs="Times New Roman"/>
                      <w:sz w:val="21"/>
                      <w:szCs w:val="21"/>
                      <w:u w:val="single"/>
                      <w:lang w:val="en-US" w:eastAsia="zh-CN"/>
                    </w:rPr>
                    <w:t>x</w:t>
                  </w:r>
                </w:p>
              </w:tc>
              <w:tc>
                <w:tcPr>
                  <w:tcW w:w="821" w:type="pct"/>
                  <w:shd w:val="clear" w:color="auto" w:fill="auto"/>
                  <w:noWrap w:val="0"/>
                  <w:vAlign w:val="center"/>
                </w:tcPr>
                <w:p w14:paraId="5C418B27">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u w:val="single"/>
                      <w:lang w:val="en-US" w:eastAsia="zh-CN" w:bidi="ar-SA"/>
                    </w:rPr>
                  </w:pPr>
                  <w:r>
                    <w:rPr>
                      <w:rFonts w:hint="eastAsia" w:ascii="Times New Roman" w:hAnsi="Times New Roman" w:cs="Times New Roman"/>
                      <w:color w:val="auto"/>
                      <w:sz w:val="21"/>
                      <w:szCs w:val="21"/>
                      <w:u w:val="single"/>
                      <w:lang w:val="en-US" w:eastAsia="zh-CN"/>
                    </w:rPr>
                    <w:t>0.048</w:t>
                  </w:r>
                </w:p>
              </w:tc>
              <w:tc>
                <w:tcPr>
                  <w:tcW w:w="775" w:type="pct"/>
                  <w:shd w:val="clear" w:color="auto" w:fill="auto"/>
                  <w:noWrap w:val="0"/>
                  <w:vAlign w:val="center"/>
                </w:tcPr>
                <w:p w14:paraId="770A76F4">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u w:val="none"/>
                      <w:lang w:val="en-US" w:eastAsia="zh-CN" w:bidi="ar-SA"/>
                    </w:rPr>
                  </w:pPr>
                  <w:r>
                    <w:rPr>
                      <w:rFonts w:hint="eastAsia" w:ascii="Times New Roman" w:hAnsi="Times New Roman" w:cs="Times New Roman"/>
                      <w:sz w:val="21"/>
                      <w:szCs w:val="21"/>
                      <w:u w:val="none"/>
                      <w:lang w:val="en-US" w:eastAsia="zh-CN"/>
                    </w:rPr>
                    <w:t>0.0964</w:t>
                  </w:r>
                </w:p>
              </w:tc>
              <w:tc>
                <w:tcPr>
                  <w:tcW w:w="657" w:type="pct"/>
                  <w:shd w:val="clear" w:color="auto" w:fill="auto"/>
                  <w:noWrap w:val="0"/>
                  <w:vAlign w:val="center"/>
                </w:tcPr>
                <w:p w14:paraId="0D76343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lang w:val="en-US" w:eastAsia="zh-CN" w:bidi="ar-SA"/>
                    </w:rPr>
                  </w:pPr>
                  <w:r>
                    <w:rPr>
                      <w:rFonts w:hint="eastAsia" w:ascii="Times New Roman" w:hAnsi="Times New Roman" w:eastAsia="宋体" w:cs="Times New Roman"/>
                      <w:sz w:val="21"/>
                      <w:szCs w:val="21"/>
                      <w:u w:val="single"/>
                    </w:rPr>
                    <w:t>0</w:t>
                  </w:r>
                </w:p>
              </w:tc>
              <w:tc>
                <w:tcPr>
                  <w:tcW w:w="710" w:type="pct"/>
                  <w:noWrap w:val="0"/>
                  <w:vAlign w:val="center"/>
                </w:tcPr>
                <w:p w14:paraId="4590C2E9">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u w:val="single"/>
                    </w:rPr>
                  </w:pPr>
                  <w:r>
                    <w:rPr>
                      <w:rFonts w:hint="eastAsia" w:ascii="Times New Roman" w:hAnsi="Times New Roman" w:cs="Times New Roman"/>
                      <w:sz w:val="21"/>
                      <w:szCs w:val="21"/>
                      <w:u w:val="none"/>
                      <w:lang w:val="en-US" w:eastAsia="zh-CN"/>
                    </w:rPr>
                    <w:t>0.0321</w:t>
                  </w:r>
                </w:p>
              </w:tc>
              <w:tc>
                <w:tcPr>
                  <w:tcW w:w="1283" w:type="dxa"/>
                  <w:noWrap w:val="0"/>
                  <w:vAlign w:val="center"/>
                </w:tcPr>
                <w:p w14:paraId="7521D0F5">
                  <w:pPr>
                    <w:keepNext w:val="0"/>
                    <w:keepLines w:val="0"/>
                    <w:pageBreakBefore w:val="0"/>
                    <w:widowControl/>
                    <w:suppressLineNumbers w:val="0"/>
                    <w:kinsoku/>
                    <w:wordWrap/>
                    <w:overflowPunct/>
                    <w:topLinePunct w:val="0"/>
                    <w:autoSpaceDN/>
                    <w:bidi w:val="0"/>
                    <w:adjustRightInd/>
                    <w:snapToGrid/>
                    <w:jc w:val="center"/>
                    <w:textAlignment w:val="center"/>
                    <w:rPr>
                      <w:rFonts w:hint="default" w:ascii="Times New Roman" w:hAnsi="Times New Roman" w:eastAsia="宋体" w:cs="Times New Roman"/>
                      <w:sz w:val="21"/>
                      <w:szCs w:val="21"/>
                      <w:u w:val="single"/>
                      <w:lang w:val="en-US"/>
                    </w:rPr>
                  </w:pPr>
                  <w:r>
                    <w:rPr>
                      <w:rFonts w:hint="eastAsia" w:ascii="Times New Roman" w:hAnsi="Times New Roman" w:cs="Times New Roman"/>
                      <w:i w:val="0"/>
                      <w:iCs w:val="0"/>
                      <w:color w:val="000000"/>
                      <w:kern w:val="0"/>
                      <w:sz w:val="22"/>
                      <w:szCs w:val="22"/>
                      <w:u w:val="single"/>
                      <w:lang w:val="en-US" w:eastAsia="zh-CN" w:bidi="ar"/>
                    </w:rPr>
                    <w:t>+</w:t>
                  </w:r>
                  <w:r>
                    <w:rPr>
                      <w:rFonts w:hint="default" w:ascii="Times New Roman" w:hAnsi="Times New Roman" w:eastAsia="宋体" w:cs="Times New Roman"/>
                      <w:i w:val="0"/>
                      <w:iCs w:val="0"/>
                      <w:color w:val="000000"/>
                      <w:kern w:val="0"/>
                      <w:sz w:val="22"/>
                      <w:szCs w:val="22"/>
                      <w:u w:val="single"/>
                      <w:lang w:val="en-US" w:eastAsia="zh-CN" w:bidi="ar"/>
                    </w:rPr>
                    <w:t>0.0484</w:t>
                  </w:r>
                </w:p>
              </w:tc>
            </w:tr>
            <w:tr w14:paraId="2C8EFD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19" w:type="pct"/>
                  <w:vMerge w:val="continue"/>
                  <w:noWrap w:val="0"/>
                  <w:vAlign w:val="center"/>
                </w:tcPr>
                <w:p w14:paraId="07F43A33">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sz w:val="21"/>
                      <w:szCs w:val="21"/>
                      <w:u w:val="single"/>
                    </w:rPr>
                  </w:pPr>
                </w:p>
              </w:tc>
              <w:tc>
                <w:tcPr>
                  <w:tcW w:w="522" w:type="pct"/>
                  <w:vMerge w:val="continue"/>
                  <w:noWrap w:val="0"/>
                  <w:vAlign w:val="center"/>
                </w:tcPr>
                <w:p w14:paraId="4BA3E738">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sz w:val="21"/>
                      <w:szCs w:val="21"/>
                      <w:u w:val="single"/>
                    </w:rPr>
                  </w:pPr>
                </w:p>
              </w:tc>
              <w:tc>
                <w:tcPr>
                  <w:tcW w:w="490" w:type="pct"/>
                  <w:noWrap w:val="0"/>
                  <w:vAlign w:val="center"/>
                </w:tcPr>
                <w:p w14:paraId="10C34EFF">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sz w:val="21"/>
                      <w:szCs w:val="21"/>
                      <w:u w:val="single"/>
                    </w:rPr>
                  </w:pPr>
                  <w:r>
                    <w:rPr>
                      <w:rFonts w:hint="eastAsia" w:ascii="Times New Roman" w:hAnsi="Times New Roman" w:eastAsia="宋体" w:cs="Times New Roman"/>
                      <w:sz w:val="21"/>
                      <w:szCs w:val="21"/>
                      <w:u w:val="single"/>
                    </w:rPr>
                    <w:t>颗粒物</w:t>
                  </w:r>
                </w:p>
              </w:tc>
              <w:tc>
                <w:tcPr>
                  <w:tcW w:w="821" w:type="pct"/>
                  <w:shd w:val="clear" w:color="auto" w:fill="auto"/>
                  <w:noWrap w:val="0"/>
                  <w:vAlign w:val="center"/>
                </w:tcPr>
                <w:p w14:paraId="21E56AB2">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u w:val="single"/>
                      <w:lang w:val="en-US" w:eastAsia="zh-CN" w:bidi="ar-SA"/>
                    </w:rPr>
                  </w:pPr>
                  <w:r>
                    <w:rPr>
                      <w:rFonts w:hint="default" w:ascii="Times New Roman" w:hAnsi="Times New Roman" w:eastAsia="宋体" w:cs="Times New Roman"/>
                      <w:i w:val="0"/>
                      <w:iCs w:val="0"/>
                      <w:color w:val="000000"/>
                      <w:kern w:val="0"/>
                      <w:sz w:val="21"/>
                      <w:szCs w:val="21"/>
                      <w:u w:val="single"/>
                      <w:lang w:val="en-US" w:eastAsia="zh-CN" w:bidi="ar"/>
                    </w:rPr>
                    <w:t>0.0</w:t>
                  </w:r>
                  <w:r>
                    <w:rPr>
                      <w:rFonts w:hint="eastAsia" w:ascii="Times New Roman" w:hAnsi="Times New Roman" w:eastAsia="宋体" w:cs="Times New Roman"/>
                      <w:i w:val="0"/>
                      <w:iCs w:val="0"/>
                      <w:color w:val="000000"/>
                      <w:kern w:val="0"/>
                      <w:sz w:val="21"/>
                      <w:szCs w:val="21"/>
                      <w:u w:val="single"/>
                      <w:lang w:val="en-US" w:eastAsia="zh-CN" w:bidi="ar"/>
                    </w:rPr>
                    <w:t>000</w:t>
                  </w:r>
                  <w:r>
                    <w:rPr>
                      <w:rFonts w:hint="default" w:ascii="Times New Roman" w:hAnsi="Times New Roman" w:eastAsia="宋体" w:cs="Times New Roman"/>
                      <w:i w:val="0"/>
                      <w:iCs w:val="0"/>
                      <w:color w:val="000000"/>
                      <w:kern w:val="0"/>
                      <w:sz w:val="21"/>
                      <w:szCs w:val="21"/>
                      <w:u w:val="single"/>
                      <w:lang w:val="en-US" w:eastAsia="zh-CN" w:bidi="ar"/>
                    </w:rPr>
                    <w:t>70</w:t>
                  </w:r>
                  <w:r>
                    <w:rPr>
                      <w:rFonts w:hint="eastAsia" w:ascii="Times New Roman" w:hAnsi="Times New Roman" w:cs="Times New Roman"/>
                      <w:i w:val="0"/>
                      <w:iCs w:val="0"/>
                      <w:color w:val="000000"/>
                      <w:kern w:val="0"/>
                      <w:sz w:val="21"/>
                      <w:szCs w:val="21"/>
                      <w:u w:val="single"/>
                      <w:lang w:val="en-US" w:eastAsia="zh-CN" w:bidi="ar"/>
                    </w:rPr>
                    <w:t>9</w:t>
                  </w:r>
                </w:p>
              </w:tc>
              <w:tc>
                <w:tcPr>
                  <w:tcW w:w="775" w:type="pct"/>
                  <w:shd w:val="clear" w:color="auto" w:fill="auto"/>
                  <w:noWrap w:val="0"/>
                  <w:vAlign w:val="center"/>
                </w:tcPr>
                <w:p w14:paraId="7432604E">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u w:val="none"/>
                      <w:lang w:val="en-US" w:eastAsia="zh-CN" w:bidi="ar-SA"/>
                    </w:rPr>
                  </w:pPr>
                  <w:r>
                    <w:rPr>
                      <w:rFonts w:hint="eastAsia" w:ascii="Times New Roman" w:hAnsi="Times New Roman" w:cs="Times New Roman"/>
                      <w:sz w:val="21"/>
                      <w:szCs w:val="21"/>
                      <w:u w:val="none"/>
                      <w:lang w:val="en-US" w:eastAsia="zh-CN"/>
                    </w:rPr>
                    <w:t>0.0001</w:t>
                  </w:r>
                </w:p>
              </w:tc>
              <w:tc>
                <w:tcPr>
                  <w:tcW w:w="657" w:type="pct"/>
                  <w:shd w:val="clear" w:color="auto" w:fill="auto"/>
                  <w:noWrap w:val="0"/>
                  <w:vAlign w:val="center"/>
                </w:tcPr>
                <w:p w14:paraId="54BEEC4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u w:val="none"/>
                      <w:lang w:val="en-US" w:eastAsia="zh-CN" w:bidi="ar-SA"/>
                    </w:rPr>
                  </w:pPr>
                  <w:r>
                    <w:rPr>
                      <w:rFonts w:hint="eastAsia" w:ascii="Times New Roman" w:hAnsi="Times New Roman" w:eastAsia="宋体" w:cs="Times New Roman"/>
                      <w:sz w:val="21"/>
                      <w:szCs w:val="21"/>
                      <w:u w:val="single"/>
                    </w:rPr>
                    <w:t>0</w:t>
                  </w:r>
                </w:p>
              </w:tc>
              <w:tc>
                <w:tcPr>
                  <w:tcW w:w="710" w:type="pct"/>
                  <w:noWrap w:val="0"/>
                  <w:vAlign w:val="center"/>
                </w:tcPr>
                <w:p w14:paraId="2A6BC47E">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u w:val="single"/>
                    </w:rPr>
                  </w:pPr>
                  <w:r>
                    <w:rPr>
                      <w:rFonts w:hint="eastAsia" w:ascii="Times New Roman" w:hAnsi="Times New Roman" w:cs="Times New Roman"/>
                      <w:sz w:val="21"/>
                      <w:szCs w:val="21"/>
                      <w:u w:val="none"/>
                      <w:lang w:val="en-US" w:eastAsia="zh-CN"/>
                    </w:rPr>
                    <w:t>0.0964</w:t>
                  </w:r>
                </w:p>
              </w:tc>
              <w:tc>
                <w:tcPr>
                  <w:tcW w:w="1283" w:type="dxa"/>
                  <w:noWrap w:val="0"/>
                  <w:vAlign w:val="center"/>
                </w:tcPr>
                <w:p w14:paraId="0B5D0CC6">
                  <w:pPr>
                    <w:keepNext w:val="0"/>
                    <w:keepLines w:val="0"/>
                    <w:pageBreakBefore w:val="0"/>
                    <w:widowControl/>
                    <w:suppressLineNumbers w:val="0"/>
                    <w:kinsoku/>
                    <w:wordWrap/>
                    <w:overflowPunct/>
                    <w:topLinePunct w:val="0"/>
                    <w:autoSpaceDN/>
                    <w:bidi w:val="0"/>
                    <w:adjustRightInd/>
                    <w:snapToGrid/>
                    <w:jc w:val="center"/>
                    <w:textAlignment w:val="center"/>
                    <w:rPr>
                      <w:rFonts w:hint="default" w:ascii="Times New Roman" w:hAnsi="Times New Roman" w:eastAsia="宋体" w:cs="Times New Roman"/>
                      <w:sz w:val="21"/>
                      <w:szCs w:val="21"/>
                      <w:u w:val="single"/>
                      <w:lang w:val="en-US"/>
                    </w:rPr>
                  </w:pPr>
                  <w:r>
                    <w:rPr>
                      <w:rFonts w:hint="eastAsia" w:ascii="Times New Roman" w:hAnsi="Times New Roman" w:cs="Times New Roman"/>
                      <w:i w:val="0"/>
                      <w:iCs w:val="0"/>
                      <w:color w:val="000000"/>
                      <w:kern w:val="0"/>
                      <w:sz w:val="22"/>
                      <w:szCs w:val="22"/>
                      <w:u w:val="single"/>
                      <w:lang w:val="en-US" w:eastAsia="zh-CN" w:bidi="ar"/>
                    </w:rPr>
                    <w:t>+</w:t>
                  </w:r>
                  <w:r>
                    <w:rPr>
                      <w:rFonts w:hint="default" w:ascii="Times New Roman" w:hAnsi="Times New Roman" w:eastAsia="宋体" w:cs="Times New Roman"/>
                      <w:i w:val="0"/>
                      <w:iCs w:val="0"/>
                      <w:color w:val="000000"/>
                      <w:kern w:val="0"/>
                      <w:sz w:val="22"/>
                      <w:szCs w:val="22"/>
                      <w:u w:val="single"/>
                      <w:lang w:val="en-US" w:eastAsia="zh-CN" w:bidi="ar"/>
                    </w:rPr>
                    <w:t>0.0000291</w:t>
                  </w:r>
                </w:p>
              </w:tc>
            </w:tr>
            <w:tr w14:paraId="4FCA6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noWrap w:val="0"/>
                  <w:vAlign w:val="center"/>
                </w:tcPr>
                <w:p w14:paraId="300F52D4">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p>
              </w:tc>
              <w:tc>
                <w:tcPr>
                  <w:tcW w:w="1012" w:type="pct"/>
                  <w:gridSpan w:val="2"/>
                  <w:noWrap w:val="0"/>
                  <w:vAlign w:val="center"/>
                </w:tcPr>
                <w:p w14:paraId="77A46CCB">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无组织粉尘</w:t>
                  </w:r>
                </w:p>
              </w:tc>
              <w:tc>
                <w:tcPr>
                  <w:tcW w:w="821" w:type="pct"/>
                  <w:noWrap w:val="0"/>
                  <w:vAlign w:val="center"/>
                </w:tcPr>
                <w:p w14:paraId="0872E056">
                  <w:pPr>
                    <w:pStyle w:val="112"/>
                    <w:keepNext w:val="0"/>
                    <w:keepLines w:val="0"/>
                    <w:pageBreakBefore w:val="0"/>
                    <w:kinsoku/>
                    <w:wordWrap/>
                    <w:overflowPunct/>
                    <w:topLinePunct w:val="0"/>
                    <w:autoSpaceDN/>
                    <w:bidi w:val="0"/>
                    <w:adjustRightInd/>
                    <w:snapToGrid/>
                    <w:rPr>
                      <w:rFonts w:hint="default" w:ascii="Times New Roman" w:hAnsi="Times New Roman" w:eastAsia="宋体" w:cs="Times New Roman"/>
                      <w:sz w:val="21"/>
                      <w:szCs w:val="21"/>
                      <w:u w:val="single"/>
                      <w:lang w:val="en-US"/>
                    </w:rPr>
                  </w:pPr>
                  <w:r>
                    <w:rPr>
                      <w:rFonts w:hint="eastAsia" w:ascii="Times New Roman" w:hAnsi="Times New Roman" w:cs="Times New Roman"/>
                      <w:b w:val="0"/>
                      <w:bCs/>
                      <w:sz w:val="21"/>
                      <w:szCs w:val="21"/>
                      <w:u w:val="single"/>
                      <w:lang w:val="en-US" w:eastAsia="zh-CN"/>
                    </w:rPr>
                    <w:t>0.859</w:t>
                  </w:r>
                </w:p>
              </w:tc>
              <w:tc>
                <w:tcPr>
                  <w:tcW w:w="775" w:type="pct"/>
                  <w:noWrap w:val="0"/>
                  <w:vAlign w:val="center"/>
                </w:tcPr>
                <w:p w14:paraId="629375B0">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0.921</w:t>
                  </w:r>
                </w:p>
              </w:tc>
              <w:tc>
                <w:tcPr>
                  <w:tcW w:w="657" w:type="pct"/>
                  <w:noWrap w:val="0"/>
                  <w:vAlign w:val="center"/>
                </w:tcPr>
                <w:p w14:paraId="1712B110">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sz w:val="21"/>
                      <w:szCs w:val="21"/>
                      <w:u w:val="single"/>
                    </w:rPr>
                  </w:pPr>
                  <w:r>
                    <w:rPr>
                      <w:rFonts w:hint="eastAsia" w:ascii="Times New Roman" w:hAnsi="Times New Roman" w:eastAsia="宋体" w:cs="Times New Roman"/>
                      <w:sz w:val="21"/>
                      <w:szCs w:val="21"/>
                      <w:u w:val="single"/>
                    </w:rPr>
                    <w:t>0</w:t>
                  </w:r>
                </w:p>
              </w:tc>
              <w:tc>
                <w:tcPr>
                  <w:tcW w:w="710" w:type="pct"/>
                  <w:shd w:val="clear" w:color="auto" w:fill="auto"/>
                  <w:noWrap w:val="0"/>
                  <w:vAlign w:val="center"/>
                </w:tcPr>
                <w:p w14:paraId="01DFA194">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color w:val="000000" w:themeColor="text1"/>
                      <w:kern w:val="0"/>
                      <w:sz w:val="21"/>
                      <w:szCs w:val="21"/>
                      <w:u w:val="single"/>
                      <w:lang w:val="en-US" w:eastAsia="zh-CN" w:bidi="ar-SA"/>
                      <w14:textFill>
                        <w14:solidFill>
                          <w14:schemeClr w14:val="tx1"/>
                        </w14:solidFill>
                      </w14:textFill>
                    </w:rPr>
                  </w:pPr>
                  <w:r>
                    <w:rPr>
                      <w:rFonts w:hint="eastAsia" w:ascii="Times New Roman" w:hAnsi="Times New Roman" w:eastAsia="宋体" w:cs="Times New Roman"/>
                      <w:sz w:val="21"/>
                      <w:szCs w:val="21"/>
                      <w:u w:val="single"/>
                      <w:lang w:val="en-US" w:eastAsia="zh-CN"/>
                    </w:rPr>
                    <w:t>0.921</w:t>
                  </w:r>
                </w:p>
              </w:tc>
              <w:tc>
                <w:tcPr>
                  <w:tcW w:w="703" w:type="pct"/>
                  <w:noWrap w:val="0"/>
                  <w:vAlign w:val="center"/>
                </w:tcPr>
                <w:p w14:paraId="4ACAA668">
                  <w:pPr>
                    <w:pStyle w:val="112"/>
                    <w:keepNext w:val="0"/>
                    <w:keepLines w:val="0"/>
                    <w:pageBreakBefore w:val="0"/>
                    <w:kinsoku/>
                    <w:wordWrap/>
                    <w:overflowPunct/>
                    <w:topLinePunct w:val="0"/>
                    <w:autoSpaceDN/>
                    <w:bidi w:val="0"/>
                    <w:adjustRightInd/>
                    <w:snapToGrid/>
                    <w:rPr>
                      <w:rFonts w:hint="default" w:ascii="Times New Roman" w:hAnsi="Times New Roman" w:eastAsia="宋体" w:cs="Times New Roman"/>
                      <w:sz w:val="21"/>
                      <w:szCs w:val="21"/>
                      <w:u w:val="single"/>
                      <w:lang w:val="en-US"/>
                    </w:rPr>
                  </w:pPr>
                  <w:r>
                    <w:rPr>
                      <w:rFonts w:hint="eastAsia" w:ascii="Times New Roman" w:hAnsi="Times New Roman" w:cs="Times New Roman"/>
                      <w:b w:val="0"/>
                      <w:bCs/>
                      <w:sz w:val="21"/>
                      <w:szCs w:val="21"/>
                      <w:u w:val="single"/>
                      <w:lang w:val="en-US" w:eastAsia="zh-CN"/>
                    </w:rPr>
                    <w:t>+0.062</w:t>
                  </w:r>
                </w:p>
              </w:tc>
            </w:tr>
            <w:tr w14:paraId="431F2E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restart"/>
                  <w:noWrap w:val="0"/>
                  <w:vAlign w:val="center"/>
                </w:tcPr>
                <w:p w14:paraId="690B3760">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固废</w:t>
                  </w:r>
                </w:p>
              </w:tc>
              <w:tc>
                <w:tcPr>
                  <w:tcW w:w="1012" w:type="pct"/>
                  <w:gridSpan w:val="2"/>
                  <w:shd w:val="clear" w:color="auto" w:fill="auto"/>
                  <w:noWrap w:val="0"/>
                  <w:vAlign w:val="center"/>
                </w:tcPr>
                <w:p w14:paraId="75AB3BBE">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生活垃圾</w:t>
                  </w:r>
                </w:p>
              </w:tc>
              <w:tc>
                <w:tcPr>
                  <w:tcW w:w="821" w:type="pct"/>
                  <w:shd w:val="clear" w:color="auto" w:fill="auto"/>
                  <w:noWrap w:val="0"/>
                  <w:vAlign w:val="center"/>
                </w:tcPr>
                <w:p w14:paraId="1FC43991">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b w:val="0"/>
                      <w:bCs/>
                      <w:kern w:val="2"/>
                      <w:sz w:val="21"/>
                      <w:szCs w:val="21"/>
                      <w:u w:val="single"/>
                      <w:lang w:val="en-US" w:eastAsia="zh-CN" w:bidi="ar-SA"/>
                    </w:rPr>
                  </w:pPr>
                  <w:r>
                    <w:rPr>
                      <w:rFonts w:hint="eastAsia" w:ascii="Times New Roman" w:hAnsi="Times New Roman" w:cs="Times New Roman"/>
                      <w:b w:val="0"/>
                      <w:bCs/>
                      <w:sz w:val="21"/>
                      <w:szCs w:val="21"/>
                      <w:u w:val="single"/>
                      <w:lang w:val="en-US" w:eastAsia="zh-CN"/>
                    </w:rPr>
                    <w:t>1.05</w:t>
                  </w:r>
                </w:p>
              </w:tc>
              <w:tc>
                <w:tcPr>
                  <w:tcW w:w="775" w:type="pct"/>
                  <w:shd w:val="clear" w:color="auto" w:fill="auto"/>
                  <w:noWrap w:val="0"/>
                  <w:vAlign w:val="center"/>
                </w:tcPr>
                <w:p w14:paraId="1155A501">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1.65</w:t>
                  </w:r>
                </w:p>
              </w:tc>
              <w:tc>
                <w:tcPr>
                  <w:tcW w:w="657" w:type="pct"/>
                  <w:noWrap w:val="0"/>
                  <w:vAlign w:val="center"/>
                </w:tcPr>
                <w:p w14:paraId="3F7B3867">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0</w:t>
                  </w:r>
                </w:p>
              </w:tc>
              <w:tc>
                <w:tcPr>
                  <w:tcW w:w="710" w:type="pct"/>
                  <w:shd w:val="clear" w:color="auto" w:fill="auto"/>
                  <w:noWrap w:val="0"/>
                  <w:vAlign w:val="center"/>
                </w:tcPr>
                <w:p w14:paraId="30E3F094">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1.65</w:t>
                  </w:r>
                </w:p>
              </w:tc>
              <w:tc>
                <w:tcPr>
                  <w:tcW w:w="703" w:type="pct"/>
                  <w:noWrap w:val="0"/>
                  <w:vAlign w:val="center"/>
                </w:tcPr>
                <w:p w14:paraId="69DB9D8D">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sz w:val="21"/>
                      <w:szCs w:val="21"/>
                      <w:u w:val="single"/>
                    </w:rPr>
                  </w:pPr>
                  <w:r>
                    <w:rPr>
                      <w:rFonts w:hint="eastAsia" w:ascii="Times New Roman" w:hAnsi="Times New Roman" w:cs="Times New Roman"/>
                      <w:b w:val="0"/>
                      <w:bCs/>
                      <w:sz w:val="21"/>
                      <w:szCs w:val="21"/>
                      <w:u w:val="single"/>
                      <w:lang w:val="en-US" w:eastAsia="zh-CN"/>
                    </w:rPr>
                    <w:t>+1.05</w:t>
                  </w:r>
                </w:p>
              </w:tc>
            </w:tr>
            <w:tr w14:paraId="6F6287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noWrap w:val="0"/>
                  <w:vAlign w:val="center"/>
                </w:tcPr>
                <w:p w14:paraId="7CD251FD">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p>
              </w:tc>
              <w:tc>
                <w:tcPr>
                  <w:tcW w:w="1012" w:type="pct"/>
                  <w:gridSpan w:val="2"/>
                  <w:shd w:val="clear" w:color="auto" w:fill="auto"/>
                  <w:noWrap w:val="0"/>
                  <w:vAlign w:val="center"/>
                </w:tcPr>
                <w:p w14:paraId="38D5BE20">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边角料</w:t>
                  </w:r>
                </w:p>
              </w:tc>
              <w:tc>
                <w:tcPr>
                  <w:tcW w:w="821" w:type="pct"/>
                  <w:shd w:val="clear" w:color="auto" w:fill="auto"/>
                  <w:noWrap w:val="0"/>
                  <w:vAlign w:val="center"/>
                </w:tcPr>
                <w:p w14:paraId="3F2484D0">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b w:val="0"/>
                      <w:bCs/>
                      <w:kern w:val="2"/>
                      <w:sz w:val="21"/>
                      <w:szCs w:val="21"/>
                      <w:u w:val="single"/>
                      <w:lang w:val="en-US" w:eastAsia="zh-CN" w:bidi="ar-SA"/>
                    </w:rPr>
                  </w:pPr>
                  <w:r>
                    <w:rPr>
                      <w:rFonts w:hint="eastAsia" w:ascii="Times New Roman" w:hAnsi="Times New Roman" w:cs="Times New Roman"/>
                      <w:b w:val="0"/>
                      <w:bCs/>
                      <w:sz w:val="21"/>
                      <w:szCs w:val="21"/>
                      <w:u w:val="single"/>
                      <w:lang w:val="en-US" w:eastAsia="zh-CN"/>
                    </w:rPr>
                    <w:t>1.14</w:t>
                  </w:r>
                </w:p>
              </w:tc>
              <w:tc>
                <w:tcPr>
                  <w:tcW w:w="775" w:type="pct"/>
                  <w:shd w:val="clear" w:color="auto" w:fill="auto"/>
                  <w:noWrap w:val="0"/>
                  <w:vAlign w:val="center"/>
                </w:tcPr>
                <w:p w14:paraId="30A76ADD">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cs="Times New Roman"/>
                      <w:sz w:val="21"/>
                      <w:szCs w:val="21"/>
                      <w:u w:val="single"/>
                      <w:lang w:val="en-US" w:eastAsia="zh-CN"/>
                    </w:rPr>
                    <w:t>2.28</w:t>
                  </w:r>
                </w:p>
              </w:tc>
              <w:tc>
                <w:tcPr>
                  <w:tcW w:w="657" w:type="pct"/>
                  <w:noWrap w:val="0"/>
                  <w:vAlign w:val="center"/>
                </w:tcPr>
                <w:p w14:paraId="6AC2E4C2">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0</w:t>
                  </w:r>
                </w:p>
              </w:tc>
              <w:tc>
                <w:tcPr>
                  <w:tcW w:w="710" w:type="pct"/>
                  <w:shd w:val="clear" w:color="auto" w:fill="auto"/>
                  <w:noWrap w:val="0"/>
                  <w:vAlign w:val="center"/>
                </w:tcPr>
                <w:p w14:paraId="141D6D5B">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cs="Times New Roman"/>
                      <w:sz w:val="21"/>
                      <w:szCs w:val="21"/>
                      <w:u w:val="single"/>
                      <w:lang w:val="en-US" w:eastAsia="zh-CN"/>
                    </w:rPr>
                    <w:t>2.28</w:t>
                  </w:r>
                </w:p>
              </w:tc>
              <w:tc>
                <w:tcPr>
                  <w:tcW w:w="703" w:type="pct"/>
                  <w:noWrap w:val="0"/>
                  <w:vAlign w:val="center"/>
                </w:tcPr>
                <w:p w14:paraId="1762D216">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sz w:val="21"/>
                      <w:szCs w:val="21"/>
                      <w:u w:val="single"/>
                    </w:rPr>
                  </w:pPr>
                  <w:r>
                    <w:rPr>
                      <w:rFonts w:hint="eastAsia" w:ascii="Times New Roman" w:hAnsi="Times New Roman" w:cs="Times New Roman"/>
                      <w:b w:val="0"/>
                      <w:bCs/>
                      <w:sz w:val="21"/>
                      <w:szCs w:val="21"/>
                      <w:u w:val="single"/>
                      <w:lang w:val="en-US" w:eastAsia="zh-CN"/>
                    </w:rPr>
                    <w:t>+1.14</w:t>
                  </w:r>
                </w:p>
              </w:tc>
            </w:tr>
            <w:tr w14:paraId="1ED0F3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noWrap w:val="0"/>
                  <w:vAlign w:val="center"/>
                </w:tcPr>
                <w:p w14:paraId="1EA88872">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p>
              </w:tc>
              <w:tc>
                <w:tcPr>
                  <w:tcW w:w="1012" w:type="pct"/>
                  <w:gridSpan w:val="2"/>
                  <w:shd w:val="clear" w:color="auto" w:fill="auto"/>
                  <w:noWrap w:val="0"/>
                  <w:vAlign w:val="center"/>
                </w:tcPr>
                <w:p w14:paraId="750FA1C6">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水泥浆</w:t>
                  </w:r>
                </w:p>
              </w:tc>
              <w:tc>
                <w:tcPr>
                  <w:tcW w:w="821" w:type="pct"/>
                  <w:shd w:val="clear" w:color="auto" w:fill="auto"/>
                  <w:noWrap w:val="0"/>
                  <w:vAlign w:val="center"/>
                </w:tcPr>
                <w:p w14:paraId="23E97604">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b w:val="0"/>
                      <w:bCs/>
                      <w:kern w:val="2"/>
                      <w:sz w:val="21"/>
                      <w:szCs w:val="21"/>
                      <w:u w:val="single"/>
                      <w:lang w:val="en-US" w:eastAsia="zh-CN" w:bidi="ar-SA"/>
                    </w:rPr>
                  </w:pPr>
                  <w:r>
                    <w:rPr>
                      <w:rFonts w:hint="eastAsia" w:ascii="Times New Roman" w:hAnsi="Times New Roman" w:cs="Times New Roman"/>
                      <w:b w:val="0"/>
                      <w:bCs/>
                      <w:sz w:val="21"/>
                      <w:szCs w:val="21"/>
                      <w:u w:val="single"/>
                      <w:lang w:val="en-US" w:eastAsia="zh-CN"/>
                    </w:rPr>
                    <w:t>0.9</w:t>
                  </w:r>
                </w:p>
              </w:tc>
              <w:tc>
                <w:tcPr>
                  <w:tcW w:w="775" w:type="pct"/>
                  <w:shd w:val="clear" w:color="auto" w:fill="auto"/>
                  <w:noWrap w:val="0"/>
                  <w:vAlign w:val="center"/>
                </w:tcPr>
                <w:p w14:paraId="5972D6B1">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1.8</w:t>
                  </w:r>
                </w:p>
              </w:tc>
              <w:tc>
                <w:tcPr>
                  <w:tcW w:w="657" w:type="pct"/>
                  <w:noWrap w:val="0"/>
                  <w:vAlign w:val="center"/>
                </w:tcPr>
                <w:p w14:paraId="39378402">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0</w:t>
                  </w:r>
                </w:p>
              </w:tc>
              <w:tc>
                <w:tcPr>
                  <w:tcW w:w="710" w:type="pct"/>
                  <w:shd w:val="clear" w:color="auto" w:fill="auto"/>
                  <w:noWrap w:val="0"/>
                  <w:vAlign w:val="center"/>
                </w:tcPr>
                <w:p w14:paraId="44850A27">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1.8</w:t>
                  </w:r>
                </w:p>
              </w:tc>
              <w:tc>
                <w:tcPr>
                  <w:tcW w:w="703" w:type="pct"/>
                  <w:noWrap w:val="0"/>
                  <w:vAlign w:val="center"/>
                </w:tcPr>
                <w:p w14:paraId="451D7557">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sz w:val="21"/>
                      <w:szCs w:val="21"/>
                      <w:u w:val="single"/>
                    </w:rPr>
                  </w:pPr>
                  <w:r>
                    <w:rPr>
                      <w:rFonts w:hint="eastAsia" w:ascii="Times New Roman" w:hAnsi="Times New Roman" w:cs="Times New Roman"/>
                      <w:b w:val="0"/>
                      <w:bCs/>
                      <w:sz w:val="21"/>
                      <w:szCs w:val="21"/>
                      <w:u w:val="single"/>
                      <w:lang w:val="en-US" w:eastAsia="zh-CN"/>
                    </w:rPr>
                    <w:t>+0.9</w:t>
                  </w:r>
                </w:p>
              </w:tc>
            </w:tr>
            <w:tr w14:paraId="7A2A8C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noWrap w:val="0"/>
                  <w:vAlign w:val="center"/>
                </w:tcPr>
                <w:p w14:paraId="5720F8FA">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p>
              </w:tc>
              <w:tc>
                <w:tcPr>
                  <w:tcW w:w="1012" w:type="pct"/>
                  <w:gridSpan w:val="2"/>
                  <w:shd w:val="clear" w:color="auto" w:fill="auto"/>
                  <w:noWrap w:val="0"/>
                  <w:vAlign w:val="center"/>
                </w:tcPr>
                <w:p w14:paraId="1ED6D929">
                  <w:pPr>
                    <w:pStyle w:val="100"/>
                    <w:keepNext w:val="0"/>
                    <w:keepLines w:val="0"/>
                    <w:pageBreakBefore w:val="0"/>
                    <w:widowControl/>
                    <w:kinsoku/>
                    <w:wordWrap/>
                    <w:overflowPunct/>
                    <w:topLinePunct w:val="0"/>
                    <w:autoSpaceDN/>
                    <w:bidi w:val="0"/>
                    <w:adjustRightInd/>
                    <w:snapToGrid/>
                    <w:spacing w:after="0" w:line="240" w:lineRule="auto"/>
                    <w:ind w:firstLine="0" w:firstLineChars="0"/>
                    <w:textAlignment w:val="auto"/>
                    <w:rPr>
                      <w:rFonts w:hint="default" w:ascii="Times New Roman" w:hAnsi="Times New Roman" w:eastAsia="宋体" w:cs="Times New Roman"/>
                      <w:color w:val="000000" w:themeColor="text1"/>
                      <w:kern w:val="0"/>
                      <w:sz w:val="21"/>
                      <w:szCs w:val="21"/>
                      <w:u w:val="single"/>
                      <w:lang w:val="en-US" w:eastAsia="zh-CN" w:bidi="ar-SA"/>
                      <w14:textFill>
                        <w14:solidFill>
                          <w14:schemeClr w14:val="tx1"/>
                        </w14:solidFill>
                      </w14:textFill>
                    </w:rPr>
                  </w:pPr>
                  <w:r>
                    <w:rPr>
                      <w:rFonts w:hint="default" w:ascii="Times New Roman" w:hAnsi="Times New Roman" w:cs="Times New Roman"/>
                      <w:sz w:val="21"/>
                      <w:szCs w:val="21"/>
                      <w:u w:val="single"/>
                    </w:rPr>
                    <w:t>废焊渣</w:t>
                  </w:r>
                </w:p>
              </w:tc>
              <w:tc>
                <w:tcPr>
                  <w:tcW w:w="821" w:type="pct"/>
                  <w:shd w:val="clear" w:color="auto" w:fill="auto"/>
                  <w:noWrap w:val="0"/>
                  <w:vAlign w:val="center"/>
                </w:tcPr>
                <w:p w14:paraId="7D2904A1">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b w:val="0"/>
                      <w:bCs/>
                      <w:kern w:val="2"/>
                      <w:sz w:val="21"/>
                      <w:szCs w:val="21"/>
                      <w:u w:val="single"/>
                      <w:lang w:val="en-US" w:eastAsia="zh-CN" w:bidi="ar-SA"/>
                    </w:rPr>
                  </w:pPr>
                  <w:r>
                    <w:rPr>
                      <w:rFonts w:hint="eastAsia" w:ascii="Times New Roman" w:hAnsi="Times New Roman" w:cs="Times New Roman"/>
                      <w:b w:val="0"/>
                      <w:bCs/>
                      <w:sz w:val="21"/>
                      <w:szCs w:val="21"/>
                      <w:u w:val="single"/>
                      <w:lang w:val="en-US" w:eastAsia="zh-CN"/>
                    </w:rPr>
                    <w:t>0.02</w:t>
                  </w:r>
                </w:p>
              </w:tc>
              <w:tc>
                <w:tcPr>
                  <w:tcW w:w="775" w:type="pct"/>
                  <w:shd w:val="clear" w:color="auto" w:fill="auto"/>
                  <w:noWrap w:val="0"/>
                  <w:vAlign w:val="center"/>
                </w:tcPr>
                <w:p w14:paraId="5D822BDA">
                  <w:pPr>
                    <w:pStyle w:val="100"/>
                    <w:keepNext w:val="0"/>
                    <w:keepLines w:val="0"/>
                    <w:pageBreakBefore w:val="0"/>
                    <w:widowControl/>
                    <w:kinsoku/>
                    <w:wordWrap/>
                    <w:overflowPunct/>
                    <w:topLinePunct w:val="0"/>
                    <w:autoSpaceDN/>
                    <w:bidi w:val="0"/>
                    <w:adjustRightInd/>
                    <w:snapToGrid/>
                    <w:spacing w:after="0" w:line="240" w:lineRule="auto"/>
                    <w:ind w:firstLine="0" w:firstLineChars="0"/>
                    <w:textAlignment w:val="auto"/>
                    <w:rPr>
                      <w:rFonts w:hint="default" w:ascii="Times New Roman" w:hAnsi="Times New Roman" w:eastAsia="宋体" w:cs="Times New Roman"/>
                      <w:color w:val="000000" w:themeColor="text1"/>
                      <w:kern w:val="0"/>
                      <w:sz w:val="21"/>
                      <w:szCs w:val="21"/>
                      <w:u w:val="single"/>
                      <w:lang w:val="en-US" w:eastAsia="zh-CN" w:bidi="ar-SA"/>
                      <w14:textFill>
                        <w14:solidFill>
                          <w14:schemeClr w14:val="tx1"/>
                        </w14:solidFill>
                      </w14:textFill>
                    </w:rPr>
                  </w:pPr>
                  <w:r>
                    <w:rPr>
                      <w:rFonts w:hint="default" w:ascii="Times New Roman" w:hAnsi="Times New Roman" w:cs="Times New Roman"/>
                      <w:sz w:val="21"/>
                      <w:szCs w:val="21"/>
                      <w:u w:val="single"/>
                    </w:rPr>
                    <w:t>0.04</w:t>
                  </w:r>
                </w:p>
              </w:tc>
              <w:tc>
                <w:tcPr>
                  <w:tcW w:w="657" w:type="pct"/>
                  <w:noWrap w:val="0"/>
                  <w:vAlign w:val="center"/>
                </w:tcPr>
                <w:p w14:paraId="430300D6">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0</w:t>
                  </w:r>
                </w:p>
              </w:tc>
              <w:tc>
                <w:tcPr>
                  <w:tcW w:w="710" w:type="pct"/>
                  <w:shd w:val="clear" w:color="auto" w:fill="auto"/>
                  <w:noWrap w:val="0"/>
                  <w:vAlign w:val="center"/>
                </w:tcPr>
                <w:p w14:paraId="6CFD8413">
                  <w:pPr>
                    <w:pStyle w:val="100"/>
                    <w:keepNext w:val="0"/>
                    <w:keepLines w:val="0"/>
                    <w:pageBreakBefore w:val="0"/>
                    <w:widowControl/>
                    <w:kinsoku/>
                    <w:wordWrap/>
                    <w:overflowPunct/>
                    <w:topLinePunct w:val="0"/>
                    <w:autoSpaceDN/>
                    <w:bidi w:val="0"/>
                    <w:adjustRightInd/>
                    <w:snapToGrid/>
                    <w:spacing w:after="0" w:line="240" w:lineRule="auto"/>
                    <w:ind w:firstLine="0" w:firstLineChars="0"/>
                    <w:textAlignment w:val="auto"/>
                    <w:rPr>
                      <w:rFonts w:hint="default" w:ascii="Times New Roman" w:hAnsi="Times New Roman" w:eastAsia="宋体" w:cs="Times New Roman"/>
                      <w:color w:val="000000" w:themeColor="text1"/>
                      <w:kern w:val="0"/>
                      <w:sz w:val="21"/>
                      <w:szCs w:val="21"/>
                      <w:u w:val="single"/>
                      <w:lang w:val="en-US" w:eastAsia="zh-CN" w:bidi="ar-SA"/>
                      <w14:textFill>
                        <w14:solidFill>
                          <w14:schemeClr w14:val="tx1"/>
                        </w14:solidFill>
                      </w14:textFill>
                    </w:rPr>
                  </w:pPr>
                  <w:r>
                    <w:rPr>
                      <w:rFonts w:hint="default" w:ascii="Times New Roman" w:hAnsi="Times New Roman" w:cs="Times New Roman"/>
                      <w:sz w:val="21"/>
                      <w:szCs w:val="21"/>
                      <w:u w:val="single"/>
                    </w:rPr>
                    <w:t>0.04</w:t>
                  </w:r>
                </w:p>
              </w:tc>
              <w:tc>
                <w:tcPr>
                  <w:tcW w:w="703" w:type="pct"/>
                  <w:noWrap w:val="0"/>
                  <w:vAlign w:val="center"/>
                </w:tcPr>
                <w:p w14:paraId="464BF05A">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sz w:val="21"/>
                      <w:szCs w:val="21"/>
                      <w:u w:val="single"/>
                    </w:rPr>
                  </w:pPr>
                  <w:r>
                    <w:rPr>
                      <w:rFonts w:hint="eastAsia" w:ascii="Times New Roman" w:hAnsi="Times New Roman" w:cs="Times New Roman"/>
                      <w:b w:val="0"/>
                      <w:bCs/>
                      <w:sz w:val="21"/>
                      <w:szCs w:val="21"/>
                      <w:u w:val="single"/>
                      <w:lang w:val="en-US" w:eastAsia="zh-CN"/>
                    </w:rPr>
                    <w:t>+0.02</w:t>
                  </w:r>
                </w:p>
              </w:tc>
            </w:tr>
            <w:tr w14:paraId="15519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noWrap w:val="0"/>
                  <w:vAlign w:val="center"/>
                </w:tcPr>
                <w:p w14:paraId="2F41CDF7">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p>
              </w:tc>
              <w:tc>
                <w:tcPr>
                  <w:tcW w:w="1012" w:type="pct"/>
                  <w:gridSpan w:val="2"/>
                  <w:shd w:val="clear" w:color="auto" w:fill="auto"/>
                  <w:noWrap w:val="0"/>
                  <w:vAlign w:val="center"/>
                </w:tcPr>
                <w:p w14:paraId="135E5186">
                  <w:pPr>
                    <w:pStyle w:val="100"/>
                    <w:keepNext w:val="0"/>
                    <w:keepLines w:val="0"/>
                    <w:pageBreakBefore w:val="0"/>
                    <w:widowControl/>
                    <w:kinsoku/>
                    <w:wordWrap/>
                    <w:overflowPunct/>
                    <w:topLinePunct w:val="0"/>
                    <w:autoSpaceDN/>
                    <w:bidi w:val="0"/>
                    <w:adjustRightInd/>
                    <w:snapToGrid/>
                    <w:spacing w:after="0" w:line="240" w:lineRule="auto"/>
                    <w:ind w:firstLine="0" w:firstLineChars="0"/>
                    <w:textAlignment w:val="auto"/>
                    <w:rPr>
                      <w:rFonts w:hint="default" w:ascii="Times New Roman" w:hAnsi="Times New Roman" w:eastAsia="宋体" w:cs="Times New Roman"/>
                      <w:color w:val="000000" w:themeColor="text1"/>
                      <w:kern w:val="0"/>
                      <w:sz w:val="21"/>
                      <w:szCs w:val="21"/>
                      <w:u w:val="single"/>
                      <w:lang w:val="en-US" w:eastAsia="zh-CN" w:bidi="ar-SA"/>
                      <w14:textFill>
                        <w14:solidFill>
                          <w14:schemeClr w14:val="tx1"/>
                        </w14:solidFill>
                      </w14:textFill>
                    </w:rPr>
                  </w:pPr>
                  <w:r>
                    <w:rPr>
                      <w:rFonts w:hint="eastAsia" w:cs="Times New Roman"/>
                      <w:sz w:val="21"/>
                      <w:szCs w:val="21"/>
                      <w:u w:val="single"/>
                      <w:lang w:eastAsia="zh-CN"/>
                    </w:rPr>
                    <w:t>生物质灰渣</w:t>
                  </w:r>
                </w:p>
              </w:tc>
              <w:tc>
                <w:tcPr>
                  <w:tcW w:w="821" w:type="pct"/>
                  <w:shd w:val="clear" w:color="auto" w:fill="auto"/>
                  <w:noWrap w:val="0"/>
                  <w:vAlign w:val="center"/>
                </w:tcPr>
                <w:p w14:paraId="7E1EB726">
                  <w:pPr>
                    <w:keepNext w:val="0"/>
                    <w:keepLines w:val="0"/>
                    <w:pageBreakBefore w:val="0"/>
                    <w:kinsoku/>
                    <w:wordWrap/>
                    <w:overflowPunct/>
                    <w:topLinePunct w:val="0"/>
                    <w:autoSpaceDN/>
                    <w:bidi w:val="0"/>
                    <w:adjustRightInd/>
                    <w:snapToGrid/>
                    <w:jc w:val="center"/>
                    <w:rPr>
                      <w:rFonts w:hint="eastAsia" w:ascii="Times New Roman" w:hAnsi="Times New Roman" w:eastAsia="宋体" w:cs="Times New Roman"/>
                      <w:b w:val="0"/>
                      <w:bCs/>
                      <w:kern w:val="2"/>
                      <w:sz w:val="21"/>
                      <w:szCs w:val="21"/>
                      <w:u w:val="single"/>
                      <w:lang w:val="en-US" w:eastAsia="zh-CN" w:bidi="ar-SA"/>
                    </w:rPr>
                  </w:pPr>
                  <w:r>
                    <w:rPr>
                      <w:rFonts w:hint="eastAsia" w:ascii="Times New Roman" w:hAnsi="Times New Roman" w:cs="Times New Roman"/>
                      <w:b w:val="0"/>
                      <w:bCs/>
                      <w:sz w:val="21"/>
                      <w:szCs w:val="21"/>
                      <w:u w:val="single"/>
                      <w:lang w:val="en-US" w:eastAsia="zh-CN"/>
                    </w:rPr>
                    <w:t>3.78</w:t>
                  </w:r>
                </w:p>
              </w:tc>
              <w:tc>
                <w:tcPr>
                  <w:tcW w:w="775" w:type="pct"/>
                  <w:shd w:val="clear" w:color="auto" w:fill="auto"/>
                  <w:noWrap w:val="0"/>
                  <w:vAlign w:val="center"/>
                </w:tcPr>
                <w:p w14:paraId="3EB1F532">
                  <w:pPr>
                    <w:pStyle w:val="100"/>
                    <w:keepNext w:val="0"/>
                    <w:keepLines w:val="0"/>
                    <w:pageBreakBefore w:val="0"/>
                    <w:widowControl/>
                    <w:kinsoku/>
                    <w:wordWrap/>
                    <w:overflowPunct/>
                    <w:topLinePunct w:val="0"/>
                    <w:autoSpaceDN/>
                    <w:bidi w:val="0"/>
                    <w:adjustRightInd/>
                    <w:snapToGrid/>
                    <w:spacing w:after="0" w:line="240" w:lineRule="auto"/>
                    <w:ind w:firstLine="0" w:firstLineChars="0"/>
                    <w:textAlignment w:val="auto"/>
                    <w:rPr>
                      <w:rFonts w:hint="eastAsia" w:ascii="Times New Roman" w:hAnsi="Times New Roman" w:eastAsia="宋体" w:cs="Times New Roman"/>
                      <w:color w:val="000000" w:themeColor="text1"/>
                      <w:kern w:val="0"/>
                      <w:sz w:val="21"/>
                      <w:szCs w:val="21"/>
                      <w:u w:val="single"/>
                      <w:lang w:val="en-US" w:eastAsia="zh-CN" w:bidi="ar-SA"/>
                      <w14:textFill>
                        <w14:solidFill>
                          <w14:schemeClr w14:val="tx1"/>
                        </w14:solidFill>
                      </w14:textFill>
                    </w:rPr>
                  </w:pPr>
                  <w:r>
                    <w:rPr>
                      <w:rFonts w:hint="eastAsia" w:cs="Times New Roman"/>
                      <w:sz w:val="21"/>
                      <w:szCs w:val="21"/>
                      <w:u w:val="single"/>
                      <w:lang w:val="en-US" w:eastAsia="zh-CN"/>
                    </w:rPr>
                    <w:t>7.56</w:t>
                  </w:r>
                </w:p>
              </w:tc>
              <w:tc>
                <w:tcPr>
                  <w:tcW w:w="657" w:type="pct"/>
                  <w:noWrap w:val="0"/>
                  <w:vAlign w:val="center"/>
                </w:tcPr>
                <w:p w14:paraId="4379EA00">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w:t>
                  </w:r>
                </w:p>
              </w:tc>
              <w:tc>
                <w:tcPr>
                  <w:tcW w:w="710" w:type="pct"/>
                  <w:shd w:val="clear" w:color="auto" w:fill="auto"/>
                  <w:noWrap w:val="0"/>
                  <w:vAlign w:val="center"/>
                </w:tcPr>
                <w:p w14:paraId="136152C4">
                  <w:pPr>
                    <w:pStyle w:val="100"/>
                    <w:keepNext w:val="0"/>
                    <w:keepLines w:val="0"/>
                    <w:pageBreakBefore w:val="0"/>
                    <w:widowControl/>
                    <w:kinsoku/>
                    <w:wordWrap/>
                    <w:overflowPunct/>
                    <w:topLinePunct w:val="0"/>
                    <w:autoSpaceDN/>
                    <w:bidi w:val="0"/>
                    <w:adjustRightInd/>
                    <w:snapToGrid/>
                    <w:spacing w:after="0" w:line="240" w:lineRule="auto"/>
                    <w:ind w:firstLine="0" w:firstLineChars="0"/>
                    <w:textAlignment w:val="auto"/>
                    <w:rPr>
                      <w:rFonts w:hint="eastAsia" w:ascii="Times New Roman" w:hAnsi="Times New Roman" w:eastAsia="宋体" w:cs="Times New Roman"/>
                      <w:color w:val="000000" w:themeColor="text1"/>
                      <w:kern w:val="0"/>
                      <w:sz w:val="21"/>
                      <w:szCs w:val="21"/>
                      <w:u w:val="single"/>
                      <w:lang w:val="en-US" w:eastAsia="zh-CN" w:bidi="ar-SA"/>
                      <w14:textFill>
                        <w14:solidFill>
                          <w14:schemeClr w14:val="tx1"/>
                        </w14:solidFill>
                      </w14:textFill>
                    </w:rPr>
                  </w:pPr>
                  <w:r>
                    <w:rPr>
                      <w:rFonts w:hint="eastAsia" w:cs="Times New Roman"/>
                      <w:sz w:val="21"/>
                      <w:szCs w:val="21"/>
                      <w:u w:val="single"/>
                      <w:lang w:val="en-US" w:eastAsia="zh-CN"/>
                    </w:rPr>
                    <w:t>7.56</w:t>
                  </w:r>
                </w:p>
              </w:tc>
              <w:tc>
                <w:tcPr>
                  <w:tcW w:w="703" w:type="pct"/>
                  <w:noWrap w:val="0"/>
                  <w:vAlign w:val="center"/>
                </w:tcPr>
                <w:p w14:paraId="01B63BC2">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sz w:val="21"/>
                      <w:szCs w:val="21"/>
                      <w:u w:val="single"/>
                    </w:rPr>
                  </w:pPr>
                  <w:r>
                    <w:rPr>
                      <w:rFonts w:hint="eastAsia" w:ascii="Times New Roman" w:hAnsi="Times New Roman" w:cs="Times New Roman"/>
                      <w:b w:val="0"/>
                      <w:bCs/>
                      <w:sz w:val="21"/>
                      <w:szCs w:val="21"/>
                      <w:u w:val="single"/>
                      <w:lang w:val="en-US" w:eastAsia="zh-CN"/>
                    </w:rPr>
                    <w:t>+3.78</w:t>
                  </w:r>
                </w:p>
              </w:tc>
            </w:tr>
            <w:tr w14:paraId="78D04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noWrap w:val="0"/>
                  <w:vAlign w:val="center"/>
                </w:tcPr>
                <w:p w14:paraId="7B06EED1">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p>
              </w:tc>
              <w:tc>
                <w:tcPr>
                  <w:tcW w:w="1012" w:type="pct"/>
                  <w:gridSpan w:val="2"/>
                  <w:shd w:val="clear" w:color="auto" w:fill="auto"/>
                  <w:noWrap w:val="0"/>
                  <w:vAlign w:val="center"/>
                </w:tcPr>
                <w:p w14:paraId="12130880">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废润滑油桶</w:t>
                  </w:r>
                </w:p>
              </w:tc>
              <w:tc>
                <w:tcPr>
                  <w:tcW w:w="821" w:type="pct"/>
                  <w:shd w:val="clear" w:color="auto" w:fill="auto"/>
                  <w:noWrap w:val="0"/>
                  <w:vAlign w:val="center"/>
                </w:tcPr>
                <w:p w14:paraId="30F05CED">
                  <w:pPr>
                    <w:keepNext w:val="0"/>
                    <w:keepLines w:val="0"/>
                    <w:pageBreakBefore w:val="0"/>
                    <w:kinsoku/>
                    <w:wordWrap/>
                    <w:overflowPunct/>
                    <w:topLinePunct w:val="0"/>
                    <w:autoSpaceDN/>
                    <w:bidi w:val="0"/>
                    <w:adjustRightInd/>
                    <w:snapToGrid/>
                    <w:jc w:val="center"/>
                    <w:rPr>
                      <w:rFonts w:hint="eastAsia" w:ascii="Times New Roman" w:hAnsi="Times New Roman" w:eastAsia="宋体" w:cs="Times New Roman"/>
                      <w:b w:val="0"/>
                      <w:bCs/>
                      <w:kern w:val="2"/>
                      <w:sz w:val="21"/>
                      <w:szCs w:val="21"/>
                      <w:u w:val="single"/>
                      <w:lang w:val="en-US" w:eastAsia="zh-CN" w:bidi="ar-SA"/>
                    </w:rPr>
                  </w:pPr>
                  <w:r>
                    <w:rPr>
                      <w:rFonts w:hint="eastAsia" w:ascii="Times New Roman" w:hAnsi="Times New Roman" w:cs="Times New Roman"/>
                      <w:b w:val="0"/>
                      <w:bCs/>
                      <w:sz w:val="21"/>
                      <w:szCs w:val="21"/>
                      <w:u w:val="single"/>
                      <w:lang w:val="en-US" w:eastAsia="zh-CN"/>
                    </w:rPr>
                    <w:t>0.01</w:t>
                  </w:r>
                </w:p>
              </w:tc>
              <w:tc>
                <w:tcPr>
                  <w:tcW w:w="775" w:type="pct"/>
                  <w:shd w:val="clear" w:color="auto" w:fill="auto"/>
                  <w:noWrap w:val="0"/>
                  <w:vAlign w:val="center"/>
                </w:tcPr>
                <w:p w14:paraId="147CAC83">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0.02</w:t>
                  </w:r>
                </w:p>
              </w:tc>
              <w:tc>
                <w:tcPr>
                  <w:tcW w:w="657" w:type="pct"/>
                  <w:noWrap w:val="0"/>
                  <w:vAlign w:val="center"/>
                </w:tcPr>
                <w:p w14:paraId="5058E375">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w:t>
                  </w:r>
                </w:p>
              </w:tc>
              <w:tc>
                <w:tcPr>
                  <w:tcW w:w="710" w:type="pct"/>
                  <w:shd w:val="clear" w:color="auto" w:fill="auto"/>
                  <w:noWrap w:val="0"/>
                  <w:vAlign w:val="center"/>
                </w:tcPr>
                <w:p w14:paraId="589006A7">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0.02</w:t>
                  </w:r>
                </w:p>
              </w:tc>
              <w:tc>
                <w:tcPr>
                  <w:tcW w:w="703" w:type="pct"/>
                  <w:noWrap w:val="0"/>
                  <w:vAlign w:val="center"/>
                </w:tcPr>
                <w:p w14:paraId="3B3F04DE">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sz w:val="21"/>
                      <w:szCs w:val="21"/>
                      <w:u w:val="single"/>
                    </w:rPr>
                  </w:pPr>
                  <w:r>
                    <w:rPr>
                      <w:rFonts w:hint="eastAsia" w:ascii="Times New Roman" w:hAnsi="Times New Roman" w:cs="Times New Roman"/>
                      <w:b w:val="0"/>
                      <w:bCs/>
                      <w:sz w:val="21"/>
                      <w:szCs w:val="21"/>
                      <w:u w:val="single"/>
                      <w:lang w:val="en-US" w:eastAsia="zh-CN"/>
                    </w:rPr>
                    <w:t>+0.01</w:t>
                  </w:r>
                </w:p>
              </w:tc>
            </w:tr>
            <w:tr w14:paraId="3CE15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 w:type="pct"/>
                  <w:vMerge w:val="continue"/>
                  <w:noWrap w:val="0"/>
                  <w:vAlign w:val="center"/>
                </w:tcPr>
                <w:p w14:paraId="65B36FF6">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sz w:val="21"/>
                      <w:szCs w:val="21"/>
                      <w:u w:val="single"/>
                    </w:rPr>
                  </w:pPr>
                </w:p>
              </w:tc>
              <w:tc>
                <w:tcPr>
                  <w:tcW w:w="1012" w:type="pct"/>
                  <w:gridSpan w:val="2"/>
                  <w:shd w:val="clear" w:color="auto" w:fill="auto"/>
                  <w:noWrap w:val="0"/>
                  <w:vAlign w:val="center"/>
                </w:tcPr>
                <w:p w14:paraId="2D656A9B">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废含油抹布</w:t>
                  </w:r>
                </w:p>
              </w:tc>
              <w:tc>
                <w:tcPr>
                  <w:tcW w:w="821" w:type="pct"/>
                  <w:shd w:val="clear" w:color="auto" w:fill="auto"/>
                  <w:noWrap w:val="0"/>
                  <w:vAlign w:val="center"/>
                </w:tcPr>
                <w:p w14:paraId="338E23CB">
                  <w:pPr>
                    <w:keepNext w:val="0"/>
                    <w:keepLines w:val="0"/>
                    <w:pageBreakBefore w:val="0"/>
                    <w:kinsoku/>
                    <w:wordWrap/>
                    <w:overflowPunct/>
                    <w:topLinePunct w:val="0"/>
                    <w:autoSpaceDN/>
                    <w:bidi w:val="0"/>
                    <w:adjustRightInd/>
                    <w:snapToGrid/>
                    <w:jc w:val="center"/>
                    <w:rPr>
                      <w:rFonts w:hint="eastAsia" w:ascii="Times New Roman" w:hAnsi="Times New Roman" w:eastAsia="宋体" w:cs="Times New Roman"/>
                      <w:b w:val="0"/>
                      <w:bCs/>
                      <w:kern w:val="2"/>
                      <w:sz w:val="21"/>
                      <w:szCs w:val="21"/>
                      <w:u w:val="single"/>
                      <w:lang w:val="en-US" w:eastAsia="zh-CN" w:bidi="ar-SA"/>
                    </w:rPr>
                  </w:pPr>
                  <w:r>
                    <w:rPr>
                      <w:rFonts w:hint="eastAsia" w:ascii="Times New Roman" w:hAnsi="Times New Roman" w:cs="Times New Roman"/>
                      <w:b w:val="0"/>
                      <w:bCs/>
                      <w:sz w:val="21"/>
                      <w:szCs w:val="21"/>
                      <w:u w:val="single"/>
                      <w:lang w:val="en-US" w:eastAsia="zh-CN"/>
                    </w:rPr>
                    <w:t>0.025</w:t>
                  </w:r>
                </w:p>
              </w:tc>
              <w:tc>
                <w:tcPr>
                  <w:tcW w:w="775" w:type="pct"/>
                  <w:shd w:val="clear" w:color="auto" w:fill="auto"/>
                  <w:noWrap w:val="0"/>
                  <w:vAlign w:val="center"/>
                </w:tcPr>
                <w:p w14:paraId="347F7D1A">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0.05</w:t>
                  </w:r>
                </w:p>
              </w:tc>
              <w:tc>
                <w:tcPr>
                  <w:tcW w:w="657" w:type="pct"/>
                  <w:noWrap w:val="0"/>
                  <w:vAlign w:val="center"/>
                </w:tcPr>
                <w:p w14:paraId="0A1DC1EC">
                  <w:pPr>
                    <w:pStyle w:val="100"/>
                    <w:keepNext w:val="0"/>
                    <w:keepLines w:val="0"/>
                    <w:pageBreakBefore w:val="0"/>
                    <w:widowControl/>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0</w:t>
                  </w:r>
                </w:p>
              </w:tc>
              <w:tc>
                <w:tcPr>
                  <w:tcW w:w="710" w:type="pct"/>
                  <w:shd w:val="clear" w:color="auto" w:fill="auto"/>
                  <w:noWrap w:val="0"/>
                  <w:vAlign w:val="center"/>
                </w:tcPr>
                <w:p w14:paraId="660D05EC">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eastAsia"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0.05</w:t>
                  </w:r>
                </w:p>
              </w:tc>
              <w:tc>
                <w:tcPr>
                  <w:tcW w:w="703" w:type="pct"/>
                  <w:noWrap w:val="0"/>
                  <w:vAlign w:val="center"/>
                </w:tcPr>
                <w:p w14:paraId="67D2018F">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sz w:val="21"/>
                      <w:szCs w:val="21"/>
                      <w:u w:val="single"/>
                    </w:rPr>
                  </w:pPr>
                  <w:r>
                    <w:rPr>
                      <w:rFonts w:hint="eastAsia" w:ascii="Times New Roman" w:hAnsi="Times New Roman" w:cs="Times New Roman"/>
                      <w:b w:val="0"/>
                      <w:bCs/>
                      <w:sz w:val="21"/>
                      <w:szCs w:val="21"/>
                      <w:u w:val="single"/>
                      <w:lang w:val="en-US" w:eastAsia="zh-CN"/>
                    </w:rPr>
                    <w:t>+0.025</w:t>
                  </w:r>
                </w:p>
              </w:tc>
            </w:tr>
          </w:tbl>
          <w:p w14:paraId="2C84127E">
            <w:pPr>
              <w:pStyle w:val="58"/>
              <w:rPr>
                <w:rFonts w:hint="default" w:ascii="Times New Roman" w:hAnsi="Times New Roman" w:cs="Times New Roman"/>
                <w:sz w:val="24"/>
                <w:szCs w:val="24"/>
                <w:u w:val="none"/>
              </w:rPr>
            </w:pPr>
          </w:p>
        </w:tc>
      </w:tr>
    </w:tbl>
    <w:p w14:paraId="6345DB10">
      <w:pPr>
        <w:pStyle w:val="38"/>
        <w:jc w:val="center"/>
        <w:rPr>
          <w:rFonts w:hint="default" w:ascii="Times New Roman" w:hAnsi="Times New Roman" w:cs="Times New Roman"/>
        </w:rPr>
        <w:sectPr>
          <w:pgSz w:w="11907" w:h="16840"/>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p w14:paraId="5FB2831C">
      <w:pPr>
        <w:pStyle w:val="3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0"/>
        <w:jc w:val="center"/>
        <w:textAlignment w:val="auto"/>
        <w:outlineLvl w:val="0"/>
        <w:rPr>
          <w:rFonts w:hint="default" w:ascii="Times New Roman" w:hAnsi="Times New Roman" w:eastAsia="宋体" w:cs="Times New Roman"/>
          <w:b/>
          <w:bCs/>
          <w:snapToGrid w:val="0"/>
          <w:sz w:val="30"/>
          <w:szCs w:val="30"/>
        </w:rPr>
      </w:pPr>
      <w:bookmarkStart w:id="4" w:name="_Toc27361"/>
      <w:r>
        <w:rPr>
          <w:rFonts w:hint="default" w:ascii="Times New Roman" w:hAnsi="Times New Roman" w:eastAsia="宋体" w:cs="Times New Roman"/>
          <w:b/>
          <w:bCs/>
          <w:snapToGrid w:val="0"/>
          <w:sz w:val="30"/>
          <w:szCs w:val="30"/>
        </w:rPr>
        <w:t>五、环境保护措施监督检查清单</w:t>
      </w:r>
      <w:bookmarkEnd w:id="4"/>
    </w:p>
    <w:tbl>
      <w:tblPr>
        <w:tblStyle w:val="39"/>
        <w:tblW w:w="499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1908"/>
        <w:gridCol w:w="1759"/>
        <w:gridCol w:w="1906"/>
        <w:gridCol w:w="2656"/>
      </w:tblGrid>
      <w:tr w14:paraId="78B832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4" w:type="pct"/>
            <w:tcBorders>
              <w:tl2br w:val="single" w:color="auto" w:sz="4" w:space="0"/>
            </w:tcBorders>
          </w:tcPr>
          <w:p w14:paraId="552E5989">
            <w:pPr>
              <w:keepNext w:val="0"/>
              <w:keepLines w:val="0"/>
              <w:pageBreakBefore w:val="0"/>
              <w:kinsoku/>
              <w:wordWrap/>
              <w:overflowPunct/>
              <w:topLinePunct w:val="0"/>
              <w:bidi w:val="0"/>
              <w:ind w:firstLine="960" w:firstLineChars="4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内容</w:t>
            </w:r>
          </w:p>
          <w:p w14:paraId="0C3EDB6C">
            <w:pPr>
              <w:keepNext w:val="0"/>
              <w:keepLines w:val="0"/>
              <w:pageBreakBefore w:val="0"/>
              <w:kinsoku/>
              <w:wordWrap/>
              <w:overflowPunct/>
              <w:topLinePunct w:val="0"/>
              <w:bidi w:val="0"/>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要素</w:t>
            </w:r>
          </w:p>
        </w:tc>
        <w:tc>
          <w:tcPr>
            <w:tcW w:w="959" w:type="pct"/>
            <w:vAlign w:val="center"/>
          </w:tcPr>
          <w:p w14:paraId="674D9ED9">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排放口(编号、</w:t>
            </w:r>
          </w:p>
          <w:p w14:paraId="203BF160">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名称)/污染源</w:t>
            </w:r>
          </w:p>
        </w:tc>
        <w:tc>
          <w:tcPr>
            <w:tcW w:w="884" w:type="pct"/>
            <w:vAlign w:val="center"/>
          </w:tcPr>
          <w:p w14:paraId="5870C64F">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污染物项目</w:t>
            </w:r>
          </w:p>
        </w:tc>
        <w:tc>
          <w:tcPr>
            <w:tcW w:w="958" w:type="pct"/>
            <w:vAlign w:val="center"/>
          </w:tcPr>
          <w:p w14:paraId="739A803A">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环境保护措施</w:t>
            </w:r>
          </w:p>
        </w:tc>
        <w:tc>
          <w:tcPr>
            <w:tcW w:w="1333" w:type="pct"/>
            <w:vAlign w:val="center"/>
          </w:tcPr>
          <w:p w14:paraId="52AB278A">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执行标准</w:t>
            </w:r>
          </w:p>
        </w:tc>
      </w:tr>
      <w:tr w14:paraId="557C67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 w:type="pct"/>
            <w:vMerge w:val="restart"/>
            <w:vAlign w:val="center"/>
          </w:tcPr>
          <w:p w14:paraId="0B073041">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大气环境</w:t>
            </w:r>
          </w:p>
        </w:tc>
        <w:tc>
          <w:tcPr>
            <w:tcW w:w="959" w:type="pct"/>
            <w:vAlign w:val="center"/>
          </w:tcPr>
          <w:p w14:paraId="5840E555">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输送粉尘</w:t>
            </w:r>
          </w:p>
        </w:tc>
        <w:tc>
          <w:tcPr>
            <w:tcW w:w="884" w:type="pct"/>
            <w:vAlign w:val="center"/>
          </w:tcPr>
          <w:p w14:paraId="085F79ED">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颗粒物</w:t>
            </w:r>
          </w:p>
        </w:tc>
        <w:tc>
          <w:tcPr>
            <w:tcW w:w="958" w:type="pct"/>
            <w:vAlign w:val="center"/>
          </w:tcPr>
          <w:p w14:paraId="28BD9CA3">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洒水降尘</w:t>
            </w:r>
          </w:p>
        </w:tc>
        <w:tc>
          <w:tcPr>
            <w:tcW w:w="1333" w:type="pct"/>
            <w:vMerge w:val="restart"/>
            <w:vAlign w:val="center"/>
          </w:tcPr>
          <w:p w14:paraId="3FB7E5F2">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《水泥工业大气污染物排放标准》（GB 4915-2013）</w:t>
            </w:r>
          </w:p>
        </w:tc>
      </w:tr>
      <w:tr w14:paraId="7B407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 w:type="pct"/>
            <w:vMerge w:val="continue"/>
            <w:vAlign w:val="center"/>
          </w:tcPr>
          <w:p w14:paraId="59284DB9">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p>
        </w:tc>
        <w:tc>
          <w:tcPr>
            <w:tcW w:w="959" w:type="pct"/>
            <w:vAlign w:val="center"/>
          </w:tcPr>
          <w:p w14:paraId="65E8010B">
            <w:pPr>
              <w:keepNext w:val="0"/>
              <w:keepLines w:val="0"/>
              <w:pageBreakBefore w:val="0"/>
              <w:kinsoku/>
              <w:wordWrap/>
              <w:overflowPunct/>
              <w:topLinePunct w:val="0"/>
              <w:bidi w:val="0"/>
              <w:ind w:firstLine="0" w:firstLineChars="0"/>
              <w:jc w:val="center"/>
              <w:textAlignment w:val="auto"/>
              <w:rPr>
                <w:rFonts w:hint="default" w:ascii="Times New Roman" w:hAnsi="Times New Roman" w:eastAsia="宋体" w:cs="Times New Roman"/>
                <w:kern w:val="2"/>
                <w:sz w:val="24"/>
                <w:szCs w:val="24"/>
                <w:u w:val="none"/>
                <w:lang w:val="en-US" w:eastAsia="zh-CN" w:bidi="ar-SA"/>
              </w:rPr>
            </w:pPr>
            <w:r>
              <w:rPr>
                <w:rFonts w:hint="default" w:ascii="Times New Roman" w:hAnsi="Times New Roman" w:cs="Times New Roman"/>
                <w:sz w:val="24"/>
                <w:szCs w:val="24"/>
                <w:u w:val="none"/>
                <w:lang w:val="en-US" w:eastAsia="zh-CN"/>
              </w:rPr>
              <w:t>石子、沙子堆放区扬尘</w:t>
            </w:r>
          </w:p>
        </w:tc>
        <w:tc>
          <w:tcPr>
            <w:tcW w:w="884" w:type="pct"/>
            <w:vAlign w:val="center"/>
          </w:tcPr>
          <w:p w14:paraId="3C8F1EB6">
            <w:pPr>
              <w:keepNext w:val="0"/>
              <w:keepLines w:val="0"/>
              <w:pageBreakBefore w:val="0"/>
              <w:kinsoku/>
              <w:wordWrap/>
              <w:overflowPunct/>
              <w:topLinePunct w:val="0"/>
              <w:bidi w:val="0"/>
              <w:ind w:firstLine="0" w:firstLineChars="0"/>
              <w:jc w:val="center"/>
              <w:textAlignment w:val="auto"/>
              <w:rPr>
                <w:rFonts w:hint="default" w:ascii="Times New Roman" w:hAnsi="Times New Roman" w:eastAsia="宋体" w:cs="Times New Roman"/>
                <w:kern w:val="2"/>
                <w:sz w:val="24"/>
                <w:szCs w:val="24"/>
                <w:u w:val="none"/>
                <w:lang w:val="en-US" w:eastAsia="zh-CN" w:bidi="ar-SA"/>
              </w:rPr>
            </w:pPr>
            <w:r>
              <w:rPr>
                <w:rFonts w:hint="default" w:ascii="Times New Roman" w:hAnsi="Times New Roman" w:cs="Times New Roman"/>
                <w:sz w:val="24"/>
                <w:szCs w:val="24"/>
                <w:u w:val="none"/>
              </w:rPr>
              <w:t>颗粒物</w:t>
            </w:r>
          </w:p>
        </w:tc>
        <w:tc>
          <w:tcPr>
            <w:tcW w:w="958" w:type="pct"/>
            <w:vAlign w:val="center"/>
          </w:tcPr>
          <w:p w14:paraId="550ABC1B">
            <w:pPr>
              <w:keepNext w:val="0"/>
              <w:keepLines w:val="0"/>
              <w:pageBreakBefore w:val="0"/>
              <w:kinsoku/>
              <w:wordWrap/>
              <w:overflowPunct/>
              <w:topLinePunct w:val="0"/>
              <w:bidi w:val="0"/>
              <w:ind w:firstLine="0" w:firstLineChars="0"/>
              <w:jc w:val="center"/>
              <w:textAlignment w:val="auto"/>
              <w:rPr>
                <w:rFonts w:hint="default" w:ascii="Times New Roman" w:hAnsi="Times New Roman" w:eastAsia="宋体" w:cs="Times New Roman"/>
                <w:kern w:val="2"/>
                <w:sz w:val="24"/>
                <w:szCs w:val="24"/>
                <w:u w:val="none"/>
                <w:lang w:val="en-US" w:eastAsia="zh-CN" w:bidi="ar-SA"/>
              </w:rPr>
            </w:pPr>
            <w:r>
              <w:rPr>
                <w:rFonts w:hint="default" w:ascii="Times New Roman" w:hAnsi="Times New Roman" w:cs="Times New Roman"/>
                <w:sz w:val="24"/>
                <w:szCs w:val="24"/>
                <w:u w:val="none"/>
                <w:lang w:val="en-US" w:eastAsia="zh-CN"/>
              </w:rPr>
              <w:t>三面围挡+顶棚、洒水降尘</w:t>
            </w:r>
          </w:p>
        </w:tc>
        <w:tc>
          <w:tcPr>
            <w:tcW w:w="1333" w:type="pct"/>
            <w:vMerge w:val="continue"/>
            <w:vAlign w:val="center"/>
          </w:tcPr>
          <w:p w14:paraId="09AA7201">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p>
        </w:tc>
      </w:tr>
      <w:tr w14:paraId="7E40F1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 w:type="pct"/>
            <w:vMerge w:val="continue"/>
            <w:vAlign w:val="center"/>
          </w:tcPr>
          <w:p w14:paraId="4C49847A">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p>
        </w:tc>
        <w:tc>
          <w:tcPr>
            <w:tcW w:w="959" w:type="pct"/>
            <w:vAlign w:val="center"/>
          </w:tcPr>
          <w:p w14:paraId="72D001B4">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筒仓粉尘</w:t>
            </w:r>
          </w:p>
        </w:tc>
        <w:tc>
          <w:tcPr>
            <w:tcW w:w="884" w:type="pct"/>
            <w:vAlign w:val="center"/>
          </w:tcPr>
          <w:p w14:paraId="4EC52E1C">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颗粒物</w:t>
            </w:r>
          </w:p>
        </w:tc>
        <w:tc>
          <w:tcPr>
            <w:tcW w:w="958" w:type="pct"/>
            <w:vAlign w:val="center"/>
          </w:tcPr>
          <w:p w14:paraId="31124863">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滤芯收尘设施</w:t>
            </w:r>
          </w:p>
        </w:tc>
        <w:tc>
          <w:tcPr>
            <w:tcW w:w="1333" w:type="pct"/>
            <w:vMerge w:val="continue"/>
            <w:vAlign w:val="center"/>
          </w:tcPr>
          <w:p w14:paraId="10F8A641">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p>
        </w:tc>
      </w:tr>
      <w:tr w14:paraId="257625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 w:type="pct"/>
            <w:vMerge w:val="continue"/>
            <w:vAlign w:val="center"/>
          </w:tcPr>
          <w:p w14:paraId="21A8ECE5">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p>
        </w:tc>
        <w:tc>
          <w:tcPr>
            <w:tcW w:w="959" w:type="pct"/>
            <w:vAlign w:val="center"/>
          </w:tcPr>
          <w:p w14:paraId="69D9B710">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搅拌粉尘</w:t>
            </w:r>
          </w:p>
        </w:tc>
        <w:tc>
          <w:tcPr>
            <w:tcW w:w="884" w:type="pct"/>
            <w:vAlign w:val="center"/>
          </w:tcPr>
          <w:p w14:paraId="25271FA2">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颗粒物</w:t>
            </w:r>
          </w:p>
        </w:tc>
        <w:tc>
          <w:tcPr>
            <w:tcW w:w="958" w:type="pct"/>
            <w:vAlign w:val="center"/>
          </w:tcPr>
          <w:p w14:paraId="128D611B">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布袋除尘</w:t>
            </w:r>
          </w:p>
        </w:tc>
        <w:tc>
          <w:tcPr>
            <w:tcW w:w="1333" w:type="pct"/>
            <w:vMerge w:val="continue"/>
            <w:vAlign w:val="center"/>
          </w:tcPr>
          <w:p w14:paraId="0143C92D">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p>
        </w:tc>
      </w:tr>
      <w:tr w14:paraId="4344D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 w:type="pct"/>
            <w:vMerge w:val="continue"/>
            <w:vAlign w:val="center"/>
          </w:tcPr>
          <w:p w14:paraId="0D286599">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p>
        </w:tc>
        <w:tc>
          <w:tcPr>
            <w:tcW w:w="959" w:type="pct"/>
            <w:vAlign w:val="center"/>
          </w:tcPr>
          <w:p w14:paraId="3F839E0E">
            <w:pPr>
              <w:keepNext w:val="0"/>
              <w:keepLines w:val="0"/>
              <w:pageBreakBefore w:val="0"/>
              <w:kinsoku/>
              <w:wordWrap/>
              <w:overflowPunct/>
              <w:topLinePunct w:val="0"/>
              <w:bidi w:val="0"/>
              <w:ind w:firstLine="0" w:firstLineChars="0"/>
              <w:jc w:val="center"/>
              <w:textAlignment w:val="auto"/>
              <w:rPr>
                <w:rFonts w:hint="default" w:ascii="Times New Roman" w:hAnsi="Times New Roman" w:eastAsia="宋体" w:cs="Times New Roman"/>
                <w:kern w:val="2"/>
                <w:sz w:val="24"/>
                <w:szCs w:val="24"/>
                <w:u w:val="none"/>
                <w:lang w:val="en-US" w:eastAsia="zh-CN" w:bidi="ar-SA"/>
              </w:rPr>
            </w:pPr>
            <w:r>
              <w:rPr>
                <w:rFonts w:hint="default" w:ascii="Times New Roman" w:hAnsi="Times New Roman" w:cs="Times New Roman"/>
                <w:sz w:val="24"/>
                <w:szCs w:val="24"/>
                <w:u w:val="none"/>
              </w:rPr>
              <w:t>汽车运输扬尘</w:t>
            </w:r>
          </w:p>
        </w:tc>
        <w:tc>
          <w:tcPr>
            <w:tcW w:w="884" w:type="pct"/>
            <w:vAlign w:val="center"/>
          </w:tcPr>
          <w:p w14:paraId="02CDB141">
            <w:pPr>
              <w:keepNext w:val="0"/>
              <w:keepLines w:val="0"/>
              <w:pageBreakBefore w:val="0"/>
              <w:kinsoku/>
              <w:wordWrap/>
              <w:overflowPunct/>
              <w:topLinePunct w:val="0"/>
              <w:bidi w:val="0"/>
              <w:ind w:firstLine="0" w:firstLineChars="0"/>
              <w:jc w:val="center"/>
              <w:textAlignment w:val="auto"/>
              <w:rPr>
                <w:rFonts w:hint="default" w:ascii="Times New Roman" w:hAnsi="Times New Roman" w:eastAsia="宋体" w:cs="Times New Roman"/>
                <w:kern w:val="2"/>
                <w:sz w:val="24"/>
                <w:szCs w:val="24"/>
                <w:u w:val="none"/>
                <w:lang w:val="en-US" w:eastAsia="zh-CN" w:bidi="ar-SA"/>
              </w:rPr>
            </w:pPr>
            <w:r>
              <w:rPr>
                <w:rFonts w:hint="default" w:ascii="Times New Roman" w:hAnsi="Times New Roman" w:cs="Times New Roman"/>
                <w:sz w:val="24"/>
                <w:szCs w:val="24"/>
                <w:u w:val="none"/>
              </w:rPr>
              <w:t>颗粒物</w:t>
            </w:r>
          </w:p>
        </w:tc>
        <w:tc>
          <w:tcPr>
            <w:tcW w:w="958" w:type="pct"/>
            <w:vAlign w:val="center"/>
          </w:tcPr>
          <w:p w14:paraId="76506073">
            <w:pPr>
              <w:keepNext w:val="0"/>
              <w:keepLines w:val="0"/>
              <w:pageBreakBefore w:val="0"/>
              <w:kinsoku/>
              <w:wordWrap/>
              <w:overflowPunct/>
              <w:topLinePunct w:val="0"/>
              <w:bidi w:val="0"/>
              <w:ind w:firstLine="0" w:firstLineChars="0"/>
              <w:jc w:val="center"/>
              <w:textAlignment w:val="auto"/>
              <w:rPr>
                <w:rFonts w:hint="default" w:ascii="Times New Roman" w:hAnsi="Times New Roman" w:eastAsia="宋体" w:cs="Times New Roman"/>
                <w:kern w:val="2"/>
                <w:sz w:val="24"/>
                <w:szCs w:val="24"/>
                <w:u w:val="none"/>
                <w:lang w:val="en-US" w:eastAsia="zh-CN" w:bidi="ar-SA"/>
              </w:rPr>
            </w:pPr>
            <w:r>
              <w:rPr>
                <w:rFonts w:hint="default" w:ascii="Times New Roman" w:hAnsi="Times New Roman" w:cs="Times New Roman"/>
                <w:sz w:val="24"/>
                <w:szCs w:val="24"/>
                <w:u w:val="none"/>
              </w:rPr>
              <w:t>洒水降尘</w:t>
            </w:r>
          </w:p>
        </w:tc>
        <w:tc>
          <w:tcPr>
            <w:tcW w:w="1333" w:type="pct"/>
            <w:vMerge w:val="restart"/>
            <w:vAlign w:val="center"/>
          </w:tcPr>
          <w:p w14:paraId="4734F6A6">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《大气污染物综合排放标准》（GB 16297-1996）表2浓度限值</w:t>
            </w:r>
          </w:p>
        </w:tc>
      </w:tr>
      <w:tr w14:paraId="6A8ADB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4" w:type="pct"/>
            <w:vMerge w:val="continue"/>
            <w:vAlign w:val="center"/>
          </w:tcPr>
          <w:p w14:paraId="38A5B4E2">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p>
        </w:tc>
        <w:tc>
          <w:tcPr>
            <w:tcW w:w="959" w:type="pct"/>
            <w:vAlign w:val="center"/>
          </w:tcPr>
          <w:p w14:paraId="49E1A549">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焊接烟尘</w:t>
            </w:r>
          </w:p>
        </w:tc>
        <w:tc>
          <w:tcPr>
            <w:tcW w:w="884" w:type="pct"/>
            <w:vAlign w:val="center"/>
          </w:tcPr>
          <w:p w14:paraId="504CB9E9">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颗粒物</w:t>
            </w:r>
          </w:p>
        </w:tc>
        <w:tc>
          <w:tcPr>
            <w:tcW w:w="958" w:type="pct"/>
            <w:vAlign w:val="center"/>
          </w:tcPr>
          <w:p w14:paraId="68006E27">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焊接烟尘净化器</w:t>
            </w:r>
          </w:p>
        </w:tc>
        <w:tc>
          <w:tcPr>
            <w:tcW w:w="1333" w:type="pct"/>
            <w:vMerge w:val="continue"/>
            <w:vAlign w:val="center"/>
          </w:tcPr>
          <w:p w14:paraId="03D2CA31">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p>
        </w:tc>
      </w:tr>
      <w:tr w14:paraId="38D952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2" w:hRule="atLeast"/>
          <w:jc w:val="center"/>
        </w:trPr>
        <w:tc>
          <w:tcPr>
            <w:tcW w:w="864" w:type="pct"/>
            <w:vMerge w:val="continue"/>
            <w:vAlign w:val="center"/>
          </w:tcPr>
          <w:p w14:paraId="1472755A">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p>
        </w:tc>
        <w:tc>
          <w:tcPr>
            <w:tcW w:w="959" w:type="pct"/>
            <w:vAlign w:val="center"/>
          </w:tcPr>
          <w:p w14:paraId="447FE119">
            <w:pPr>
              <w:keepNext w:val="0"/>
              <w:keepLines w:val="0"/>
              <w:pageBreakBefore w:val="0"/>
              <w:kinsoku/>
              <w:wordWrap/>
              <w:overflowPunct/>
              <w:topLinePunct w:val="0"/>
              <w:bidi w:val="0"/>
              <w:ind w:firstLine="0" w:firstLineChars="0"/>
              <w:jc w:val="center"/>
              <w:textAlignment w:val="auto"/>
              <w:rPr>
                <w:rFonts w:hint="eastAsia" w:ascii="Times New Roman" w:hAnsi="Times New Roman" w:eastAsia="宋体" w:cs="Times New Roman"/>
                <w:sz w:val="24"/>
                <w:szCs w:val="24"/>
                <w:u w:val="none"/>
                <w:lang w:eastAsia="zh-CN"/>
              </w:rPr>
            </w:pPr>
            <w:r>
              <w:rPr>
                <w:rFonts w:hint="eastAsia" w:ascii="Times New Roman" w:hAnsi="Times New Roman" w:cs="Times New Roman"/>
                <w:sz w:val="24"/>
                <w:szCs w:val="24"/>
                <w:u w:val="none"/>
                <w:lang w:eastAsia="zh-CN"/>
              </w:rPr>
              <w:t>蒸汽发生器燃烧废气</w:t>
            </w:r>
          </w:p>
        </w:tc>
        <w:tc>
          <w:tcPr>
            <w:tcW w:w="884" w:type="pct"/>
            <w:vAlign w:val="center"/>
          </w:tcPr>
          <w:p w14:paraId="4D4F9D37">
            <w:pPr>
              <w:keepNext w:val="0"/>
              <w:keepLines w:val="0"/>
              <w:pageBreakBefore w:val="0"/>
              <w:kinsoku/>
              <w:wordWrap/>
              <w:overflowPunct/>
              <w:topLinePunct w:val="0"/>
              <w:bidi w:val="0"/>
              <w:ind w:firstLine="0" w:firstLineChars="0"/>
              <w:jc w:val="center"/>
              <w:textAlignment w:val="auto"/>
              <w:rPr>
                <w:rFonts w:hint="eastAsia" w:ascii="Times New Roman" w:hAnsi="Times New Roman" w:eastAsia="宋体" w:cs="Times New Roman"/>
                <w:sz w:val="24"/>
                <w:szCs w:val="24"/>
                <w:u w:val="none"/>
                <w:lang w:eastAsia="zh-CN"/>
              </w:rPr>
            </w:pPr>
            <w:r>
              <w:rPr>
                <w:rFonts w:hint="eastAsia" w:ascii="Times New Roman" w:hAnsi="Times New Roman" w:cs="Times New Roman"/>
                <w:sz w:val="24"/>
                <w:szCs w:val="24"/>
                <w:u w:val="none"/>
                <w:lang w:eastAsia="zh-CN"/>
              </w:rPr>
              <w:t>颗粒物、</w:t>
            </w:r>
            <w:r>
              <w:rPr>
                <w:rFonts w:hint="eastAsia" w:ascii="Times New Roman" w:hAnsi="Times New Roman" w:cs="Times New Roman"/>
                <w:sz w:val="24"/>
                <w:szCs w:val="24"/>
                <w:u w:val="none"/>
                <w:lang w:val="en-US" w:eastAsia="zh-CN"/>
              </w:rPr>
              <w:t>SO</w:t>
            </w:r>
            <w:r>
              <w:rPr>
                <w:rFonts w:hint="eastAsia" w:ascii="Times New Roman" w:hAnsi="Times New Roman" w:cs="Times New Roman"/>
                <w:sz w:val="24"/>
                <w:szCs w:val="24"/>
                <w:u w:val="none"/>
                <w:vertAlign w:val="subscript"/>
                <w:lang w:val="en-US" w:eastAsia="zh-CN"/>
              </w:rPr>
              <w:t>2</w:t>
            </w:r>
            <w:r>
              <w:rPr>
                <w:rFonts w:hint="eastAsia" w:ascii="Times New Roman" w:hAnsi="Times New Roman" w:eastAsia="宋体" w:cs="Times New Roman"/>
                <w:sz w:val="24"/>
                <w:szCs w:val="24"/>
                <w:u w:val="none"/>
                <w:lang w:val="en-US" w:eastAsia="zh-CN"/>
              </w:rPr>
              <w:t>、</w:t>
            </w:r>
            <w:r>
              <w:rPr>
                <w:rFonts w:hint="eastAsia" w:ascii="Times New Roman" w:hAnsi="Times New Roman" w:cs="Times New Roman"/>
                <w:sz w:val="24"/>
                <w:szCs w:val="24"/>
                <w:u w:val="none"/>
                <w:lang w:eastAsia="zh-CN"/>
              </w:rPr>
              <w:t>氮氧化物</w:t>
            </w:r>
          </w:p>
        </w:tc>
        <w:tc>
          <w:tcPr>
            <w:tcW w:w="958" w:type="pct"/>
            <w:vAlign w:val="center"/>
          </w:tcPr>
          <w:p w14:paraId="3042D93A">
            <w:pPr>
              <w:keepNext w:val="0"/>
              <w:keepLines w:val="0"/>
              <w:pageBreakBefore w:val="0"/>
              <w:kinsoku/>
              <w:wordWrap/>
              <w:overflowPunct/>
              <w:topLinePunct w:val="0"/>
              <w:bidi w:val="0"/>
              <w:ind w:firstLine="0" w:firstLineChars="0"/>
              <w:jc w:val="center"/>
              <w:textAlignment w:val="auto"/>
              <w:rPr>
                <w:rFonts w:hint="eastAsia" w:ascii="Times New Roman" w:hAnsi="Times New Roman" w:eastAsia="宋体" w:cs="Times New Roman"/>
                <w:sz w:val="24"/>
                <w:szCs w:val="24"/>
                <w:u w:val="none"/>
                <w:lang w:eastAsia="zh-CN"/>
              </w:rPr>
            </w:pPr>
            <w:r>
              <w:rPr>
                <w:rFonts w:hint="eastAsia" w:ascii="Times New Roman" w:hAnsi="Times New Roman" w:cs="Times New Roman"/>
                <w:sz w:val="24"/>
                <w:szCs w:val="24"/>
                <w:u w:val="none"/>
                <w:lang w:eastAsia="zh-CN"/>
              </w:rPr>
              <w:t>布袋除尘器</w:t>
            </w:r>
          </w:p>
        </w:tc>
        <w:tc>
          <w:tcPr>
            <w:tcW w:w="1333" w:type="pct"/>
            <w:vAlign w:val="center"/>
          </w:tcPr>
          <w:p w14:paraId="4EF7A1CD">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lang w:val="en-US" w:eastAsia="zh-CN"/>
              </w:rPr>
              <w:t>《湖南省工业炉窑大气污染综合治理实施方案》附件1中相关排放限值</w:t>
            </w:r>
          </w:p>
        </w:tc>
      </w:tr>
      <w:tr w14:paraId="73771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4" w:type="pct"/>
            <w:vMerge w:val="restart"/>
            <w:vAlign w:val="center"/>
          </w:tcPr>
          <w:p w14:paraId="6A3EEF77">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地表水环境</w:t>
            </w:r>
          </w:p>
        </w:tc>
        <w:tc>
          <w:tcPr>
            <w:tcW w:w="959" w:type="pct"/>
            <w:vAlign w:val="center"/>
          </w:tcPr>
          <w:p w14:paraId="45C61C0E">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生活污水</w:t>
            </w:r>
          </w:p>
        </w:tc>
        <w:tc>
          <w:tcPr>
            <w:tcW w:w="884" w:type="pct"/>
            <w:vAlign w:val="center"/>
          </w:tcPr>
          <w:p w14:paraId="72CAB7CD">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pH、COD、BOD</w:t>
            </w:r>
            <w:r>
              <w:rPr>
                <w:rFonts w:hint="default" w:ascii="Times New Roman" w:hAnsi="Times New Roman" w:cs="Times New Roman"/>
                <w:sz w:val="24"/>
                <w:szCs w:val="24"/>
                <w:u w:val="none"/>
                <w:vertAlign w:val="subscript"/>
              </w:rPr>
              <w:t>5</w:t>
            </w:r>
            <w:r>
              <w:rPr>
                <w:rFonts w:hint="default" w:ascii="Times New Roman" w:hAnsi="Times New Roman" w:cs="Times New Roman"/>
                <w:sz w:val="24"/>
                <w:szCs w:val="24"/>
                <w:u w:val="none"/>
              </w:rPr>
              <w:t>、SS、NH</w:t>
            </w:r>
            <w:r>
              <w:rPr>
                <w:rFonts w:hint="default" w:ascii="Times New Roman" w:hAnsi="Times New Roman" w:cs="Times New Roman"/>
                <w:sz w:val="24"/>
                <w:szCs w:val="24"/>
                <w:u w:val="none"/>
                <w:vertAlign w:val="subscript"/>
              </w:rPr>
              <w:t>3</w:t>
            </w:r>
            <w:r>
              <w:rPr>
                <w:rFonts w:hint="default" w:ascii="Times New Roman" w:hAnsi="Times New Roman" w:cs="Times New Roman"/>
                <w:sz w:val="24"/>
                <w:szCs w:val="24"/>
                <w:u w:val="none"/>
              </w:rPr>
              <w:t>-N、TP、</w:t>
            </w:r>
            <w:r>
              <w:rPr>
                <w:rFonts w:hint="default" w:ascii="Times New Roman" w:hAnsi="Times New Roman" w:cs="Times New Roman"/>
                <w:color w:val="000000"/>
                <w:sz w:val="24"/>
                <w:szCs w:val="24"/>
                <w:u w:val="none"/>
                <w:lang w:bidi="ar"/>
              </w:rPr>
              <w:t>动植物油</w:t>
            </w:r>
          </w:p>
        </w:tc>
        <w:tc>
          <w:tcPr>
            <w:tcW w:w="958" w:type="pct"/>
            <w:vAlign w:val="center"/>
          </w:tcPr>
          <w:p w14:paraId="13A956CD">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生活污水经化粪池处理后用于农肥，不外排</w:t>
            </w:r>
          </w:p>
        </w:tc>
        <w:tc>
          <w:tcPr>
            <w:tcW w:w="1333" w:type="pct"/>
            <w:vAlign w:val="center"/>
          </w:tcPr>
          <w:p w14:paraId="70277522">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w:t>
            </w:r>
          </w:p>
        </w:tc>
      </w:tr>
      <w:tr w14:paraId="447703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4" w:type="pct"/>
            <w:vMerge w:val="continue"/>
            <w:vAlign w:val="center"/>
          </w:tcPr>
          <w:p w14:paraId="7EEB0342">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p>
        </w:tc>
        <w:tc>
          <w:tcPr>
            <w:tcW w:w="959" w:type="pct"/>
            <w:vAlign w:val="center"/>
          </w:tcPr>
          <w:p w14:paraId="1AB457BD">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kern w:val="2"/>
                <w:sz w:val="24"/>
                <w:szCs w:val="24"/>
                <w:u w:val="none"/>
              </w:rPr>
            </w:pPr>
            <w:r>
              <w:rPr>
                <w:rFonts w:hint="default" w:ascii="Times New Roman" w:hAnsi="Times New Roman" w:cs="Times New Roman"/>
                <w:sz w:val="24"/>
                <w:szCs w:val="24"/>
                <w:u w:val="none"/>
              </w:rPr>
              <w:t>养护废水</w:t>
            </w:r>
          </w:p>
        </w:tc>
        <w:tc>
          <w:tcPr>
            <w:tcW w:w="884" w:type="pct"/>
            <w:vAlign w:val="center"/>
          </w:tcPr>
          <w:p w14:paraId="003A4630">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pH、COD、SS、NH</w:t>
            </w:r>
            <w:r>
              <w:rPr>
                <w:rFonts w:hint="default" w:ascii="Times New Roman" w:hAnsi="Times New Roman" w:cs="Times New Roman"/>
                <w:sz w:val="24"/>
                <w:szCs w:val="24"/>
                <w:u w:val="none"/>
                <w:vertAlign w:val="subscript"/>
              </w:rPr>
              <w:t>3</w:t>
            </w:r>
            <w:r>
              <w:rPr>
                <w:rFonts w:hint="default" w:ascii="Times New Roman" w:hAnsi="Times New Roman" w:cs="Times New Roman"/>
                <w:sz w:val="24"/>
                <w:szCs w:val="24"/>
                <w:u w:val="none"/>
              </w:rPr>
              <w:t>-N、</w:t>
            </w:r>
            <w:r>
              <w:rPr>
                <w:rFonts w:hint="default" w:ascii="Times New Roman" w:hAnsi="Times New Roman" w:cs="Times New Roman"/>
                <w:color w:val="000000"/>
                <w:sz w:val="24"/>
                <w:szCs w:val="24"/>
                <w:u w:val="none"/>
                <w:lang w:bidi="ar"/>
              </w:rPr>
              <w:t>动植物油</w:t>
            </w:r>
          </w:p>
        </w:tc>
        <w:tc>
          <w:tcPr>
            <w:tcW w:w="958" w:type="pct"/>
            <w:vAlign w:val="center"/>
          </w:tcPr>
          <w:p w14:paraId="730A7562">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经沉淀池沉淀后回用于混凝土搅拌</w:t>
            </w:r>
          </w:p>
        </w:tc>
        <w:tc>
          <w:tcPr>
            <w:tcW w:w="1333" w:type="pct"/>
            <w:vAlign w:val="center"/>
          </w:tcPr>
          <w:p w14:paraId="534F4E1B">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w:t>
            </w:r>
          </w:p>
        </w:tc>
      </w:tr>
      <w:tr w14:paraId="71EDEC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4" w:type="pct"/>
            <w:vMerge w:val="continue"/>
            <w:vAlign w:val="center"/>
          </w:tcPr>
          <w:p w14:paraId="5071FB71">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p>
        </w:tc>
        <w:tc>
          <w:tcPr>
            <w:tcW w:w="959" w:type="pct"/>
            <w:vAlign w:val="center"/>
          </w:tcPr>
          <w:p w14:paraId="5382B2C0">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搅拌机清洗废水</w:t>
            </w:r>
          </w:p>
        </w:tc>
        <w:tc>
          <w:tcPr>
            <w:tcW w:w="884" w:type="pct"/>
            <w:vAlign w:val="center"/>
          </w:tcPr>
          <w:p w14:paraId="609BCC0E">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pH、COD、SS、NH</w:t>
            </w:r>
            <w:r>
              <w:rPr>
                <w:rFonts w:hint="default" w:ascii="Times New Roman" w:hAnsi="Times New Roman" w:cs="Times New Roman"/>
                <w:sz w:val="24"/>
                <w:szCs w:val="24"/>
                <w:u w:val="none"/>
                <w:vertAlign w:val="subscript"/>
              </w:rPr>
              <w:t>3</w:t>
            </w:r>
            <w:r>
              <w:rPr>
                <w:rFonts w:hint="default" w:ascii="Times New Roman" w:hAnsi="Times New Roman" w:cs="Times New Roman"/>
                <w:sz w:val="24"/>
                <w:szCs w:val="24"/>
                <w:u w:val="none"/>
              </w:rPr>
              <w:t>-N、</w:t>
            </w:r>
            <w:r>
              <w:rPr>
                <w:rFonts w:hint="default" w:ascii="Times New Roman" w:hAnsi="Times New Roman" w:cs="Times New Roman"/>
                <w:color w:val="000000"/>
                <w:sz w:val="24"/>
                <w:szCs w:val="24"/>
                <w:u w:val="none"/>
                <w:lang w:bidi="ar"/>
              </w:rPr>
              <w:t>动植物油</w:t>
            </w:r>
          </w:p>
        </w:tc>
        <w:tc>
          <w:tcPr>
            <w:tcW w:w="958" w:type="pct"/>
            <w:vAlign w:val="center"/>
          </w:tcPr>
          <w:p w14:paraId="6724A655">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经沉淀池沉淀后回用于混凝土搅拌</w:t>
            </w:r>
          </w:p>
        </w:tc>
        <w:tc>
          <w:tcPr>
            <w:tcW w:w="1333" w:type="pct"/>
            <w:vAlign w:val="center"/>
          </w:tcPr>
          <w:p w14:paraId="364CC757">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w:t>
            </w:r>
          </w:p>
        </w:tc>
      </w:tr>
      <w:tr w14:paraId="01F264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4" w:type="pct"/>
            <w:vAlign w:val="center"/>
          </w:tcPr>
          <w:p w14:paraId="6F1D0D93">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声环境</w:t>
            </w:r>
          </w:p>
        </w:tc>
        <w:tc>
          <w:tcPr>
            <w:tcW w:w="959" w:type="pct"/>
            <w:vAlign w:val="center"/>
          </w:tcPr>
          <w:p w14:paraId="52BC97A2">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生产车间</w:t>
            </w:r>
          </w:p>
        </w:tc>
        <w:tc>
          <w:tcPr>
            <w:tcW w:w="884" w:type="pct"/>
            <w:vAlign w:val="center"/>
          </w:tcPr>
          <w:p w14:paraId="067CA0DA">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各类生产设备</w:t>
            </w:r>
          </w:p>
        </w:tc>
        <w:tc>
          <w:tcPr>
            <w:tcW w:w="958" w:type="pct"/>
            <w:vAlign w:val="center"/>
          </w:tcPr>
          <w:p w14:paraId="5BEF3D75">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选用低噪声设备，合理布局、建筑隔声、基础减震等</w:t>
            </w:r>
          </w:p>
        </w:tc>
        <w:tc>
          <w:tcPr>
            <w:tcW w:w="1333" w:type="pct"/>
            <w:vAlign w:val="center"/>
          </w:tcPr>
          <w:p w14:paraId="683D5CEB">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《工业企业厂界环境噪声排放标准》（GB12348-2008）2类</w:t>
            </w:r>
            <w:r>
              <w:rPr>
                <w:rFonts w:hint="eastAsia" w:ascii="Times New Roman" w:hAnsi="Times New Roman" w:cs="Times New Roman"/>
                <w:sz w:val="24"/>
                <w:szCs w:val="24"/>
                <w:u w:val="none"/>
                <w:lang w:eastAsia="zh-CN"/>
              </w:rPr>
              <w:t>、</w:t>
            </w:r>
            <w:r>
              <w:rPr>
                <w:rFonts w:hint="eastAsia" w:ascii="Times New Roman" w:hAnsi="Times New Roman" w:cs="Times New Roman"/>
                <w:sz w:val="24"/>
                <w:szCs w:val="24"/>
                <w:u w:val="none"/>
                <w:lang w:val="en-US" w:eastAsia="zh-CN"/>
              </w:rPr>
              <w:t>4类</w:t>
            </w:r>
            <w:r>
              <w:rPr>
                <w:rFonts w:hint="default" w:ascii="Times New Roman" w:hAnsi="Times New Roman" w:cs="Times New Roman"/>
                <w:sz w:val="24"/>
                <w:szCs w:val="24"/>
                <w:u w:val="none"/>
              </w:rPr>
              <w:t>标准。</w:t>
            </w:r>
          </w:p>
        </w:tc>
      </w:tr>
      <w:tr w14:paraId="0E4400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64" w:type="pct"/>
            <w:vAlign w:val="center"/>
          </w:tcPr>
          <w:p w14:paraId="2A86131F">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电磁辐射</w:t>
            </w:r>
          </w:p>
        </w:tc>
        <w:tc>
          <w:tcPr>
            <w:tcW w:w="959" w:type="pct"/>
            <w:vAlign w:val="center"/>
          </w:tcPr>
          <w:p w14:paraId="53A24521">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w:t>
            </w:r>
          </w:p>
        </w:tc>
        <w:tc>
          <w:tcPr>
            <w:tcW w:w="884" w:type="pct"/>
            <w:vAlign w:val="center"/>
          </w:tcPr>
          <w:p w14:paraId="421A77DE">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w:t>
            </w:r>
          </w:p>
        </w:tc>
        <w:tc>
          <w:tcPr>
            <w:tcW w:w="958" w:type="pct"/>
            <w:vAlign w:val="center"/>
          </w:tcPr>
          <w:p w14:paraId="0A306152">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w:t>
            </w:r>
          </w:p>
        </w:tc>
        <w:tc>
          <w:tcPr>
            <w:tcW w:w="1333" w:type="pct"/>
            <w:vAlign w:val="center"/>
          </w:tcPr>
          <w:p w14:paraId="0DA8E8AC">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w:t>
            </w:r>
          </w:p>
        </w:tc>
      </w:tr>
      <w:tr w14:paraId="2284B4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864" w:type="pct"/>
            <w:vMerge w:val="restart"/>
            <w:vAlign w:val="center"/>
          </w:tcPr>
          <w:p w14:paraId="42DDAD4D">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固体废物</w:t>
            </w:r>
          </w:p>
        </w:tc>
        <w:tc>
          <w:tcPr>
            <w:tcW w:w="959" w:type="pct"/>
            <w:vAlign w:val="center"/>
          </w:tcPr>
          <w:p w14:paraId="27EC288D">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职工生活</w:t>
            </w:r>
          </w:p>
        </w:tc>
        <w:tc>
          <w:tcPr>
            <w:tcW w:w="884" w:type="pct"/>
            <w:vAlign w:val="center"/>
          </w:tcPr>
          <w:p w14:paraId="69A0690B">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生活垃圾</w:t>
            </w:r>
          </w:p>
        </w:tc>
        <w:tc>
          <w:tcPr>
            <w:tcW w:w="958" w:type="pct"/>
            <w:vAlign w:val="center"/>
          </w:tcPr>
          <w:p w14:paraId="7CBBB37F">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生活垃圾收集桶</w:t>
            </w:r>
          </w:p>
        </w:tc>
        <w:tc>
          <w:tcPr>
            <w:tcW w:w="1333" w:type="pct"/>
            <w:vAlign w:val="center"/>
          </w:tcPr>
          <w:p w14:paraId="443B7990">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《生活垃圾填埋场污染控制标准》（GB 16889-2008）</w:t>
            </w:r>
          </w:p>
        </w:tc>
      </w:tr>
      <w:tr w14:paraId="73F93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64" w:type="pct"/>
            <w:vMerge w:val="continue"/>
            <w:vAlign w:val="center"/>
          </w:tcPr>
          <w:p w14:paraId="3072F483">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p>
        </w:tc>
        <w:tc>
          <w:tcPr>
            <w:tcW w:w="959" w:type="pct"/>
            <w:vAlign w:val="center"/>
          </w:tcPr>
          <w:p w14:paraId="4CFB7D18">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一般工业固废</w:t>
            </w:r>
          </w:p>
        </w:tc>
        <w:tc>
          <w:tcPr>
            <w:tcW w:w="884" w:type="pct"/>
            <w:vAlign w:val="center"/>
          </w:tcPr>
          <w:p w14:paraId="7C2E4305">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边角料、水泥浆、废焊渣</w:t>
            </w:r>
          </w:p>
        </w:tc>
        <w:tc>
          <w:tcPr>
            <w:tcW w:w="958" w:type="pct"/>
            <w:vAlign w:val="center"/>
          </w:tcPr>
          <w:p w14:paraId="34A757B8">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制成余浆块后外售</w:t>
            </w:r>
          </w:p>
        </w:tc>
        <w:tc>
          <w:tcPr>
            <w:tcW w:w="1333" w:type="pct"/>
            <w:vAlign w:val="center"/>
          </w:tcPr>
          <w:p w14:paraId="70B6A62E">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《一般工业固体废物贮存和填埋污染控制标准》（GB18599-2020）</w:t>
            </w:r>
          </w:p>
        </w:tc>
      </w:tr>
      <w:tr w14:paraId="327A16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864" w:type="pct"/>
            <w:vMerge w:val="continue"/>
            <w:vAlign w:val="center"/>
          </w:tcPr>
          <w:p w14:paraId="650EF92C">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p>
        </w:tc>
        <w:tc>
          <w:tcPr>
            <w:tcW w:w="959" w:type="pct"/>
            <w:vAlign w:val="center"/>
          </w:tcPr>
          <w:p w14:paraId="04DA10D3">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危险废物</w:t>
            </w:r>
          </w:p>
        </w:tc>
        <w:tc>
          <w:tcPr>
            <w:tcW w:w="884" w:type="pct"/>
            <w:vAlign w:val="center"/>
          </w:tcPr>
          <w:p w14:paraId="603CFB95">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废润滑油桶、废含油抹布</w:t>
            </w:r>
          </w:p>
        </w:tc>
        <w:tc>
          <w:tcPr>
            <w:tcW w:w="958" w:type="pct"/>
            <w:vAlign w:val="center"/>
          </w:tcPr>
          <w:p w14:paraId="0E2A7AE0">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暂存于危险废物暂存间，定期交由</w:t>
            </w:r>
            <w:r>
              <w:rPr>
                <w:rFonts w:hint="eastAsia" w:ascii="Times New Roman" w:hAnsi="Times New Roman" w:cs="Times New Roman"/>
                <w:sz w:val="24"/>
                <w:szCs w:val="24"/>
                <w:u w:val="none"/>
                <w:lang w:eastAsia="zh-CN"/>
              </w:rPr>
              <w:t>有</w:t>
            </w:r>
            <w:r>
              <w:rPr>
                <w:rFonts w:hint="default" w:ascii="Times New Roman" w:hAnsi="Times New Roman" w:cs="Times New Roman"/>
                <w:sz w:val="24"/>
                <w:szCs w:val="24"/>
                <w:u w:val="none"/>
              </w:rPr>
              <w:t>资质单位处置。</w:t>
            </w:r>
          </w:p>
        </w:tc>
        <w:tc>
          <w:tcPr>
            <w:tcW w:w="1333" w:type="pct"/>
            <w:vAlign w:val="center"/>
          </w:tcPr>
          <w:p w14:paraId="44404873">
            <w:pPr>
              <w:pStyle w:val="100"/>
              <w:keepNext w:val="0"/>
              <w:keepLines w:val="0"/>
              <w:pageBreakBefore w:val="0"/>
              <w:kinsoku/>
              <w:wordWrap/>
              <w:overflowPunct/>
              <w:topLinePunct w:val="0"/>
              <w:bidi w:val="0"/>
              <w:spacing w:after="0" w:line="240" w:lineRule="auto"/>
              <w:ind w:firstLine="0" w:firstLineChars="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《危险废物贮存污染控制标准》（GB 18597</w:t>
            </w:r>
            <w:r>
              <w:rPr>
                <w:rFonts w:hint="eastAsia" w:ascii="Times New Roman" w:hAnsi="Times New Roman" w:cs="Times New Roman"/>
                <w:sz w:val="24"/>
                <w:szCs w:val="24"/>
                <w:u w:val="none"/>
                <w:lang w:val="en-US" w:eastAsia="zh-CN"/>
              </w:rPr>
              <w:t>-</w:t>
            </w:r>
            <w:r>
              <w:rPr>
                <w:rFonts w:hint="default" w:ascii="Times New Roman" w:hAnsi="Times New Roman" w:cs="Times New Roman"/>
                <w:sz w:val="24"/>
                <w:szCs w:val="24"/>
                <w:u w:val="none"/>
              </w:rPr>
              <w:t>2023）</w:t>
            </w:r>
          </w:p>
        </w:tc>
      </w:tr>
      <w:tr w14:paraId="6638D2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64" w:type="pct"/>
            <w:vAlign w:val="center"/>
          </w:tcPr>
          <w:p w14:paraId="28E29F04">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土壤及地下水</w:t>
            </w:r>
          </w:p>
          <w:p w14:paraId="76E6D5F6">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污染防治措施</w:t>
            </w:r>
          </w:p>
        </w:tc>
        <w:tc>
          <w:tcPr>
            <w:tcW w:w="4135" w:type="pct"/>
            <w:gridSpan w:val="4"/>
            <w:vAlign w:val="center"/>
          </w:tcPr>
          <w:p w14:paraId="7BA05566">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所有原辅材料储存于原材料仓库内，且车间及周围均采取硬化等防渗措施；企业加强设备维护，杜绝非正常排放；加强固废管理，避免固废厂房外存放等</w:t>
            </w:r>
          </w:p>
        </w:tc>
      </w:tr>
      <w:tr w14:paraId="69D7E3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864" w:type="pct"/>
            <w:vAlign w:val="center"/>
          </w:tcPr>
          <w:p w14:paraId="4390D344">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生态保护措施</w:t>
            </w:r>
          </w:p>
        </w:tc>
        <w:tc>
          <w:tcPr>
            <w:tcW w:w="4135" w:type="pct"/>
            <w:gridSpan w:val="4"/>
            <w:vAlign w:val="center"/>
          </w:tcPr>
          <w:p w14:paraId="063374CD">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w:t>
            </w:r>
          </w:p>
        </w:tc>
      </w:tr>
      <w:tr w14:paraId="1975B8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33" w:hRule="atLeast"/>
          <w:jc w:val="center"/>
        </w:trPr>
        <w:tc>
          <w:tcPr>
            <w:tcW w:w="864" w:type="pct"/>
            <w:vAlign w:val="center"/>
          </w:tcPr>
          <w:p w14:paraId="7ADA942E">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pacing w:val="-8"/>
                <w:sz w:val="24"/>
                <w:szCs w:val="24"/>
                <w:u w:val="none"/>
              </w:rPr>
            </w:pPr>
            <w:r>
              <w:rPr>
                <w:rFonts w:hint="default" w:ascii="Times New Roman" w:hAnsi="Times New Roman" w:cs="Times New Roman"/>
                <w:spacing w:val="-8"/>
                <w:sz w:val="24"/>
                <w:szCs w:val="24"/>
                <w:u w:val="none"/>
              </w:rPr>
              <w:t>环境风险</w:t>
            </w:r>
          </w:p>
          <w:p w14:paraId="713D28FC">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pacing w:val="-8"/>
                <w:sz w:val="24"/>
                <w:szCs w:val="24"/>
                <w:u w:val="none"/>
              </w:rPr>
            </w:pPr>
            <w:r>
              <w:rPr>
                <w:rFonts w:hint="default" w:ascii="Times New Roman" w:hAnsi="Times New Roman" w:cs="Times New Roman"/>
                <w:spacing w:val="-8"/>
                <w:sz w:val="24"/>
                <w:szCs w:val="24"/>
                <w:u w:val="none"/>
              </w:rPr>
              <w:t>防范措施</w:t>
            </w:r>
          </w:p>
        </w:tc>
        <w:tc>
          <w:tcPr>
            <w:tcW w:w="4135" w:type="pct"/>
            <w:gridSpan w:val="4"/>
            <w:vAlign w:val="center"/>
          </w:tcPr>
          <w:p w14:paraId="1664F8E0">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1、按规范要求进行原料、产品的储存。设产品的专用库房，库房保持通风干燥，远离火种、热源，并注意防潮。</w:t>
            </w:r>
          </w:p>
          <w:p w14:paraId="79CE6316">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2、对原料的使用和储存提出相应的管理及使用要求，并严格按照该管理要求进行日常监督、管理。原料仓库保持干燥通风，生产存储过程中原料及物料做到密闭，不长时间暴露在空气中。原料转移和上料过程严格按照操作规程进行操作，按照安全生产要求设立仓库和生产区的防火防爆防潮设施及器具，做到生产区清净整洁，防止物料的撒漏。</w:t>
            </w:r>
          </w:p>
          <w:p w14:paraId="37780014">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3、加强企业实际生产过程中各工艺环节的管理，定期进行设备及相应环保设施的维护。</w:t>
            </w:r>
          </w:p>
          <w:p w14:paraId="700773BF">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4、强化风险意识、加强安全管理，严格按操作规程操作。远离火种、热源，配备相应品种和数量的消防器材及泄漏应急处理设备。</w:t>
            </w:r>
          </w:p>
          <w:p w14:paraId="0706FED6">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5、严格控制点火源，员工在仓库作业时严禁动用明火，同时按消防要求配置灭火器材。车间内应按消防要求配备足够型号相符的灭火器，车间工作人员及相关责任人均应熟悉其放置地点，用法，而且要经常检查。</w:t>
            </w:r>
          </w:p>
          <w:p w14:paraId="7FFD30FF">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6、建立健全安全检查制度，定期进行安全检查，及时整改安全隐患，防止事故发生。加强工作人员的安全教育，由厂区安全及环保管理人员对厂区员工进行安全与环保知识培训，熟悉国家安全生产方针、政策、法规、标准，增强安全意识和法制观念，掌握安全卫生基本知识，具有一定的安全管理和决策能力；加大管理力度，及时清扫、检修设备也是必不可少的防护措施。</w:t>
            </w:r>
          </w:p>
          <w:p w14:paraId="2C6A4A0B">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7、一旦发生火灾，消防废水随意排放将会对周边地表水体造成污染，因此环评要求，严禁将消防废水外排，用水泵将消防废水导流至沉淀池或空桶内进行暂存；若池内水将无法全部收容，则应立即联系罐车将池内废水进行转移至</w:t>
            </w:r>
            <w:r>
              <w:rPr>
                <w:rFonts w:hint="eastAsia" w:ascii="Times New Roman" w:hAnsi="Times New Roman" w:cs="Times New Roman"/>
                <w:sz w:val="24"/>
                <w:szCs w:val="24"/>
                <w:u w:val="none"/>
                <w:lang w:eastAsia="zh-CN"/>
              </w:rPr>
              <w:t>新田县污水处理厂</w:t>
            </w:r>
            <w:r>
              <w:rPr>
                <w:rFonts w:hint="default" w:ascii="Times New Roman" w:hAnsi="Times New Roman" w:cs="Times New Roman"/>
                <w:sz w:val="24"/>
                <w:szCs w:val="24"/>
                <w:u w:val="none"/>
              </w:rPr>
              <w:t>进行分批次处理。</w:t>
            </w:r>
          </w:p>
          <w:p w14:paraId="21DFB014">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8、危险废物的存放区贴上醒目的专用标签；储区应备有泄漏应急处理设备。</w:t>
            </w:r>
          </w:p>
          <w:p w14:paraId="014D14F1">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9、制定风险防范措施和制度以及书面的应急程序，以便在发生意外时，行动有所依据。对员工进行指导和培训，确保在紧急情况下能实施应急程序。配备应急医疗药品，厂房周围设消防通道，保证消防车辆畅通。建、构筑物周围设消防给水管，并配备灭火器材装置。</w:t>
            </w:r>
          </w:p>
          <w:p w14:paraId="25306994">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10、企业应制定事故应急预案，定期演练。</w:t>
            </w:r>
          </w:p>
        </w:tc>
      </w:tr>
      <w:tr w14:paraId="0F848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864" w:type="pct"/>
            <w:vAlign w:val="center"/>
          </w:tcPr>
          <w:p w14:paraId="4B26E3A8">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pacing w:val="-8"/>
                <w:sz w:val="24"/>
                <w:szCs w:val="24"/>
                <w:u w:val="none"/>
              </w:rPr>
            </w:pPr>
            <w:r>
              <w:rPr>
                <w:rFonts w:hint="default" w:ascii="Times New Roman" w:hAnsi="Times New Roman" w:cs="Times New Roman"/>
                <w:spacing w:val="-8"/>
                <w:sz w:val="24"/>
                <w:szCs w:val="24"/>
                <w:u w:val="none"/>
              </w:rPr>
              <w:t>其他环境</w:t>
            </w:r>
          </w:p>
          <w:p w14:paraId="543A7930">
            <w:pPr>
              <w:keepNext w:val="0"/>
              <w:keepLines w:val="0"/>
              <w:pageBreakBefore w:val="0"/>
              <w:kinsoku/>
              <w:wordWrap/>
              <w:overflowPunct/>
              <w:topLinePunct w:val="0"/>
              <w:bidi w:val="0"/>
              <w:ind w:firstLine="0" w:firstLineChars="0"/>
              <w:jc w:val="center"/>
              <w:textAlignment w:val="auto"/>
              <w:rPr>
                <w:rFonts w:hint="default" w:ascii="Times New Roman" w:hAnsi="Times New Roman" w:cs="Times New Roman"/>
                <w:spacing w:val="-8"/>
                <w:sz w:val="24"/>
                <w:szCs w:val="24"/>
                <w:u w:val="none"/>
              </w:rPr>
            </w:pPr>
            <w:r>
              <w:rPr>
                <w:rFonts w:hint="default" w:ascii="Times New Roman" w:hAnsi="Times New Roman" w:cs="Times New Roman"/>
                <w:spacing w:val="-8"/>
                <w:sz w:val="24"/>
                <w:szCs w:val="24"/>
                <w:u w:val="none"/>
              </w:rPr>
              <w:t>管理要求</w:t>
            </w:r>
          </w:p>
        </w:tc>
        <w:tc>
          <w:tcPr>
            <w:tcW w:w="4135" w:type="pct"/>
            <w:gridSpan w:val="4"/>
            <w:vAlign w:val="center"/>
          </w:tcPr>
          <w:p w14:paraId="60ED47C1">
            <w:pPr>
              <w:pStyle w:val="15"/>
              <w:keepNext w:val="0"/>
              <w:keepLines w:val="0"/>
              <w:pageBreakBefore w:val="0"/>
              <w:widowControl/>
              <w:numPr>
                <w:ilvl w:val="0"/>
                <w:numId w:val="7"/>
              </w:numPr>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cs="Times New Roman"/>
                <w:b/>
                <w:bCs/>
                <w:sz w:val="24"/>
                <w:szCs w:val="24"/>
                <w:u w:val="none"/>
              </w:rPr>
            </w:pPr>
            <w:r>
              <w:rPr>
                <w:rFonts w:hint="default" w:ascii="Times New Roman" w:hAnsi="Times New Roman" w:cs="Times New Roman"/>
                <w:b/>
                <w:bCs/>
                <w:sz w:val="24"/>
                <w:szCs w:val="24"/>
                <w:u w:val="none"/>
              </w:rPr>
              <w:t>项目监测计划</w:t>
            </w:r>
          </w:p>
          <w:p w14:paraId="3CEB6CF0">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根据《排污单位自行监测技术指南 总则》（HJ 819-2017）、《排污许可证申请与核发技术规范 总则》（HJ 942-2018）规范的要求，本项目监测计划见下表。</w:t>
            </w:r>
          </w:p>
          <w:p w14:paraId="249250C9">
            <w:pPr>
              <w:pStyle w:val="161"/>
              <w:keepNext w:val="0"/>
              <w:keepLines w:val="0"/>
              <w:pageBreakBefore w:val="0"/>
              <w:widowControl w:val="0"/>
              <w:kinsoku/>
              <w:wordWrap/>
              <w:overflowPunct/>
              <w:topLinePunct w:val="0"/>
              <w:bidi w:val="0"/>
              <w:adjustRightInd/>
              <w:snapToGrid/>
              <w:spacing w:before="0" w:beforeLines="0" w:after="0" w:afterLines="0" w:line="360" w:lineRule="auto"/>
              <w:ind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表5-1  项目监测计划表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003"/>
              <w:gridCol w:w="1550"/>
              <w:gridCol w:w="962"/>
              <w:gridCol w:w="3793"/>
            </w:tblGrid>
            <w:tr w14:paraId="718D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l2br w:val="nil"/>
                    <w:tr2bl w:val="nil"/>
                  </w:tcBorders>
                  <w:shd w:val="clear" w:color="auto" w:fill="auto"/>
                  <w:vAlign w:val="center"/>
                </w:tcPr>
                <w:p w14:paraId="0D6FDD3E">
                  <w:pPr>
                    <w:pStyle w:val="100"/>
                    <w:keepNext w:val="0"/>
                    <w:keepLines w:val="0"/>
                    <w:pageBreakBefore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类别</w:t>
                  </w:r>
                </w:p>
              </w:tc>
              <w:tc>
                <w:tcPr>
                  <w:tcW w:w="1003" w:type="dxa"/>
                  <w:tcBorders>
                    <w:tl2br w:val="nil"/>
                    <w:tr2bl w:val="nil"/>
                  </w:tcBorders>
                  <w:shd w:val="clear" w:color="auto" w:fill="auto"/>
                  <w:vAlign w:val="center"/>
                </w:tcPr>
                <w:p w14:paraId="0E72930D">
                  <w:pPr>
                    <w:pStyle w:val="100"/>
                    <w:keepNext w:val="0"/>
                    <w:keepLines w:val="0"/>
                    <w:pageBreakBefore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测点</w:t>
                  </w:r>
                </w:p>
                <w:p w14:paraId="147212C7">
                  <w:pPr>
                    <w:pStyle w:val="100"/>
                    <w:keepNext w:val="0"/>
                    <w:keepLines w:val="0"/>
                    <w:pageBreakBefore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位置</w:t>
                  </w:r>
                </w:p>
              </w:tc>
              <w:tc>
                <w:tcPr>
                  <w:tcW w:w="1550" w:type="dxa"/>
                  <w:tcBorders>
                    <w:tl2br w:val="nil"/>
                    <w:tr2bl w:val="nil"/>
                  </w:tcBorders>
                  <w:shd w:val="clear" w:color="auto" w:fill="auto"/>
                  <w:vAlign w:val="center"/>
                </w:tcPr>
                <w:p w14:paraId="148AB0B8">
                  <w:pPr>
                    <w:pStyle w:val="100"/>
                    <w:keepNext w:val="0"/>
                    <w:keepLines w:val="0"/>
                    <w:pageBreakBefore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监测项目</w:t>
                  </w:r>
                </w:p>
              </w:tc>
              <w:tc>
                <w:tcPr>
                  <w:tcW w:w="962" w:type="dxa"/>
                  <w:tcBorders>
                    <w:tl2br w:val="nil"/>
                    <w:tr2bl w:val="nil"/>
                  </w:tcBorders>
                  <w:shd w:val="clear" w:color="auto" w:fill="auto"/>
                  <w:vAlign w:val="center"/>
                </w:tcPr>
                <w:p w14:paraId="5AACAE47">
                  <w:pPr>
                    <w:pStyle w:val="100"/>
                    <w:keepNext w:val="0"/>
                    <w:keepLines w:val="0"/>
                    <w:pageBreakBefore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监测</w:t>
                  </w:r>
                </w:p>
                <w:p w14:paraId="48DAFE2D">
                  <w:pPr>
                    <w:pStyle w:val="100"/>
                    <w:keepNext w:val="0"/>
                    <w:keepLines w:val="0"/>
                    <w:pageBreakBefore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频次</w:t>
                  </w:r>
                </w:p>
              </w:tc>
              <w:tc>
                <w:tcPr>
                  <w:tcW w:w="3793" w:type="dxa"/>
                  <w:tcBorders>
                    <w:tl2br w:val="nil"/>
                    <w:tr2bl w:val="nil"/>
                  </w:tcBorders>
                  <w:shd w:val="clear" w:color="auto" w:fill="auto"/>
                  <w:vAlign w:val="center"/>
                </w:tcPr>
                <w:p w14:paraId="74037D27">
                  <w:pPr>
                    <w:pStyle w:val="1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执行标准</w:t>
                  </w:r>
                </w:p>
              </w:tc>
            </w:tr>
            <w:tr w14:paraId="1710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5" w:type="dxa"/>
                  <w:vMerge w:val="restart"/>
                  <w:tcBorders>
                    <w:tl2br w:val="nil"/>
                    <w:tr2bl w:val="nil"/>
                  </w:tcBorders>
                  <w:shd w:val="clear" w:color="auto" w:fill="auto"/>
                  <w:vAlign w:val="center"/>
                </w:tcPr>
                <w:p w14:paraId="0AC136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废气</w:t>
                  </w:r>
                </w:p>
              </w:tc>
              <w:tc>
                <w:tcPr>
                  <w:tcW w:w="1003" w:type="dxa"/>
                  <w:tcBorders>
                    <w:tl2br w:val="nil"/>
                    <w:tr2bl w:val="nil"/>
                  </w:tcBorders>
                  <w:shd w:val="clear" w:color="auto" w:fill="auto"/>
                  <w:vAlign w:val="center"/>
                </w:tcPr>
                <w:p w14:paraId="782993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none"/>
                    </w:rPr>
                  </w:pPr>
                  <w:r>
                    <w:rPr>
                      <w:rFonts w:hint="eastAsia" w:ascii="Times New Roman" w:hAnsi="Times New Roman" w:cs="Times New Roman"/>
                      <w:kern w:val="0"/>
                      <w:sz w:val="21"/>
                      <w:szCs w:val="21"/>
                      <w:u w:val="none"/>
                      <w:lang w:eastAsia="zh-CN"/>
                    </w:rPr>
                    <w:t>有组织</w:t>
                  </w:r>
                  <w:r>
                    <w:rPr>
                      <w:rFonts w:hint="eastAsia" w:ascii="Times New Roman" w:hAnsi="Times New Roman" w:cs="Times New Roman"/>
                      <w:kern w:val="0"/>
                      <w:sz w:val="21"/>
                      <w:szCs w:val="21"/>
                      <w:u w:val="none"/>
                      <w:lang w:val="en-US" w:eastAsia="zh-CN"/>
                    </w:rPr>
                    <w:t>DA001</w:t>
                  </w:r>
                </w:p>
              </w:tc>
              <w:tc>
                <w:tcPr>
                  <w:tcW w:w="1550" w:type="dxa"/>
                  <w:tcBorders>
                    <w:tl2br w:val="nil"/>
                    <w:tr2bl w:val="nil"/>
                  </w:tcBorders>
                  <w:shd w:val="clear" w:color="auto" w:fill="auto"/>
                  <w:vAlign w:val="center"/>
                </w:tcPr>
                <w:p w14:paraId="4EB13D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none"/>
                    </w:rPr>
                  </w:pPr>
                  <w:r>
                    <w:rPr>
                      <w:rFonts w:hint="eastAsia" w:ascii="Times New Roman" w:hAnsi="Times New Roman" w:cs="Times New Roman"/>
                      <w:sz w:val="21"/>
                      <w:szCs w:val="21"/>
                      <w:u w:val="none"/>
                      <w:lang w:eastAsia="zh-CN"/>
                    </w:rPr>
                    <w:t>颗粒物、氮氧化物、</w:t>
                  </w:r>
                  <w:r>
                    <w:rPr>
                      <w:rFonts w:hint="eastAsia" w:ascii="Times New Roman" w:hAnsi="Times New Roman" w:cs="Times New Roman"/>
                      <w:sz w:val="21"/>
                      <w:szCs w:val="21"/>
                      <w:u w:val="none"/>
                      <w:lang w:val="en-US" w:eastAsia="zh-CN"/>
                    </w:rPr>
                    <w:t>SO</w:t>
                  </w:r>
                  <w:r>
                    <w:rPr>
                      <w:rFonts w:hint="eastAsia" w:ascii="Times New Roman" w:hAnsi="Times New Roman" w:cs="Times New Roman"/>
                      <w:sz w:val="21"/>
                      <w:szCs w:val="21"/>
                      <w:u w:val="none"/>
                      <w:vertAlign w:val="subscript"/>
                      <w:lang w:val="en-US" w:eastAsia="zh-CN"/>
                    </w:rPr>
                    <w:t>2</w:t>
                  </w:r>
                </w:p>
              </w:tc>
              <w:tc>
                <w:tcPr>
                  <w:tcW w:w="962" w:type="dxa"/>
                  <w:tcBorders>
                    <w:tl2br w:val="nil"/>
                    <w:tr2bl w:val="nil"/>
                  </w:tcBorders>
                  <w:shd w:val="clear" w:color="auto" w:fill="auto"/>
                  <w:vAlign w:val="center"/>
                </w:tcPr>
                <w:p w14:paraId="6FCD77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1次/年</w:t>
                  </w:r>
                </w:p>
              </w:tc>
              <w:tc>
                <w:tcPr>
                  <w:tcW w:w="3793" w:type="dxa"/>
                  <w:tcBorders>
                    <w:tl2br w:val="nil"/>
                    <w:tr2bl w:val="nil"/>
                  </w:tcBorders>
                  <w:shd w:val="clear" w:color="auto" w:fill="auto"/>
                  <w:vAlign w:val="center"/>
                </w:tcPr>
                <w:p w14:paraId="42F1F9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《湖南省工业炉窑大气污染综合治理实施方案》附件1中相关排放限值</w:t>
                  </w:r>
                </w:p>
              </w:tc>
            </w:tr>
            <w:tr w14:paraId="0DB2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5" w:type="dxa"/>
                  <w:vMerge w:val="continue"/>
                  <w:tcBorders>
                    <w:tl2br w:val="nil"/>
                    <w:tr2bl w:val="nil"/>
                  </w:tcBorders>
                  <w:shd w:val="clear" w:color="auto" w:fill="auto"/>
                  <w:vAlign w:val="center"/>
                </w:tcPr>
                <w:p w14:paraId="43B267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none"/>
                    </w:rPr>
                  </w:pPr>
                </w:p>
              </w:tc>
              <w:tc>
                <w:tcPr>
                  <w:tcW w:w="1003" w:type="dxa"/>
                  <w:tcBorders>
                    <w:tl2br w:val="nil"/>
                    <w:tr2bl w:val="nil"/>
                  </w:tcBorders>
                  <w:shd w:val="clear" w:color="auto" w:fill="auto"/>
                  <w:vAlign w:val="center"/>
                </w:tcPr>
                <w:p w14:paraId="761BA87F">
                  <w:pPr>
                    <w:pStyle w:val="100"/>
                    <w:keepNext w:val="0"/>
                    <w:keepLines w:val="0"/>
                    <w:pageBreakBefore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default" w:ascii="Times New Roman" w:hAnsi="Times New Roman" w:cs="Times New Roman"/>
                      <w:sz w:val="21"/>
                      <w:szCs w:val="21"/>
                      <w:u w:val="none"/>
                    </w:rPr>
                    <w:t>厂界</w:t>
                  </w:r>
                </w:p>
              </w:tc>
              <w:tc>
                <w:tcPr>
                  <w:tcW w:w="1550" w:type="dxa"/>
                  <w:tcBorders>
                    <w:tl2br w:val="nil"/>
                    <w:tr2bl w:val="nil"/>
                  </w:tcBorders>
                  <w:shd w:val="clear" w:color="auto" w:fill="auto"/>
                  <w:vAlign w:val="center"/>
                </w:tcPr>
                <w:p w14:paraId="6E3F7230">
                  <w:pPr>
                    <w:pStyle w:val="100"/>
                    <w:keepNext w:val="0"/>
                    <w:keepLines w:val="0"/>
                    <w:pageBreakBefore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default" w:ascii="Times New Roman" w:hAnsi="Times New Roman" w:cs="Times New Roman"/>
                      <w:sz w:val="21"/>
                      <w:szCs w:val="21"/>
                      <w:u w:val="none"/>
                    </w:rPr>
                    <w:t>颗粒物</w:t>
                  </w:r>
                </w:p>
              </w:tc>
              <w:tc>
                <w:tcPr>
                  <w:tcW w:w="962" w:type="dxa"/>
                  <w:tcBorders>
                    <w:tl2br w:val="nil"/>
                    <w:tr2bl w:val="nil"/>
                  </w:tcBorders>
                  <w:shd w:val="clear" w:color="auto" w:fill="auto"/>
                  <w:vAlign w:val="center"/>
                </w:tcPr>
                <w:p w14:paraId="40B3E597">
                  <w:pPr>
                    <w:pStyle w:val="100"/>
                    <w:keepNext w:val="0"/>
                    <w:keepLines w:val="0"/>
                    <w:pageBreakBefore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default" w:ascii="Times New Roman" w:hAnsi="Times New Roman" w:cs="Times New Roman"/>
                      <w:sz w:val="21"/>
                      <w:szCs w:val="21"/>
                      <w:u w:val="none"/>
                    </w:rPr>
                    <w:t>一次/年</w:t>
                  </w:r>
                </w:p>
              </w:tc>
              <w:tc>
                <w:tcPr>
                  <w:tcW w:w="3793" w:type="dxa"/>
                  <w:tcBorders>
                    <w:tl2br w:val="nil"/>
                    <w:tr2bl w:val="nil"/>
                  </w:tcBorders>
                  <w:shd w:val="clear" w:color="auto" w:fill="auto"/>
                  <w:vAlign w:val="center"/>
                </w:tcPr>
                <w:p w14:paraId="5E493EBC">
                  <w:pPr>
                    <w:pStyle w:val="100"/>
                    <w:keepNext w:val="0"/>
                    <w:keepLines w:val="0"/>
                    <w:pageBreakBefore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eastAsia="宋体" w:cs="Times New Roman"/>
                      <w:color w:val="000000" w:themeColor="text1"/>
                      <w:kern w:val="0"/>
                      <w:sz w:val="21"/>
                      <w:szCs w:val="21"/>
                      <w:u w:val="none"/>
                      <w:lang w:val="en-US" w:eastAsia="zh-CN" w:bidi="ar-SA"/>
                      <w14:textFill>
                        <w14:solidFill>
                          <w14:schemeClr w14:val="tx1"/>
                        </w14:solidFill>
                      </w14:textFill>
                    </w:rPr>
                  </w:pPr>
                  <w:r>
                    <w:rPr>
                      <w:rFonts w:hint="default" w:ascii="Times New Roman" w:hAnsi="Times New Roman" w:cs="Times New Roman"/>
                      <w:sz w:val="21"/>
                      <w:szCs w:val="21"/>
                      <w:u w:val="none"/>
                    </w:rPr>
                    <w:t>《水泥工业大气污染物排放标准》（GB 4915-2013）表3无组织排放限值要求</w:t>
                  </w:r>
                </w:p>
              </w:tc>
            </w:tr>
            <w:tr w14:paraId="7C2A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5" w:type="dxa"/>
                  <w:tcBorders>
                    <w:tl2br w:val="nil"/>
                    <w:tr2bl w:val="nil"/>
                  </w:tcBorders>
                  <w:shd w:val="clear" w:color="auto" w:fill="auto"/>
                  <w:vAlign w:val="center"/>
                </w:tcPr>
                <w:p w14:paraId="7D9C8E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噪声</w:t>
                  </w:r>
                </w:p>
              </w:tc>
              <w:tc>
                <w:tcPr>
                  <w:tcW w:w="1003" w:type="dxa"/>
                  <w:tcBorders>
                    <w:tl2br w:val="nil"/>
                    <w:tr2bl w:val="nil"/>
                  </w:tcBorders>
                  <w:shd w:val="clear" w:color="auto" w:fill="auto"/>
                  <w:vAlign w:val="center"/>
                </w:tcPr>
                <w:p w14:paraId="20DBC6ED">
                  <w:pPr>
                    <w:pStyle w:val="100"/>
                    <w:keepNext w:val="0"/>
                    <w:keepLines w:val="0"/>
                    <w:pageBreakBefore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厂界</w:t>
                  </w:r>
                </w:p>
              </w:tc>
              <w:tc>
                <w:tcPr>
                  <w:tcW w:w="1550" w:type="dxa"/>
                  <w:tcBorders>
                    <w:tl2br w:val="nil"/>
                    <w:tr2bl w:val="nil"/>
                  </w:tcBorders>
                  <w:shd w:val="clear" w:color="auto" w:fill="auto"/>
                  <w:vAlign w:val="center"/>
                </w:tcPr>
                <w:p w14:paraId="18FB8030">
                  <w:pPr>
                    <w:pStyle w:val="100"/>
                    <w:keepNext w:val="0"/>
                    <w:keepLines w:val="0"/>
                    <w:pageBreakBefore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Leq（A）</w:t>
                  </w:r>
                </w:p>
              </w:tc>
              <w:tc>
                <w:tcPr>
                  <w:tcW w:w="962" w:type="dxa"/>
                  <w:tcBorders>
                    <w:tl2br w:val="nil"/>
                    <w:tr2bl w:val="nil"/>
                  </w:tcBorders>
                  <w:shd w:val="clear" w:color="auto" w:fill="auto"/>
                  <w:vAlign w:val="center"/>
                </w:tcPr>
                <w:p w14:paraId="4B73F66D">
                  <w:pPr>
                    <w:pStyle w:val="100"/>
                    <w:keepNext w:val="0"/>
                    <w:keepLines w:val="0"/>
                    <w:pageBreakBefore w:val="0"/>
                    <w:kinsoku/>
                    <w:wordWrap/>
                    <w:overflowPunct/>
                    <w:topLinePunct w:val="0"/>
                    <w:autoSpaceDE/>
                    <w:autoSpaceDN/>
                    <w:bidi w:val="0"/>
                    <w:adjustRightInd/>
                    <w:snapToGrid/>
                    <w:spacing w:after="0" w:line="240" w:lineRule="auto"/>
                    <w:ind w:firstLine="0" w:firstLineChars="0"/>
                    <w:textAlignment w:val="auto"/>
                    <w:rPr>
                      <w:rFonts w:hint="eastAsia" w:ascii="Times New Roman" w:hAnsi="Times New Roman" w:eastAsia="宋体" w:cs="Times New Roman"/>
                      <w:sz w:val="21"/>
                      <w:szCs w:val="21"/>
                      <w:u w:val="none"/>
                      <w:lang w:eastAsia="zh-CN"/>
                    </w:rPr>
                  </w:pPr>
                  <w:r>
                    <w:rPr>
                      <w:rFonts w:hint="default" w:ascii="Times New Roman" w:hAnsi="Times New Roman" w:cs="Times New Roman"/>
                      <w:sz w:val="21"/>
                      <w:szCs w:val="21"/>
                      <w:u w:val="none"/>
                    </w:rPr>
                    <w:t>一次/</w:t>
                  </w:r>
                  <w:r>
                    <w:rPr>
                      <w:rFonts w:hint="eastAsia" w:ascii="Times New Roman" w:hAnsi="Times New Roman" w:cs="Times New Roman"/>
                      <w:sz w:val="21"/>
                      <w:szCs w:val="21"/>
                      <w:u w:val="none"/>
                      <w:lang w:eastAsia="zh-CN"/>
                    </w:rPr>
                    <w:t>年</w:t>
                  </w:r>
                </w:p>
              </w:tc>
              <w:tc>
                <w:tcPr>
                  <w:tcW w:w="3793" w:type="dxa"/>
                  <w:tcBorders>
                    <w:tl2br w:val="nil"/>
                    <w:tr2bl w:val="nil"/>
                  </w:tcBorders>
                  <w:shd w:val="clear" w:color="auto" w:fill="auto"/>
                  <w:vAlign w:val="center"/>
                </w:tcPr>
                <w:p w14:paraId="09B16903">
                  <w:pPr>
                    <w:pStyle w:val="100"/>
                    <w:keepNext w:val="0"/>
                    <w:keepLines w:val="0"/>
                    <w:pageBreakBefore w:val="0"/>
                    <w:kinsoku/>
                    <w:wordWrap/>
                    <w:overflowPunct/>
                    <w:topLinePunct w:val="0"/>
                    <w:autoSpaceDE/>
                    <w:autoSpaceDN/>
                    <w:bidi w:val="0"/>
                    <w:adjustRightInd/>
                    <w:snapToGrid/>
                    <w:spacing w:after="0" w:line="240" w:lineRule="auto"/>
                    <w:ind w:firstLine="0" w:firstLineChars="0"/>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《工业企业厂界环境噪声排放标准》（GB12348-2008）中2类功能区限值要求</w:t>
                  </w:r>
                </w:p>
              </w:tc>
            </w:tr>
          </w:tbl>
          <w:p w14:paraId="7F0E7948">
            <w:pPr>
              <w:pStyle w:val="15"/>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cs="Times New Roman"/>
                <w:b/>
                <w:bCs/>
                <w:sz w:val="24"/>
                <w:szCs w:val="24"/>
                <w:u w:val="none"/>
              </w:rPr>
            </w:pPr>
            <w:r>
              <w:rPr>
                <w:rFonts w:hint="eastAsia" w:ascii="Times New Roman" w:hAnsi="Times New Roman" w:cs="Times New Roman"/>
                <w:b/>
                <w:bCs/>
                <w:sz w:val="24"/>
                <w:szCs w:val="24"/>
                <w:u w:val="none"/>
                <w:lang w:val="en-US" w:eastAsia="zh-CN"/>
              </w:rPr>
              <w:t>2</w:t>
            </w:r>
            <w:r>
              <w:rPr>
                <w:rFonts w:hint="default" w:ascii="Times New Roman" w:hAnsi="Times New Roman" w:cs="Times New Roman"/>
                <w:b/>
                <w:bCs/>
                <w:sz w:val="24"/>
                <w:szCs w:val="24"/>
                <w:u w:val="none"/>
              </w:rPr>
              <w:t>、建设项目竣工环境保护验收</w:t>
            </w:r>
          </w:p>
          <w:p w14:paraId="574D4E49">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根据《中华人民共和国大气污染防治法》、《中华人民共和国水污染防治法》《中华人民共和国环境噪声污染防治法》、《中华人民共和国固体废物污染环境防治法》、《关于发布〈建设项目竣工环境保护验收暂行办法〉的公告》（国环规环评〔2017〕4号）以及其他有关规定，本项目建成投入初步运营后，项目（废水、大气、噪声、固废污染防治措施）可进行自主验收整改。自主环保竣工验收参照《建设项目竣工环境保护验收暂行办法》（国环规环评[2017]4号）进行。</w:t>
            </w:r>
          </w:p>
          <w:p w14:paraId="026D5F8F">
            <w:pPr>
              <w:pStyle w:val="15"/>
              <w:keepNext w:val="0"/>
              <w:keepLines w:val="0"/>
              <w:pageBreakBefore w:val="0"/>
              <w:widowControl/>
              <w:kinsoku/>
              <w:wordWrap/>
              <w:overflowPunct/>
              <w:topLinePunct w:val="0"/>
              <w:autoSpaceDE/>
              <w:autoSpaceDN/>
              <w:bidi w:val="0"/>
              <w:adjustRightInd/>
              <w:snapToGrid/>
              <w:spacing w:after="0" w:line="360" w:lineRule="auto"/>
              <w:ind w:firstLine="482" w:firstLineChars="200"/>
              <w:textAlignment w:val="auto"/>
              <w:rPr>
                <w:rFonts w:hint="default" w:ascii="Times New Roman" w:hAnsi="Times New Roman" w:cs="Times New Roman"/>
                <w:b/>
                <w:bCs/>
                <w:sz w:val="24"/>
                <w:szCs w:val="24"/>
                <w:u w:val="none"/>
              </w:rPr>
            </w:pPr>
            <w:r>
              <w:rPr>
                <w:rFonts w:hint="eastAsia" w:ascii="Times New Roman" w:hAnsi="Times New Roman" w:cs="Times New Roman"/>
                <w:b/>
                <w:bCs/>
                <w:sz w:val="24"/>
                <w:szCs w:val="24"/>
                <w:u w:val="none"/>
                <w:lang w:val="en-US" w:eastAsia="zh-CN"/>
              </w:rPr>
              <w:t>3</w:t>
            </w:r>
            <w:r>
              <w:rPr>
                <w:rFonts w:hint="default" w:ascii="Times New Roman" w:hAnsi="Times New Roman" w:cs="Times New Roman"/>
                <w:b/>
                <w:bCs/>
                <w:sz w:val="24"/>
                <w:szCs w:val="24"/>
                <w:u w:val="none"/>
              </w:rPr>
              <w:t>、管理要求</w:t>
            </w:r>
          </w:p>
          <w:p w14:paraId="5AD5FCAA">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eastAsia" w:ascii="Times New Roman" w:hAnsi="Times New Roman" w:cs="Times New Roman"/>
                <w:sz w:val="24"/>
                <w:szCs w:val="24"/>
                <w:u w:val="none"/>
                <w:lang w:eastAsia="zh-CN"/>
              </w:rPr>
              <w:t>（</w:t>
            </w:r>
            <w:r>
              <w:rPr>
                <w:rFonts w:hint="eastAsia" w:ascii="Times New Roman" w:hAnsi="Times New Roman" w:cs="Times New Roman"/>
                <w:sz w:val="24"/>
                <w:szCs w:val="24"/>
                <w:u w:val="none"/>
                <w:lang w:val="en-US" w:eastAsia="zh-CN"/>
              </w:rPr>
              <w:t>1</w:t>
            </w:r>
            <w:r>
              <w:rPr>
                <w:rFonts w:hint="eastAsia" w:ascii="Times New Roman" w:hAnsi="Times New Roman" w:cs="Times New Roman"/>
                <w:sz w:val="24"/>
                <w:szCs w:val="24"/>
                <w:u w:val="none"/>
                <w:lang w:eastAsia="zh-CN"/>
              </w:rPr>
              <w:t>）</w:t>
            </w:r>
            <w:r>
              <w:rPr>
                <w:rFonts w:hint="default" w:ascii="Times New Roman" w:hAnsi="Times New Roman" w:cs="Times New Roman"/>
                <w:sz w:val="24"/>
                <w:szCs w:val="24"/>
                <w:u w:val="none"/>
              </w:rPr>
              <w:t>按规范要求进行原料、产品的储存。设产品的专用库房，库房保持通风干燥，远离火种、热源，并注意防潮。</w:t>
            </w:r>
          </w:p>
          <w:p w14:paraId="7E7B3320">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single"/>
              </w:rPr>
            </w:pPr>
            <w:r>
              <w:rPr>
                <w:rFonts w:hint="eastAsia" w:ascii="Times New Roman" w:hAnsi="Times New Roman" w:cs="Times New Roman"/>
                <w:sz w:val="24"/>
                <w:szCs w:val="24"/>
                <w:u w:val="single"/>
                <w:lang w:eastAsia="zh-CN"/>
              </w:rPr>
              <w:t>（</w:t>
            </w:r>
            <w:r>
              <w:rPr>
                <w:rFonts w:hint="eastAsia" w:ascii="Times New Roman" w:hAnsi="Times New Roman" w:cs="Times New Roman"/>
                <w:sz w:val="24"/>
                <w:szCs w:val="24"/>
                <w:u w:val="single"/>
                <w:lang w:val="en-US" w:eastAsia="zh-CN"/>
              </w:rPr>
              <w:t>2</w:t>
            </w:r>
            <w:r>
              <w:rPr>
                <w:rFonts w:hint="eastAsia" w:ascii="Times New Roman" w:hAnsi="Times New Roman" w:cs="Times New Roman"/>
                <w:sz w:val="24"/>
                <w:szCs w:val="24"/>
                <w:u w:val="single"/>
                <w:lang w:eastAsia="zh-CN"/>
              </w:rPr>
              <w:t>）</w:t>
            </w:r>
            <w:r>
              <w:rPr>
                <w:rFonts w:hint="default" w:ascii="Times New Roman" w:hAnsi="Times New Roman" w:cs="Times New Roman"/>
                <w:sz w:val="24"/>
                <w:szCs w:val="24"/>
                <w:u w:val="single"/>
              </w:rPr>
              <w:t>对原料的使用和储存提出相应的管理及使用要求，并严格按照该管理要求进行日常监督、管理。原料仓库保持干燥通风，生产存储过程中原料及物料做到密闭，不长时间暴露在空气中。原料转移和上料过程严格按照操作规程进行操作，按照安全生产要求设立仓库和生产区的防火防爆防潮设施及器具，做到生产区清净整洁，防止物料的撒漏。</w:t>
            </w:r>
          </w:p>
          <w:p w14:paraId="155A2DF3">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single"/>
              </w:rPr>
            </w:pPr>
            <w:r>
              <w:rPr>
                <w:rFonts w:hint="eastAsia" w:ascii="Times New Roman" w:hAnsi="Times New Roman" w:cs="Times New Roman"/>
                <w:sz w:val="24"/>
                <w:szCs w:val="24"/>
                <w:u w:val="single"/>
                <w:lang w:eastAsia="zh-CN"/>
              </w:rPr>
              <w:t>（</w:t>
            </w:r>
            <w:r>
              <w:rPr>
                <w:rFonts w:hint="eastAsia" w:ascii="Times New Roman" w:hAnsi="Times New Roman" w:cs="Times New Roman"/>
                <w:sz w:val="24"/>
                <w:szCs w:val="24"/>
                <w:u w:val="single"/>
                <w:lang w:val="en-US" w:eastAsia="zh-CN"/>
              </w:rPr>
              <w:t>3</w:t>
            </w:r>
            <w:r>
              <w:rPr>
                <w:rFonts w:hint="eastAsia" w:ascii="Times New Roman" w:hAnsi="Times New Roman" w:cs="Times New Roman"/>
                <w:sz w:val="24"/>
                <w:szCs w:val="24"/>
                <w:u w:val="single"/>
                <w:lang w:eastAsia="zh-CN"/>
              </w:rPr>
              <w:t>）</w:t>
            </w:r>
            <w:r>
              <w:rPr>
                <w:rFonts w:hint="default" w:ascii="Times New Roman" w:hAnsi="Times New Roman" w:cs="Times New Roman"/>
                <w:sz w:val="24"/>
                <w:szCs w:val="24"/>
                <w:u w:val="single"/>
              </w:rPr>
              <w:t>加强企业实际生产过程中各工艺环节的管理，定期进行设备及相应环保设施的维护。</w:t>
            </w:r>
          </w:p>
          <w:p w14:paraId="05080B2A">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single"/>
              </w:rPr>
            </w:pPr>
            <w:r>
              <w:rPr>
                <w:rFonts w:hint="eastAsia" w:ascii="Times New Roman" w:hAnsi="Times New Roman" w:cs="Times New Roman"/>
                <w:sz w:val="24"/>
                <w:szCs w:val="24"/>
                <w:u w:val="single"/>
                <w:lang w:eastAsia="zh-CN"/>
              </w:rPr>
              <w:t>（</w:t>
            </w:r>
            <w:r>
              <w:rPr>
                <w:rFonts w:hint="eastAsia" w:ascii="Times New Roman" w:hAnsi="Times New Roman" w:cs="Times New Roman"/>
                <w:sz w:val="24"/>
                <w:szCs w:val="24"/>
                <w:u w:val="single"/>
                <w:lang w:val="en-US" w:eastAsia="zh-CN"/>
              </w:rPr>
              <w:t>4</w:t>
            </w:r>
            <w:r>
              <w:rPr>
                <w:rFonts w:hint="eastAsia" w:ascii="Times New Roman" w:hAnsi="Times New Roman" w:cs="Times New Roman"/>
                <w:sz w:val="24"/>
                <w:szCs w:val="24"/>
                <w:u w:val="single"/>
                <w:lang w:eastAsia="zh-CN"/>
              </w:rPr>
              <w:t>）</w:t>
            </w:r>
            <w:r>
              <w:rPr>
                <w:rFonts w:hint="default" w:ascii="Times New Roman" w:hAnsi="Times New Roman" w:cs="Times New Roman"/>
                <w:sz w:val="24"/>
                <w:szCs w:val="24"/>
                <w:u w:val="single"/>
              </w:rPr>
              <w:t>强化风险意识、加强安全管理，严格按操作规程操作。远离火种、热源，配备相应品种和数量的消防器材及泄漏应急处理设备。</w:t>
            </w:r>
          </w:p>
          <w:p w14:paraId="7AEDFE80">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eastAsia" w:ascii="Times New Roman" w:hAnsi="Times New Roman" w:cs="Times New Roman"/>
                <w:sz w:val="24"/>
                <w:szCs w:val="24"/>
                <w:u w:val="none"/>
                <w:lang w:eastAsia="zh-CN"/>
              </w:rPr>
              <w:t>（</w:t>
            </w:r>
            <w:r>
              <w:rPr>
                <w:rFonts w:hint="eastAsia" w:ascii="Times New Roman" w:hAnsi="Times New Roman" w:cs="Times New Roman"/>
                <w:sz w:val="24"/>
                <w:szCs w:val="24"/>
                <w:u w:val="none"/>
                <w:lang w:val="en-US" w:eastAsia="zh-CN"/>
              </w:rPr>
              <w:t>5</w:t>
            </w:r>
            <w:r>
              <w:rPr>
                <w:rFonts w:hint="eastAsia" w:ascii="Times New Roman" w:hAnsi="Times New Roman" w:cs="Times New Roman"/>
                <w:sz w:val="24"/>
                <w:szCs w:val="24"/>
                <w:u w:val="none"/>
                <w:lang w:eastAsia="zh-CN"/>
              </w:rPr>
              <w:t>）</w:t>
            </w:r>
            <w:r>
              <w:rPr>
                <w:rFonts w:hint="default" w:ascii="Times New Roman" w:hAnsi="Times New Roman" w:cs="Times New Roman"/>
                <w:sz w:val="24"/>
                <w:szCs w:val="24"/>
                <w:u w:val="none"/>
              </w:rPr>
              <w:t>严格控制点火源，员工在仓库作业时严禁动用明火，同时按消防要求配置灭火器材。车间内应按消防要求配备足够型号相符的灭火器，车间工作人员及相关责任人均应熟悉其放置地点，用法，而且要经常检查。</w:t>
            </w:r>
          </w:p>
          <w:p w14:paraId="43CE3304">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eastAsia" w:ascii="Times New Roman" w:hAnsi="Times New Roman" w:cs="Times New Roman"/>
                <w:sz w:val="24"/>
                <w:szCs w:val="24"/>
                <w:u w:val="none"/>
                <w:lang w:eastAsia="zh-CN"/>
              </w:rPr>
              <w:t>（</w:t>
            </w:r>
            <w:r>
              <w:rPr>
                <w:rFonts w:hint="eastAsia" w:ascii="Times New Roman" w:hAnsi="Times New Roman" w:cs="Times New Roman"/>
                <w:sz w:val="24"/>
                <w:szCs w:val="24"/>
                <w:u w:val="none"/>
                <w:lang w:val="en-US" w:eastAsia="zh-CN"/>
              </w:rPr>
              <w:t>6</w:t>
            </w:r>
            <w:r>
              <w:rPr>
                <w:rFonts w:hint="eastAsia" w:ascii="Times New Roman" w:hAnsi="Times New Roman" w:cs="Times New Roman"/>
                <w:sz w:val="24"/>
                <w:szCs w:val="24"/>
                <w:u w:val="none"/>
                <w:lang w:eastAsia="zh-CN"/>
              </w:rPr>
              <w:t>）</w:t>
            </w:r>
            <w:r>
              <w:rPr>
                <w:rFonts w:hint="default" w:ascii="Times New Roman" w:hAnsi="Times New Roman" w:cs="Times New Roman"/>
                <w:sz w:val="24"/>
                <w:szCs w:val="24"/>
                <w:u w:val="none"/>
              </w:rPr>
              <w:t>建立健全安全检查制度，定期进行安全检查，及时整改安全隐患，防止事故发生。加强工作人员的安全教育，由厂区安全及环保管理人员对厂区员工进行安全与环保知识培训，熟悉国家安全生产方针、政策、法规、标准，增强安全意识和法制观念，掌握安全卫生基本知识，具有一定的安全管理和决策能力；加大管理力度，及时清扫、检修设备也是必不可少的防护措施。</w:t>
            </w:r>
          </w:p>
          <w:p w14:paraId="3FD94959">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eastAsia" w:ascii="Times New Roman" w:hAnsi="Times New Roman" w:cs="Times New Roman"/>
                <w:sz w:val="24"/>
                <w:szCs w:val="24"/>
                <w:u w:val="none"/>
                <w:lang w:eastAsia="zh-CN"/>
              </w:rPr>
              <w:t>（</w:t>
            </w:r>
            <w:r>
              <w:rPr>
                <w:rFonts w:hint="eastAsia" w:ascii="Times New Roman" w:hAnsi="Times New Roman" w:cs="Times New Roman"/>
                <w:sz w:val="24"/>
                <w:szCs w:val="24"/>
                <w:u w:val="none"/>
                <w:lang w:val="en-US" w:eastAsia="zh-CN"/>
              </w:rPr>
              <w:t>7</w:t>
            </w:r>
            <w:r>
              <w:rPr>
                <w:rFonts w:hint="eastAsia" w:ascii="Times New Roman" w:hAnsi="Times New Roman" w:cs="Times New Roman"/>
                <w:sz w:val="24"/>
                <w:szCs w:val="24"/>
                <w:u w:val="none"/>
                <w:lang w:eastAsia="zh-CN"/>
              </w:rPr>
              <w:t>）</w:t>
            </w:r>
            <w:r>
              <w:rPr>
                <w:rFonts w:hint="default" w:ascii="Times New Roman" w:hAnsi="Times New Roman" w:cs="Times New Roman"/>
                <w:sz w:val="24"/>
                <w:szCs w:val="24"/>
                <w:u w:val="none"/>
              </w:rPr>
              <w:t>一旦发生火灾，消防废水随意排放将会对周边地表水体造成污染，因此环评要求，严禁将消防废水外排，用水泵将消防废水导流至沉淀池或空桶内进行暂存；若池内水将无法全部收容，则应立即联系罐车将池内废水进行转移至</w:t>
            </w:r>
            <w:r>
              <w:rPr>
                <w:rFonts w:hint="eastAsia" w:ascii="Times New Roman" w:hAnsi="Times New Roman" w:cs="Times New Roman"/>
                <w:sz w:val="24"/>
                <w:szCs w:val="24"/>
                <w:u w:val="none"/>
                <w:lang w:eastAsia="zh-CN"/>
              </w:rPr>
              <w:t>新田县污水处理厂</w:t>
            </w:r>
            <w:r>
              <w:rPr>
                <w:rFonts w:hint="default" w:ascii="Times New Roman" w:hAnsi="Times New Roman" w:cs="Times New Roman"/>
                <w:sz w:val="24"/>
                <w:szCs w:val="24"/>
                <w:u w:val="none"/>
              </w:rPr>
              <w:t>进行分批次处理。</w:t>
            </w:r>
          </w:p>
          <w:p w14:paraId="267ACD9B">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eastAsia" w:ascii="Times New Roman" w:hAnsi="Times New Roman" w:cs="Times New Roman"/>
                <w:sz w:val="24"/>
                <w:szCs w:val="24"/>
                <w:u w:val="none"/>
                <w:lang w:eastAsia="zh-CN"/>
              </w:rPr>
              <w:t>（</w:t>
            </w:r>
            <w:r>
              <w:rPr>
                <w:rFonts w:hint="eastAsia" w:ascii="Times New Roman" w:hAnsi="Times New Roman" w:cs="Times New Roman"/>
                <w:sz w:val="24"/>
                <w:szCs w:val="24"/>
                <w:u w:val="none"/>
                <w:lang w:val="en-US" w:eastAsia="zh-CN"/>
              </w:rPr>
              <w:t>8</w:t>
            </w:r>
            <w:r>
              <w:rPr>
                <w:rFonts w:hint="eastAsia" w:ascii="Times New Roman" w:hAnsi="Times New Roman" w:cs="Times New Roman"/>
                <w:sz w:val="24"/>
                <w:szCs w:val="24"/>
                <w:u w:val="none"/>
                <w:lang w:eastAsia="zh-CN"/>
              </w:rPr>
              <w:t>）</w:t>
            </w:r>
            <w:r>
              <w:rPr>
                <w:rFonts w:hint="default" w:ascii="Times New Roman" w:hAnsi="Times New Roman" w:cs="Times New Roman"/>
                <w:sz w:val="24"/>
                <w:szCs w:val="24"/>
                <w:u w:val="none"/>
              </w:rPr>
              <w:t>危险废物的存放区贴上醒目的专用标签；储区应备有泄漏应急处理设备。</w:t>
            </w:r>
          </w:p>
          <w:p w14:paraId="4E933482">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eastAsia" w:ascii="Times New Roman" w:hAnsi="Times New Roman" w:cs="Times New Roman"/>
                <w:sz w:val="24"/>
                <w:szCs w:val="24"/>
                <w:u w:val="none"/>
                <w:lang w:eastAsia="zh-CN"/>
              </w:rPr>
              <w:t>（</w:t>
            </w:r>
            <w:r>
              <w:rPr>
                <w:rFonts w:hint="eastAsia" w:ascii="Times New Roman" w:hAnsi="Times New Roman" w:cs="Times New Roman"/>
                <w:sz w:val="24"/>
                <w:szCs w:val="24"/>
                <w:u w:val="none"/>
                <w:lang w:val="en-US" w:eastAsia="zh-CN"/>
              </w:rPr>
              <w:t>9</w:t>
            </w:r>
            <w:r>
              <w:rPr>
                <w:rFonts w:hint="eastAsia" w:ascii="Times New Roman" w:hAnsi="Times New Roman" w:cs="Times New Roman"/>
                <w:sz w:val="24"/>
                <w:szCs w:val="24"/>
                <w:u w:val="none"/>
                <w:lang w:eastAsia="zh-CN"/>
              </w:rPr>
              <w:t>）</w:t>
            </w:r>
            <w:r>
              <w:rPr>
                <w:rFonts w:hint="default" w:ascii="Times New Roman" w:hAnsi="Times New Roman" w:cs="Times New Roman"/>
                <w:sz w:val="24"/>
                <w:szCs w:val="24"/>
                <w:u w:val="none"/>
              </w:rPr>
              <w:t>制定风险防范措施和制度以及书面的应急程序，以便在发生意外时，行动有所依据。对员工进行指导和培训，确保在紧急情况下能实施应急程序。配备应急医疗药品，厂房周围设消防通道，保证消防车辆畅通。建、构筑物周围设消防给水管，并配备灭火器材装置。</w:t>
            </w:r>
          </w:p>
          <w:p w14:paraId="7B87F543">
            <w:pPr>
              <w:pStyle w:val="15"/>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sz w:val="24"/>
                <w:szCs w:val="24"/>
                <w:u w:val="none"/>
              </w:rPr>
            </w:pPr>
            <w:r>
              <w:rPr>
                <w:rFonts w:hint="eastAsia" w:ascii="Times New Roman" w:hAnsi="Times New Roman" w:cs="Times New Roman"/>
                <w:sz w:val="24"/>
                <w:szCs w:val="24"/>
                <w:u w:val="none"/>
                <w:lang w:eastAsia="zh-CN"/>
              </w:rPr>
              <w:t>（</w:t>
            </w:r>
            <w:r>
              <w:rPr>
                <w:rFonts w:hint="eastAsia" w:ascii="Times New Roman" w:hAnsi="Times New Roman" w:cs="Times New Roman"/>
                <w:sz w:val="24"/>
                <w:szCs w:val="24"/>
                <w:u w:val="none"/>
                <w:lang w:val="en-US" w:eastAsia="zh-CN"/>
              </w:rPr>
              <w:t>10）</w:t>
            </w:r>
            <w:r>
              <w:rPr>
                <w:rFonts w:hint="default" w:ascii="Times New Roman" w:hAnsi="Times New Roman" w:cs="Times New Roman"/>
                <w:sz w:val="24"/>
                <w:szCs w:val="24"/>
                <w:u w:val="none"/>
              </w:rPr>
              <w:t>企业应制定事故应急预案，定期演练。</w:t>
            </w:r>
          </w:p>
        </w:tc>
      </w:tr>
    </w:tbl>
    <w:p w14:paraId="0D693D10">
      <w:pPr>
        <w:pStyle w:val="3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0"/>
        <w:jc w:val="center"/>
        <w:textAlignment w:val="auto"/>
        <w:outlineLvl w:val="0"/>
        <w:rPr>
          <w:rFonts w:hint="default" w:ascii="Times New Roman" w:hAnsi="Times New Roman" w:eastAsia="宋体" w:cs="Times New Roman"/>
          <w:b/>
          <w:bCs/>
          <w:snapToGrid w:val="0"/>
          <w:sz w:val="30"/>
          <w:szCs w:val="30"/>
        </w:rPr>
      </w:pPr>
      <w:r>
        <w:rPr>
          <w:rFonts w:hint="default" w:ascii="Times New Roman" w:hAnsi="Times New Roman" w:cs="Times New Roman"/>
          <w:snapToGrid w:val="0"/>
        </w:rPr>
        <w:br w:type="page"/>
      </w:r>
      <w:bookmarkStart w:id="5" w:name="_Toc3376"/>
      <w:r>
        <w:rPr>
          <w:rFonts w:hint="default" w:ascii="Times New Roman" w:hAnsi="Times New Roman" w:eastAsia="宋体" w:cs="Times New Roman"/>
          <w:b/>
          <w:bCs/>
          <w:snapToGrid w:val="0"/>
          <w:sz w:val="30"/>
          <w:szCs w:val="30"/>
        </w:rPr>
        <w:t>六、结论</w:t>
      </w:r>
      <w:bookmarkEnd w:id="5"/>
    </w:p>
    <w:tbl>
      <w:tblPr>
        <w:tblStyle w:val="3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14:paraId="0165BF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vAlign w:val="top"/>
          </w:tcPr>
          <w:p w14:paraId="25317FFA">
            <w:pPr>
              <w:pStyle w:val="58"/>
              <w:jc w:val="both"/>
              <w:rPr>
                <w:rFonts w:hint="default" w:ascii="Times New Roman" w:hAnsi="Times New Roman" w:cs="Times New Roman"/>
                <w:sz w:val="24"/>
                <w:szCs w:val="24"/>
              </w:rPr>
            </w:pPr>
            <w:r>
              <w:rPr>
                <w:rFonts w:hint="default" w:ascii="Times New Roman" w:hAnsi="Times New Roman" w:cs="Times New Roman"/>
                <w:sz w:val="24"/>
                <w:szCs w:val="24"/>
                <w:u w:val="none"/>
              </w:rPr>
              <w:t>项目与国家政策及相关规划相符，选址合理可行，平面布置合理。所在区域环境质量现状满足环评要求，无环境制约因素，项目运营期项目建设及运营对周边环境的影响可满足环境功能区划的要求。项目场址选择合理；在运营过程中按本报告提出的污染防治措施落实后，产生的环境影响满足相应环评标准要求，对当地声环境、大气环境、水环境及生态环境的影响很小，不会改变项目所在区域环境现有功能。从环保角度分析，该项目建设可行。</w:t>
            </w:r>
          </w:p>
        </w:tc>
      </w:tr>
    </w:tbl>
    <w:p w14:paraId="350C457E">
      <w:pPr>
        <w:rPr>
          <w:rFonts w:hint="default" w:ascii="Times New Roman" w:hAnsi="Times New Roman" w:cs="Times New Roman"/>
        </w:rPr>
        <w:sectPr>
          <w:pgSz w:w="11906" w:h="16838"/>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p>
    <w:p w14:paraId="2BEEB7DA">
      <w:pPr>
        <w:pStyle w:val="35"/>
        <w:spacing w:before="0" w:beforeAutospacing="0" w:after="0" w:afterAutospacing="0" w:line="504" w:lineRule="auto"/>
        <w:ind w:firstLine="640"/>
        <w:outlineLvl w:val="0"/>
        <w:rPr>
          <w:rFonts w:hint="default" w:ascii="Times New Roman" w:hAnsi="Times New Roman" w:cs="Times New Roman"/>
          <w:snapToGrid w:val="0"/>
          <w:sz w:val="32"/>
          <w:szCs w:val="32"/>
        </w:rPr>
      </w:pPr>
      <w:bookmarkStart w:id="6" w:name="_Toc2556"/>
      <w:r>
        <w:rPr>
          <w:rFonts w:hint="default" w:ascii="Times New Roman" w:hAnsi="Times New Roman" w:cs="Times New Roman"/>
          <w:snapToGrid w:val="0"/>
          <w:sz w:val="32"/>
          <w:szCs w:val="32"/>
        </w:rPr>
        <w:t>附表</w:t>
      </w:r>
      <w:bookmarkEnd w:id="6"/>
    </w:p>
    <w:p w14:paraId="591EA437">
      <w:pPr>
        <w:pStyle w:val="35"/>
        <w:spacing w:before="0" w:beforeAutospacing="0" w:after="0" w:afterAutospacing="0" w:line="432" w:lineRule="auto"/>
        <w:ind w:firstLine="760"/>
        <w:jc w:val="center"/>
        <w:outlineLvl w:val="0"/>
        <w:rPr>
          <w:rFonts w:hint="default" w:ascii="Times New Roman" w:hAnsi="Times New Roman" w:cs="Times New Roman"/>
          <w:snapToGrid w:val="0"/>
          <w:sz w:val="38"/>
          <w:szCs w:val="38"/>
        </w:rPr>
      </w:pPr>
      <w:bookmarkStart w:id="7" w:name="_Toc25247"/>
      <w:r>
        <w:rPr>
          <w:rFonts w:hint="default" w:ascii="Times New Roman" w:hAnsi="Times New Roman" w:cs="Times New Roman"/>
          <w:snapToGrid w:val="0"/>
          <w:sz w:val="38"/>
          <w:szCs w:val="38"/>
        </w:rPr>
        <w:t>建设项目污染物排放量汇总表</w:t>
      </w:r>
      <w:bookmarkEnd w:id="7"/>
    </w:p>
    <w:tbl>
      <w:tblPr>
        <w:tblStyle w:val="39"/>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559"/>
        <w:gridCol w:w="1701"/>
        <w:gridCol w:w="1276"/>
        <w:gridCol w:w="1701"/>
        <w:gridCol w:w="1559"/>
        <w:gridCol w:w="1418"/>
        <w:gridCol w:w="1701"/>
        <w:gridCol w:w="1427"/>
      </w:tblGrid>
      <w:tr w14:paraId="4567A6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46" w:type="dxa"/>
            <w:tcBorders>
              <w:tl2br w:val="single" w:color="auto" w:sz="4" w:space="0"/>
            </w:tcBorders>
            <w:tcMar>
              <w:left w:w="28" w:type="dxa"/>
              <w:right w:w="28" w:type="dxa"/>
            </w:tcMar>
            <w:vAlign w:val="center"/>
          </w:tcPr>
          <w:p w14:paraId="28BAFD12">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r>
              <w:rPr>
                <w:rFonts w:hint="default" w:ascii="Times New Roman" w:hAnsi="Times New Roman" w:eastAsia="宋体" w:cs="Times New Roman"/>
                <w:snapToGrid w:val="0"/>
                <w:sz w:val="21"/>
                <w:szCs w:val="21"/>
                <w:u w:val="single"/>
              </w:rPr>
              <w:t>项目</w:t>
            </w:r>
          </w:p>
          <w:p w14:paraId="3876CC55">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lang w:val="en-US" w:eastAsia="zh-CN"/>
              </w:rPr>
            </w:pPr>
            <w:r>
              <w:rPr>
                <w:rFonts w:hint="default" w:ascii="Times New Roman" w:hAnsi="Times New Roman" w:eastAsia="宋体" w:cs="Times New Roman"/>
                <w:snapToGrid w:val="0"/>
                <w:sz w:val="21"/>
                <w:szCs w:val="21"/>
                <w:u w:val="single"/>
              </w:rPr>
              <w:t>分类</w:t>
            </w:r>
          </w:p>
        </w:tc>
        <w:tc>
          <w:tcPr>
            <w:tcW w:w="1559" w:type="dxa"/>
            <w:tcMar>
              <w:left w:w="28" w:type="dxa"/>
              <w:right w:w="28" w:type="dxa"/>
            </w:tcMar>
            <w:vAlign w:val="center"/>
          </w:tcPr>
          <w:p w14:paraId="4D5ADB11">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r>
              <w:rPr>
                <w:rFonts w:hint="default" w:ascii="Times New Roman" w:hAnsi="Times New Roman" w:eastAsia="宋体" w:cs="Times New Roman"/>
                <w:snapToGrid w:val="0"/>
                <w:sz w:val="21"/>
                <w:szCs w:val="21"/>
                <w:u w:val="single"/>
              </w:rPr>
              <w:t>污染物名称</w:t>
            </w:r>
          </w:p>
        </w:tc>
        <w:tc>
          <w:tcPr>
            <w:tcW w:w="1701" w:type="dxa"/>
            <w:tcMar>
              <w:left w:w="28" w:type="dxa"/>
              <w:right w:w="28" w:type="dxa"/>
            </w:tcMar>
            <w:vAlign w:val="center"/>
          </w:tcPr>
          <w:p w14:paraId="53E695E0">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r>
              <w:rPr>
                <w:rFonts w:hint="default" w:ascii="Times New Roman" w:hAnsi="Times New Roman" w:eastAsia="宋体" w:cs="Times New Roman"/>
                <w:snapToGrid w:val="0"/>
                <w:sz w:val="21"/>
                <w:szCs w:val="21"/>
                <w:u w:val="single"/>
              </w:rPr>
              <w:t>现有工程</w:t>
            </w:r>
          </w:p>
          <w:p w14:paraId="7DD9C27E">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r>
              <w:rPr>
                <w:rFonts w:hint="default" w:ascii="Times New Roman" w:hAnsi="Times New Roman" w:eastAsia="宋体" w:cs="Times New Roman"/>
                <w:snapToGrid w:val="0"/>
                <w:sz w:val="21"/>
                <w:szCs w:val="21"/>
                <w:u w:val="single"/>
              </w:rPr>
              <w:t>排放量（固体废物产生量）</w:t>
            </w:r>
            <w:r>
              <w:rPr>
                <w:rFonts w:hint="default" w:ascii="Times New Roman" w:hAnsi="Times New Roman" w:eastAsia="宋体" w:cs="Times New Roman"/>
                <w:snapToGrid w:val="0"/>
                <w:sz w:val="21"/>
                <w:szCs w:val="21"/>
                <w:u w:val="single"/>
              </w:rPr>
              <w:fldChar w:fldCharType="begin"/>
            </w:r>
            <w:r>
              <w:rPr>
                <w:rFonts w:hint="default" w:ascii="Times New Roman" w:hAnsi="Times New Roman" w:eastAsia="宋体" w:cs="Times New Roman"/>
                <w:snapToGrid w:val="0"/>
                <w:sz w:val="21"/>
                <w:szCs w:val="21"/>
                <w:u w:val="single"/>
              </w:rPr>
              <w:instrText xml:space="preserve"> = 1 \* GB3 \* MERGEFORMAT </w:instrText>
            </w:r>
            <w:r>
              <w:rPr>
                <w:rFonts w:hint="default" w:ascii="Times New Roman" w:hAnsi="Times New Roman" w:eastAsia="宋体" w:cs="Times New Roman"/>
                <w:snapToGrid w:val="0"/>
                <w:sz w:val="21"/>
                <w:szCs w:val="21"/>
                <w:u w:val="single"/>
              </w:rPr>
              <w:fldChar w:fldCharType="separate"/>
            </w:r>
            <w:r>
              <w:rPr>
                <w:rFonts w:hint="default" w:ascii="Times New Roman" w:hAnsi="Times New Roman" w:eastAsia="宋体" w:cs="Times New Roman"/>
                <w:sz w:val="21"/>
                <w:szCs w:val="21"/>
                <w:u w:val="single"/>
              </w:rPr>
              <w:t>①</w:t>
            </w:r>
            <w:r>
              <w:rPr>
                <w:rFonts w:hint="default" w:ascii="Times New Roman" w:hAnsi="Times New Roman" w:eastAsia="宋体" w:cs="Times New Roman"/>
                <w:snapToGrid w:val="0"/>
                <w:sz w:val="21"/>
                <w:szCs w:val="21"/>
                <w:u w:val="single"/>
              </w:rPr>
              <w:fldChar w:fldCharType="end"/>
            </w:r>
          </w:p>
        </w:tc>
        <w:tc>
          <w:tcPr>
            <w:tcW w:w="1276" w:type="dxa"/>
            <w:tcMar>
              <w:left w:w="28" w:type="dxa"/>
              <w:right w:w="28" w:type="dxa"/>
            </w:tcMar>
            <w:vAlign w:val="center"/>
          </w:tcPr>
          <w:p w14:paraId="558AD6FA">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r>
              <w:rPr>
                <w:rFonts w:hint="default" w:ascii="Times New Roman" w:hAnsi="Times New Roman" w:eastAsia="宋体" w:cs="Times New Roman"/>
                <w:snapToGrid w:val="0"/>
                <w:sz w:val="21"/>
                <w:szCs w:val="21"/>
                <w:u w:val="single"/>
              </w:rPr>
              <w:t>现有工程</w:t>
            </w:r>
          </w:p>
          <w:p w14:paraId="7FB34A52">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r>
              <w:rPr>
                <w:rFonts w:hint="default" w:ascii="Times New Roman" w:hAnsi="Times New Roman" w:eastAsia="宋体" w:cs="Times New Roman"/>
                <w:snapToGrid w:val="0"/>
                <w:sz w:val="21"/>
                <w:szCs w:val="21"/>
                <w:u w:val="single"/>
              </w:rPr>
              <w:t>许可排放量</w:t>
            </w:r>
          </w:p>
          <w:p w14:paraId="57BF434E">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r>
              <w:rPr>
                <w:rFonts w:hint="default" w:ascii="Times New Roman" w:hAnsi="Times New Roman" w:eastAsia="宋体" w:cs="Times New Roman"/>
                <w:snapToGrid w:val="0"/>
                <w:sz w:val="21"/>
                <w:szCs w:val="21"/>
                <w:u w:val="single"/>
              </w:rPr>
              <w:fldChar w:fldCharType="begin"/>
            </w:r>
            <w:r>
              <w:rPr>
                <w:rFonts w:hint="default" w:ascii="Times New Roman" w:hAnsi="Times New Roman" w:eastAsia="宋体" w:cs="Times New Roman"/>
                <w:snapToGrid w:val="0"/>
                <w:sz w:val="21"/>
                <w:szCs w:val="21"/>
                <w:u w:val="single"/>
              </w:rPr>
              <w:instrText xml:space="preserve"> = 2 \* GB3 \* MERGEFORMAT </w:instrText>
            </w:r>
            <w:r>
              <w:rPr>
                <w:rFonts w:hint="default" w:ascii="Times New Roman" w:hAnsi="Times New Roman" w:eastAsia="宋体" w:cs="Times New Roman"/>
                <w:snapToGrid w:val="0"/>
                <w:sz w:val="21"/>
                <w:szCs w:val="21"/>
                <w:u w:val="single"/>
              </w:rPr>
              <w:fldChar w:fldCharType="separate"/>
            </w:r>
            <w:r>
              <w:rPr>
                <w:rFonts w:hint="default" w:ascii="Times New Roman" w:hAnsi="Times New Roman" w:eastAsia="宋体" w:cs="Times New Roman"/>
                <w:snapToGrid w:val="0"/>
                <w:sz w:val="21"/>
                <w:szCs w:val="21"/>
                <w:u w:val="single"/>
              </w:rPr>
              <w:t>②</w:t>
            </w:r>
            <w:r>
              <w:rPr>
                <w:rFonts w:hint="default" w:ascii="Times New Roman" w:hAnsi="Times New Roman" w:eastAsia="宋体" w:cs="Times New Roman"/>
                <w:snapToGrid w:val="0"/>
                <w:sz w:val="21"/>
                <w:szCs w:val="21"/>
                <w:u w:val="single"/>
              </w:rPr>
              <w:fldChar w:fldCharType="end"/>
            </w:r>
          </w:p>
        </w:tc>
        <w:tc>
          <w:tcPr>
            <w:tcW w:w="1701" w:type="dxa"/>
            <w:tcMar>
              <w:left w:w="28" w:type="dxa"/>
              <w:right w:w="28" w:type="dxa"/>
            </w:tcMar>
            <w:vAlign w:val="center"/>
          </w:tcPr>
          <w:p w14:paraId="68790C14">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r>
              <w:rPr>
                <w:rFonts w:hint="default" w:ascii="Times New Roman" w:hAnsi="Times New Roman" w:eastAsia="宋体" w:cs="Times New Roman"/>
                <w:snapToGrid w:val="0"/>
                <w:sz w:val="21"/>
                <w:szCs w:val="21"/>
                <w:u w:val="single"/>
              </w:rPr>
              <w:t>在建工程</w:t>
            </w:r>
          </w:p>
          <w:p w14:paraId="0BE11D36">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r>
              <w:rPr>
                <w:rFonts w:hint="default" w:ascii="Times New Roman" w:hAnsi="Times New Roman" w:eastAsia="宋体" w:cs="Times New Roman"/>
                <w:snapToGrid w:val="0"/>
                <w:sz w:val="21"/>
                <w:szCs w:val="21"/>
                <w:u w:val="single"/>
              </w:rPr>
              <w:t>排放量（固体废物产生量）</w:t>
            </w:r>
            <w:r>
              <w:rPr>
                <w:rFonts w:hint="default" w:ascii="Times New Roman" w:hAnsi="Times New Roman" w:eastAsia="宋体" w:cs="Times New Roman"/>
                <w:snapToGrid w:val="0"/>
                <w:sz w:val="21"/>
                <w:szCs w:val="21"/>
                <w:u w:val="single"/>
              </w:rPr>
              <w:fldChar w:fldCharType="begin"/>
            </w:r>
            <w:r>
              <w:rPr>
                <w:rFonts w:hint="default" w:ascii="Times New Roman" w:hAnsi="Times New Roman" w:eastAsia="宋体" w:cs="Times New Roman"/>
                <w:snapToGrid w:val="0"/>
                <w:sz w:val="21"/>
                <w:szCs w:val="21"/>
                <w:u w:val="single"/>
              </w:rPr>
              <w:instrText xml:space="preserve"> = 3 \* GB3 \* MERGEFORMAT </w:instrText>
            </w:r>
            <w:r>
              <w:rPr>
                <w:rFonts w:hint="default" w:ascii="Times New Roman" w:hAnsi="Times New Roman" w:eastAsia="宋体" w:cs="Times New Roman"/>
                <w:snapToGrid w:val="0"/>
                <w:sz w:val="21"/>
                <w:szCs w:val="21"/>
                <w:u w:val="single"/>
              </w:rPr>
              <w:fldChar w:fldCharType="separate"/>
            </w:r>
            <w:r>
              <w:rPr>
                <w:rFonts w:hint="default" w:ascii="Times New Roman" w:hAnsi="Times New Roman" w:eastAsia="宋体" w:cs="Times New Roman"/>
                <w:sz w:val="21"/>
                <w:szCs w:val="21"/>
                <w:u w:val="single"/>
              </w:rPr>
              <w:t>③</w:t>
            </w:r>
            <w:r>
              <w:rPr>
                <w:rFonts w:hint="default" w:ascii="Times New Roman" w:hAnsi="Times New Roman" w:eastAsia="宋体" w:cs="Times New Roman"/>
                <w:snapToGrid w:val="0"/>
                <w:sz w:val="21"/>
                <w:szCs w:val="21"/>
                <w:u w:val="single"/>
              </w:rPr>
              <w:fldChar w:fldCharType="end"/>
            </w:r>
          </w:p>
        </w:tc>
        <w:tc>
          <w:tcPr>
            <w:tcW w:w="1559" w:type="dxa"/>
            <w:tcMar>
              <w:left w:w="28" w:type="dxa"/>
              <w:right w:w="28" w:type="dxa"/>
            </w:tcMar>
            <w:vAlign w:val="center"/>
          </w:tcPr>
          <w:p w14:paraId="5F848F94">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r>
              <w:rPr>
                <w:rFonts w:hint="default" w:ascii="Times New Roman" w:hAnsi="Times New Roman" w:eastAsia="宋体" w:cs="Times New Roman"/>
                <w:snapToGrid w:val="0"/>
                <w:sz w:val="21"/>
                <w:szCs w:val="21"/>
                <w:u w:val="single"/>
              </w:rPr>
              <w:t>本项目</w:t>
            </w:r>
          </w:p>
          <w:p w14:paraId="007F6779">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r>
              <w:rPr>
                <w:rFonts w:hint="default" w:ascii="Times New Roman" w:hAnsi="Times New Roman" w:eastAsia="宋体" w:cs="Times New Roman"/>
                <w:snapToGrid w:val="0"/>
                <w:sz w:val="21"/>
                <w:szCs w:val="21"/>
                <w:u w:val="single"/>
              </w:rPr>
              <w:t>排放量（固体废物产生量）</w:t>
            </w:r>
            <w:r>
              <w:rPr>
                <w:rFonts w:hint="default" w:ascii="Times New Roman" w:hAnsi="Times New Roman" w:eastAsia="宋体" w:cs="Times New Roman"/>
                <w:snapToGrid w:val="0"/>
                <w:sz w:val="21"/>
                <w:szCs w:val="21"/>
                <w:u w:val="single"/>
              </w:rPr>
              <w:fldChar w:fldCharType="begin"/>
            </w:r>
            <w:r>
              <w:rPr>
                <w:rFonts w:hint="default" w:ascii="Times New Roman" w:hAnsi="Times New Roman" w:eastAsia="宋体" w:cs="Times New Roman"/>
                <w:snapToGrid w:val="0"/>
                <w:sz w:val="21"/>
                <w:szCs w:val="21"/>
                <w:u w:val="single"/>
              </w:rPr>
              <w:instrText xml:space="preserve"> = 4 \* GB3 \* MERGEFORMAT </w:instrText>
            </w:r>
            <w:r>
              <w:rPr>
                <w:rFonts w:hint="default" w:ascii="Times New Roman" w:hAnsi="Times New Roman" w:eastAsia="宋体" w:cs="Times New Roman"/>
                <w:snapToGrid w:val="0"/>
                <w:sz w:val="21"/>
                <w:szCs w:val="21"/>
                <w:u w:val="single"/>
              </w:rPr>
              <w:fldChar w:fldCharType="separate"/>
            </w:r>
            <w:r>
              <w:rPr>
                <w:rFonts w:hint="default" w:ascii="Times New Roman" w:hAnsi="Times New Roman" w:eastAsia="宋体" w:cs="Times New Roman"/>
                <w:sz w:val="21"/>
                <w:szCs w:val="21"/>
                <w:u w:val="single"/>
              </w:rPr>
              <w:t>④</w:t>
            </w:r>
            <w:r>
              <w:rPr>
                <w:rFonts w:hint="default" w:ascii="Times New Roman" w:hAnsi="Times New Roman" w:eastAsia="宋体" w:cs="Times New Roman"/>
                <w:snapToGrid w:val="0"/>
                <w:sz w:val="21"/>
                <w:szCs w:val="21"/>
                <w:u w:val="single"/>
              </w:rPr>
              <w:fldChar w:fldCharType="end"/>
            </w:r>
          </w:p>
        </w:tc>
        <w:tc>
          <w:tcPr>
            <w:tcW w:w="1418" w:type="dxa"/>
            <w:tcMar>
              <w:left w:w="28" w:type="dxa"/>
              <w:right w:w="28" w:type="dxa"/>
            </w:tcMar>
            <w:vAlign w:val="center"/>
          </w:tcPr>
          <w:p w14:paraId="13D19CCB">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r>
              <w:rPr>
                <w:rFonts w:hint="default" w:ascii="Times New Roman" w:hAnsi="Times New Roman" w:eastAsia="宋体" w:cs="Times New Roman"/>
                <w:snapToGrid w:val="0"/>
                <w:sz w:val="21"/>
                <w:szCs w:val="21"/>
                <w:u w:val="single"/>
              </w:rPr>
              <w:t>以新带老削减量（新建项目不填）</w:t>
            </w:r>
            <w:r>
              <w:rPr>
                <w:rFonts w:hint="default" w:ascii="Times New Roman" w:hAnsi="Times New Roman" w:eastAsia="宋体" w:cs="Times New Roman"/>
                <w:snapToGrid w:val="0"/>
                <w:sz w:val="21"/>
                <w:szCs w:val="21"/>
                <w:u w:val="single"/>
              </w:rPr>
              <w:fldChar w:fldCharType="begin"/>
            </w:r>
            <w:r>
              <w:rPr>
                <w:rFonts w:hint="default" w:ascii="Times New Roman" w:hAnsi="Times New Roman" w:eastAsia="宋体" w:cs="Times New Roman"/>
                <w:snapToGrid w:val="0"/>
                <w:sz w:val="21"/>
                <w:szCs w:val="21"/>
                <w:u w:val="single"/>
              </w:rPr>
              <w:instrText xml:space="preserve"> = 5 \* GB3 \* MERGEFORMAT </w:instrText>
            </w:r>
            <w:r>
              <w:rPr>
                <w:rFonts w:hint="default" w:ascii="Times New Roman" w:hAnsi="Times New Roman" w:eastAsia="宋体" w:cs="Times New Roman"/>
                <w:snapToGrid w:val="0"/>
                <w:sz w:val="21"/>
                <w:szCs w:val="21"/>
                <w:u w:val="single"/>
              </w:rPr>
              <w:fldChar w:fldCharType="separate"/>
            </w:r>
            <w:r>
              <w:rPr>
                <w:rFonts w:hint="default" w:ascii="Times New Roman" w:hAnsi="Times New Roman" w:eastAsia="宋体" w:cs="Times New Roman"/>
                <w:sz w:val="21"/>
                <w:szCs w:val="21"/>
                <w:u w:val="single"/>
              </w:rPr>
              <w:t>⑤</w:t>
            </w:r>
            <w:r>
              <w:rPr>
                <w:rFonts w:hint="default" w:ascii="Times New Roman" w:hAnsi="Times New Roman" w:eastAsia="宋体" w:cs="Times New Roman"/>
                <w:snapToGrid w:val="0"/>
                <w:sz w:val="21"/>
                <w:szCs w:val="21"/>
                <w:u w:val="single"/>
              </w:rPr>
              <w:fldChar w:fldCharType="end"/>
            </w:r>
          </w:p>
        </w:tc>
        <w:tc>
          <w:tcPr>
            <w:tcW w:w="1701" w:type="dxa"/>
            <w:tcMar>
              <w:left w:w="28" w:type="dxa"/>
              <w:right w:w="28" w:type="dxa"/>
            </w:tcMar>
            <w:vAlign w:val="center"/>
          </w:tcPr>
          <w:p w14:paraId="11017AC9">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r>
              <w:rPr>
                <w:rFonts w:hint="default" w:ascii="Times New Roman" w:hAnsi="Times New Roman" w:eastAsia="宋体" w:cs="Times New Roman"/>
                <w:snapToGrid w:val="0"/>
                <w:sz w:val="21"/>
                <w:szCs w:val="21"/>
                <w:u w:val="single"/>
              </w:rPr>
              <w:t>本项目建成后全厂排放量（固体废物产生量）</w:t>
            </w:r>
            <w:r>
              <w:rPr>
                <w:rFonts w:hint="default" w:ascii="Times New Roman" w:hAnsi="Times New Roman" w:eastAsia="宋体" w:cs="Times New Roman"/>
                <w:snapToGrid w:val="0"/>
                <w:sz w:val="21"/>
                <w:szCs w:val="21"/>
                <w:u w:val="single"/>
              </w:rPr>
              <w:fldChar w:fldCharType="begin"/>
            </w:r>
            <w:r>
              <w:rPr>
                <w:rFonts w:hint="default" w:ascii="Times New Roman" w:hAnsi="Times New Roman" w:eastAsia="宋体" w:cs="Times New Roman"/>
                <w:snapToGrid w:val="0"/>
                <w:sz w:val="21"/>
                <w:szCs w:val="21"/>
                <w:u w:val="single"/>
              </w:rPr>
              <w:instrText xml:space="preserve"> = 6 \* GB3 \* MERGEFORMAT </w:instrText>
            </w:r>
            <w:r>
              <w:rPr>
                <w:rFonts w:hint="default" w:ascii="Times New Roman" w:hAnsi="Times New Roman" w:eastAsia="宋体" w:cs="Times New Roman"/>
                <w:snapToGrid w:val="0"/>
                <w:sz w:val="21"/>
                <w:szCs w:val="21"/>
                <w:u w:val="single"/>
              </w:rPr>
              <w:fldChar w:fldCharType="separate"/>
            </w:r>
            <w:r>
              <w:rPr>
                <w:rFonts w:hint="default" w:ascii="Times New Roman" w:hAnsi="Times New Roman" w:eastAsia="宋体" w:cs="Times New Roman"/>
                <w:sz w:val="21"/>
                <w:szCs w:val="21"/>
                <w:u w:val="single"/>
              </w:rPr>
              <w:t>⑥</w:t>
            </w:r>
            <w:r>
              <w:rPr>
                <w:rFonts w:hint="default" w:ascii="Times New Roman" w:hAnsi="Times New Roman" w:eastAsia="宋体" w:cs="Times New Roman"/>
                <w:snapToGrid w:val="0"/>
                <w:sz w:val="21"/>
                <w:szCs w:val="21"/>
                <w:u w:val="single"/>
              </w:rPr>
              <w:fldChar w:fldCharType="end"/>
            </w:r>
          </w:p>
        </w:tc>
        <w:tc>
          <w:tcPr>
            <w:tcW w:w="1427" w:type="dxa"/>
            <w:tcMar>
              <w:left w:w="28" w:type="dxa"/>
              <w:right w:w="28" w:type="dxa"/>
            </w:tcMar>
            <w:vAlign w:val="center"/>
          </w:tcPr>
          <w:p w14:paraId="024E16A6">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r>
              <w:rPr>
                <w:rFonts w:hint="default" w:ascii="Times New Roman" w:hAnsi="Times New Roman" w:eastAsia="宋体" w:cs="Times New Roman"/>
                <w:snapToGrid w:val="0"/>
                <w:sz w:val="21"/>
                <w:szCs w:val="21"/>
                <w:u w:val="single"/>
              </w:rPr>
              <w:t>变化量</w:t>
            </w:r>
          </w:p>
          <w:p w14:paraId="65F964BA">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r>
              <w:rPr>
                <w:rFonts w:hint="default" w:ascii="Times New Roman" w:hAnsi="Times New Roman" w:eastAsia="宋体" w:cs="Times New Roman"/>
                <w:snapToGrid w:val="0"/>
                <w:sz w:val="21"/>
                <w:szCs w:val="21"/>
                <w:u w:val="single"/>
              </w:rPr>
              <w:fldChar w:fldCharType="begin"/>
            </w:r>
            <w:r>
              <w:rPr>
                <w:rFonts w:hint="default" w:ascii="Times New Roman" w:hAnsi="Times New Roman" w:eastAsia="宋体" w:cs="Times New Roman"/>
                <w:snapToGrid w:val="0"/>
                <w:sz w:val="21"/>
                <w:szCs w:val="21"/>
                <w:u w:val="single"/>
              </w:rPr>
              <w:instrText xml:space="preserve"> = 7 \* GB3 \* MERGEFORMAT </w:instrText>
            </w:r>
            <w:r>
              <w:rPr>
                <w:rFonts w:hint="default" w:ascii="Times New Roman" w:hAnsi="Times New Roman" w:eastAsia="宋体" w:cs="Times New Roman"/>
                <w:snapToGrid w:val="0"/>
                <w:sz w:val="21"/>
                <w:szCs w:val="21"/>
                <w:u w:val="single"/>
              </w:rPr>
              <w:fldChar w:fldCharType="separate"/>
            </w:r>
            <w:r>
              <w:rPr>
                <w:rFonts w:hint="default" w:ascii="Times New Roman" w:hAnsi="Times New Roman" w:eastAsia="宋体" w:cs="Times New Roman"/>
                <w:sz w:val="21"/>
                <w:szCs w:val="21"/>
                <w:u w:val="single"/>
              </w:rPr>
              <w:t>⑦</w:t>
            </w:r>
            <w:r>
              <w:rPr>
                <w:rFonts w:hint="default" w:ascii="Times New Roman" w:hAnsi="Times New Roman" w:eastAsia="宋体" w:cs="Times New Roman"/>
                <w:snapToGrid w:val="0"/>
                <w:sz w:val="21"/>
                <w:szCs w:val="21"/>
                <w:u w:val="single"/>
              </w:rPr>
              <w:fldChar w:fldCharType="end"/>
            </w:r>
          </w:p>
        </w:tc>
      </w:tr>
      <w:tr w14:paraId="3AC5EF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46" w:type="dxa"/>
            <w:vMerge w:val="restart"/>
            <w:vAlign w:val="center"/>
          </w:tcPr>
          <w:p w14:paraId="45F852A3">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r>
              <w:rPr>
                <w:rFonts w:hint="default" w:ascii="Times New Roman" w:hAnsi="Times New Roman" w:eastAsia="宋体" w:cs="Times New Roman"/>
                <w:snapToGrid w:val="0"/>
                <w:sz w:val="21"/>
                <w:szCs w:val="21"/>
                <w:u w:val="single"/>
              </w:rPr>
              <w:t>废气</w:t>
            </w:r>
          </w:p>
        </w:tc>
        <w:tc>
          <w:tcPr>
            <w:tcW w:w="1559" w:type="dxa"/>
            <w:vAlign w:val="center"/>
          </w:tcPr>
          <w:p w14:paraId="4FA78F9B">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rPr>
            </w:pPr>
            <w:r>
              <w:rPr>
                <w:rFonts w:hint="default" w:ascii="Times New Roman" w:hAnsi="Times New Roman" w:eastAsia="宋体" w:cs="Times New Roman"/>
                <w:sz w:val="21"/>
                <w:szCs w:val="21"/>
                <w:u w:val="single"/>
              </w:rPr>
              <w:t>颗粒物</w:t>
            </w:r>
          </w:p>
        </w:tc>
        <w:tc>
          <w:tcPr>
            <w:tcW w:w="1701" w:type="dxa"/>
            <w:vAlign w:val="center"/>
          </w:tcPr>
          <w:p w14:paraId="51C48431">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rPr>
            </w:pPr>
            <w:r>
              <w:rPr>
                <w:rFonts w:hint="eastAsia" w:ascii="Times New Roman" w:hAnsi="Times New Roman" w:cs="Times New Roman"/>
                <w:snapToGrid w:val="0"/>
                <w:color w:val="000000"/>
                <w:kern w:val="21"/>
                <w:sz w:val="21"/>
                <w:szCs w:val="21"/>
                <w:u w:val="single"/>
                <w:lang w:val="en-US" w:eastAsia="zh-CN"/>
              </w:rPr>
              <w:t>0.8591t/a</w:t>
            </w:r>
          </w:p>
        </w:tc>
        <w:tc>
          <w:tcPr>
            <w:tcW w:w="1276" w:type="dxa"/>
            <w:vAlign w:val="center"/>
          </w:tcPr>
          <w:p w14:paraId="6DEEEE93">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rPr>
            </w:pPr>
            <w:r>
              <w:rPr>
                <w:rFonts w:hint="default" w:ascii="Times New Roman" w:hAnsi="Times New Roman" w:eastAsia="宋体" w:cs="Times New Roman"/>
                <w:snapToGrid w:val="0"/>
                <w:color w:val="000000"/>
                <w:kern w:val="21"/>
                <w:sz w:val="21"/>
                <w:szCs w:val="21"/>
                <w:u w:val="single"/>
              </w:rPr>
              <w:t>/</w:t>
            </w:r>
          </w:p>
        </w:tc>
        <w:tc>
          <w:tcPr>
            <w:tcW w:w="1701" w:type="dxa"/>
            <w:vAlign w:val="center"/>
          </w:tcPr>
          <w:p w14:paraId="6573F810">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rPr>
            </w:pPr>
            <w:r>
              <w:rPr>
                <w:rFonts w:hint="default" w:ascii="Times New Roman" w:hAnsi="Times New Roman" w:eastAsia="宋体" w:cs="Times New Roman"/>
                <w:snapToGrid w:val="0"/>
                <w:color w:val="000000"/>
                <w:kern w:val="21"/>
                <w:sz w:val="21"/>
                <w:szCs w:val="21"/>
                <w:u w:val="single"/>
              </w:rPr>
              <w:t>/</w:t>
            </w:r>
          </w:p>
        </w:tc>
        <w:tc>
          <w:tcPr>
            <w:tcW w:w="1559" w:type="dxa"/>
            <w:vAlign w:val="center"/>
          </w:tcPr>
          <w:p w14:paraId="545D30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kern w:val="21"/>
                <w:sz w:val="21"/>
                <w:szCs w:val="21"/>
                <w:u w:val="single"/>
                <w:lang w:val="en-US" w:eastAsia="zh-CN"/>
              </w:rPr>
            </w:pPr>
            <w:r>
              <w:rPr>
                <w:rFonts w:hint="eastAsia" w:ascii="Times New Roman" w:hAnsi="Times New Roman" w:cs="Times New Roman"/>
                <w:sz w:val="21"/>
                <w:szCs w:val="21"/>
                <w:u w:val="single"/>
                <w:lang w:val="en-US" w:eastAsia="zh-CN"/>
              </w:rPr>
              <w:t>0.9211</w:t>
            </w:r>
            <w:r>
              <w:rPr>
                <w:rFonts w:hint="eastAsia" w:ascii="Times New Roman" w:hAnsi="Times New Roman" w:cs="Times New Roman"/>
                <w:snapToGrid w:val="0"/>
                <w:color w:val="000000"/>
                <w:kern w:val="21"/>
                <w:sz w:val="21"/>
                <w:szCs w:val="21"/>
                <w:lang w:val="en-US" w:eastAsia="zh-CN"/>
              </w:rPr>
              <w:t>t/a</w:t>
            </w:r>
          </w:p>
        </w:tc>
        <w:tc>
          <w:tcPr>
            <w:tcW w:w="1418" w:type="dxa"/>
            <w:vAlign w:val="center"/>
          </w:tcPr>
          <w:p w14:paraId="0409EF1A">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rPr>
            </w:pPr>
            <w:r>
              <w:rPr>
                <w:rFonts w:hint="default" w:ascii="Times New Roman" w:hAnsi="Times New Roman" w:eastAsia="宋体" w:cs="Times New Roman"/>
                <w:snapToGrid w:val="0"/>
                <w:color w:val="000000"/>
                <w:kern w:val="21"/>
                <w:sz w:val="21"/>
                <w:szCs w:val="21"/>
                <w:u w:val="single"/>
              </w:rPr>
              <w:t>/</w:t>
            </w:r>
          </w:p>
        </w:tc>
        <w:tc>
          <w:tcPr>
            <w:tcW w:w="1701" w:type="dxa"/>
            <w:vAlign w:val="center"/>
          </w:tcPr>
          <w:p w14:paraId="71C013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kern w:val="21"/>
                <w:sz w:val="21"/>
                <w:szCs w:val="21"/>
                <w:u w:val="single"/>
                <w:lang w:val="en-US" w:eastAsia="zh-CN"/>
              </w:rPr>
            </w:pPr>
            <w:r>
              <w:rPr>
                <w:rFonts w:hint="eastAsia" w:ascii="Times New Roman" w:hAnsi="Times New Roman" w:cs="Times New Roman"/>
                <w:sz w:val="21"/>
                <w:szCs w:val="21"/>
                <w:u w:val="single"/>
                <w:lang w:val="en-US" w:eastAsia="zh-CN"/>
              </w:rPr>
              <w:t>0.9211</w:t>
            </w:r>
            <w:r>
              <w:rPr>
                <w:rFonts w:hint="eastAsia" w:ascii="Times New Roman" w:hAnsi="Times New Roman" w:cs="Times New Roman"/>
                <w:snapToGrid w:val="0"/>
                <w:color w:val="000000"/>
                <w:kern w:val="21"/>
                <w:sz w:val="21"/>
                <w:szCs w:val="21"/>
                <w:lang w:val="en-US" w:eastAsia="zh-CN"/>
              </w:rPr>
              <w:t>t/a</w:t>
            </w:r>
          </w:p>
        </w:tc>
        <w:tc>
          <w:tcPr>
            <w:tcW w:w="1427" w:type="dxa"/>
            <w:vAlign w:val="center"/>
          </w:tcPr>
          <w:p w14:paraId="7C6CCAEC">
            <w:pPr>
              <w:keepNext w:val="0"/>
              <w:keepLines w:val="0"/>
              <w:pageBreakBefore w:val="0"/>
              <w:widowControl/>
              <w:suppressLineNumbers w:val="0"/>
              <w:kinsoku/>
              <w:wordWrap/>
              <w:overflowPunct/>
              <w:topLinePunct w:val="0"/>
              <w:autoSpaceDN/>
              <w:bidi w:val="0"/>
              <w:adjustRightInd/>
              <w:snapToGrid/>
              <w:jc w:val="center"/>
              <w:textAlignment w:val="center"/>
              <w:rPr>
                <w:rFonts w:hint="default" w:ascii="Times New Roman" w:hAnsi="Times New Roman" w:eastAsia="宋体" w:cs="Times New Roman"/>
                <w:snapToGrid w:val="0"/>
                <w:color w:val="000000"/>
                <w:kern w:val="21"/>
                <w:sz w:val="21"/>
                <w:szCs w:val="21"/>
                <w:u w:val="single"/>
                <w:lang w:val="en-US"/>
              </w:rPr>
            </w:pPr>
            <w:r>
              <w:rPr>
                <w:rFonts w:hint="eastAsia" w:ascii="Times New Roman" w:hAnsi="Times New Roman" w:cs="Times New Roman"/>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w:t>
            </w:r>
            <w:r>
              <w:rPr>
                <w:rFonts w:hint="eastAsia" w:ascii="Times New Roman" w:hAnsi="Times New Roman" w:cs="Times New Roman"/>
                <w:i w:val="0"/>
                <w:iCs w:val="0"/>
                <w:color w:val="000000"/>
                <w:kern w:val="0"/>
                <w:sz w:val="21"/>
                <w:szCs w:val="21"/>
                <w:u w:val="single"/>
                <w:lang w:val="en-US" w:eastAsia="zh-CN" w:bidi="ar"/>
              </w:rPr>
              <w:t>62</w:t>
            </w:r>
            <w:r>
              <w:rPr>
                <w:rFonts w:hint="eastAsia" w:ascii="Times New Roman" w:hAnsi="Times New Roman" w:cs="Times New Roman"/>
                <w:snapToGrid w:val="0"/>
                <w:color w:val="000000"/>
                <w:kern w:val="21"/>
                <w:sz w:val="21"/>
                <w:szCs w:val="21"/>
                <w:lang w:val="en-US" w:eastAsia="zh-CN"/>
              </w:rPr>
              <w:t>t/a</w:t>
            </w:r>
          </w:p>
        </w:tc>
      </w:tr>
      <w:tr w14:paraId="76679C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46" w:type="dxa"/>
            <w:vMerge w:val="continue"/>
            <w:vAlign w:val="center"/>
          </w:tcPr>
          <w:p w14:paraId="05D3BC2F">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p>
        </w:tc>
        <w:tc>
          <w:tcPr>
            <w:tcW w:w="1559" w:type="dxa"/>
            <w:vAlign w:val="center"/>
          </w:tcPr>
          <w:p w14:paraId="06FA9B29">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SO</w:t>
            </w:r>
            <w:r>
              <w:rPr>
                <w:rFonts w:hint="default" w:ascii="Times New Roman" w:hAnsi="Times New Roman" w:eastAsia="宋体" w:cs="Times New Roman"/>
                <w:sz w:val="21"/>
                <w:szCs w:val="21"/>
                <w:u w:val="single"/>
                <w:vertAlign w:val="subscript"/>
                <w:lang w:val="en-US" w:eastAsia="zh-CN"/>
              </w:rPr>
              <w:t>2</w:t>
            </w:r>
          </w:p>
        </w:tc>
        <w:tc>
          <w:tcPr>
            <w:tcW w:w="1701" w:type="dxa"/>
            <w:vAlign w:val="center"/>
          </w:tcPr>
          <w:p w14:paraId="6CA74519">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rPr>
            </w:pPr>
            <w:r>
              <w:rPr>
                <w:rFonts w:hint="eastAsia" w:ascii="Times New Roman" w:hAnsi="Times New Roman" w:cs="Times New Roman"/>
                <w:snapToGrid w:val="0"/>
                <w:color w:val="000000"/>
                <w:kern w:val="21"/>
                <w:sz w:val="21"/>
                <w:szCs w:val="21"/>
                <w:u w:val="single"/>
                <w:lang w:val="en-US" w:eastAsia="zh-CN"/>
              </w:rPr>
              <w:t>0.008t/a</w:t>
            </w:r>
          </w:p>
        </w:tc>
        <w:tc>
          <w:tcPr>
            <w:tcW w:w="1276" w:type="dxa"/>
            <w:vAlign w:val="center"/>
          </w:tcPr>
          <w:p w14:paraId="6779E5FE">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rPr>
            </w:pPr>
            <w:r>
              <w:rPr>
                <w:rFonts w:hint="default" w:ascii="Times New Roman" w:hAnsi="Times New Roman" w:eastAsia="宋体" w:cs="Times New Roman"/>
                <w:snapToGrid w:val="0"/>
                <w:color w:val="000000"/>
                <w:kern w:val="21"/>
                <w:sz w:val="21"/>
                <w:szCs w:val="21"/>
                <w:u w:val="single"/>
              </w:rPr>
              <w:t>/</w:t>
            </w:r>
          </w:p>
        </w:tc>
        <w:tc>
          <w:tcPr>
            <w:tcW w:w="1701" w:type="dxa"/>
            <w:vAlign w:val="center"/>
          </w:tcPr>
          <w:p w14:paraId="2CFBA3FC">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rPr>
            </w:pPr>
            <w:r>
              <w:rPr>
                <w:rFonts w:hint="default" w:ascii="Times New Roman" w:hAnsi="Times New Roman" w:eastAsia="宋体" w:cs="Times New Roman"/>
                <w:snapToGrid w:val="0"/>
                <w:color w:val="000000"/>
                <w:kern w:val="21"/>
                <w:sz w:val="21"/>
                <w:szCs w:val="21"/>
                <w:u w:val="single"/>
              </w:rPr>
              <w:t>/</w:t>
            </w:r>
          </w:p>
        </w:tc>
        <w:tc>
          <w:tcPr>
            <w:tcW w:w="1559" w:type="dxa"/>
            <w:vAlign w:val="center"/>
          </w:tcPr>
          <w:p w14:paraId="4FB82181">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kern w:val="21"/>
                <w:sz w:val="21"/>
                <w:szCs w:val="21"/>
                <w:u w:val="single"/>
                <w:lang w:val="en-US"/>
              </w:rPr>
            </w:pPr>
            <w:r>
              <w:rPr>
                <w:rFonts w:hint="eastAsia" w:ascii="Times New Roman" w:hAnsi="Times New Roman" w:cs="Times New Roman"/>
                <w:sz w:val="21"/>
                <w:szCs w:val="21"/>
                <w:u w:val="single"/>
                <w:lang w:val="en-US" w:eastAsia="zh-CN"/>
              </w:rPr>
              <w:t>0.016</w:t>
            </w:r>
            <w:r>
              <w:rPr>
                <w:rFonts w:hint="eastAsia" w:ascii="Times New Roman" w:hAnsi="Times New Roman" w:cs="Times New Roman"/>
                <w:snapToGrid w:val="0"/>
                <w:color w:val="000000"/>
                <w:kern w:val="21"/>
                <w:sz w:val="21"/>
                <w:szCs w:val="21"/>
                <w:lang w:val="en-US" w:eastAsia="zh-CN"/>
              </w:rPr>
              <w:t>t/a</w:t>
            </w:r>
          </w:p>
        </w:tc>
        <w:tc>
          <w:tcPr>
            <w:tcW w:w="1418" w:type="dxa"/>
            <w:vAlign w:val="center"/>
          </w:tcPr>
          <w:p w14:paraId="48464185">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rPr>
            </w:pPr>
            <w:r>
              <w:rPr>
                <w:rFonts w:hint="default" w:ascii="Times New Roman" w:hAnsi="Times New Roman" w:eastAsia="宋体" w:cs="Times New Roman"/>
                <w:snapToGrid w:val="0"/>
                <w:color w:val="000000"/>
                <w:kern w:val="21"/>
                <w:sz w:val="21"/>
                <w:szCs w:val="21"/>
                <w:u w:val="single"/>
              </w:rPr>
              <w:t>/</w:t>
            </w:r>
          </w:p>
        </w:tc>
        <w:tc>
          <w:tcPr>
            <w:tcW w:w="1701" w:type="dxa"/>
            <w:vAlign w:val="center"/>
          </w:tcPr>
          <w:p w14:paraId="6D85D161">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kern w:val="21"/>
                <w:sz w:val="21"/>
                <w:szCs w:val="21"/>
                <w:u w:val="single"/>
              </w:rPr>
            </w:pPr>
            <w:r>
              <w:rPr>
                <w:rFonts w:hint="eastAsia" w:ascii="Times New Roman" w:hAnsi="Times New Roman" w:cs="Times New Roman"/>
                <w:sz w:val="21"/>
                <w:szCs w:val="21"/>
                <w:u w:val="single"/>
                <w:lang w:val="en-US" w:eastAsia="zh-CN"/>
              </w:rPr>
              <w:t>0.016</w:t>
            </w:r>
            <w:r>
              <w:rPr>
                <w:rFonts w:hint="eastAsia" w:ascii="Times New Roman" w:hAnsi="Times New Roman" w:cs="Times New Roman"/>
                <w:snapToGrid w:val="0"/>
                <w:color w:val="000000"/>
                <w:kern w:val="21"/>
                <w:sz w:val="21"/>
                <w:szCs w:val="21"/>
                <w:lang w:val="en-US" w:eastAsia="zh-CN"/>
              </w:rPr>
              <w:t>t/a</w:t>
            </w:r>
          </w:p>
        </w:tc>
        <w:tc>
          <w:tcPr>
            <w:tcW w:w="1427" w:type="dxa"/>
            <w:vAlign w:val="center"/>
          </w:tcPr>
          <w:p w14:paraId="262D48CA">
            <w:pPr>
              <w:keepNext w:val="0"/>
              <w:keepLines w:val="0"/>
              <w:pageBreakBefore w:val="0"/>
              <w:widowControl/>
              <w:suppressLineNumbers w:val="0"/>
              <w:kinsoku/>
              <w:wordWrap/>
              <w:overflowPunct/>
              <w:topLinePunct w:val="0"/>
              <w:autoSpaceDN/>
              <w:bidi w:val="0"/>
              <w:adjustRightInd/>
              <w:snapToGrid/>
              <w:jc w:val="center"/>
              <w:textAlignment w:val="center"/>
              <w:rPr>
                <w:rFonts w:hint="default" w:ascii="Times New Roman" w:hAnsi="Times New Roman" w:eastAsia="宋体" w:cs="Times New Roman"/>
                <w:snapToGrid w:val="0"/>
                <w:color w:val="000000"/>
                <w:kern w:val="21"/>
                <w:sz w:val="21"/>
                <w:szCs w:val="21"/>
                <w:u w:val="single"/>
              </w:rPr>
            </w:pPr>
            <w:r>
              <w:rPr>
                <w:rFonts w:hint="eastAsia" w:ascii="Times New Roman" w:hAnsi="Times New Roman" w:cs="Times New Roman"/>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0.0484</w:t>
            </w:r>
            <w:r>
              <w:rPr>
                <w:rFonts w:hint="eastAsia" w:ascii="Times New Roman" w:hAnsi="Times New Roman" w:cs="Times New Roman"/>
                <w:snapToGrid w:val="0"/>
                <w:color w:val="000000"/>
                <w:kern w:val="21"/>
                <w:sz w:val="21"/>
                <w:szCs w:val="21"/>
                <w:lang w:val="en-US" w:eastAsia="zh-CN"/>
              </w:rPr>
              <w:t>t/a</w:t>
            </w:r>
          </w:p>
        </w:tc>
      </w:tr>
      <w:tr w14:paraId="5E768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46" w:type="dxa"/>
            <w:vMerge w:val="continue"/>
            <w:vAlign w:val="center"/>
          </w:tcPr>
          <w:p w14:paraId="62E5586F">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p>
        </w:tc>
        <w:tc>
          <w:tcPr>
            <w:tcW w:w="1559" w:type="dxa"/>
            <w:vAlign w:val="center"/>
          </w:tcPr>
          <w:p w14:paraId="50659742">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氮氧化物</w:t>
            </w:r>
          </w:p>
        </w:tc>
        <w:tc>
          <w:tcPr>
            <w:tcW w:w="1701" w:type="dxa"/>
            <w:vAlign w:val="center"/>
          </w:tcPr>
          <w:p w14:paraId="4A26957D">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rPr>
            </w:pPr>
            <w:r>
              <w:rPr>
                <w:rFonts w:hint="eastAsia" w:ascii="Times New Roman" w:hAnsi="Times New Roman" w:cs="Times New Roman"/>
                <w:snapToGrid w:val="0"/>
                <w:color w:val="000000"/>
                <w:kern w:val="21"/>
                <w:sz w:val="21"/>
                <w:szCs w:val="21"/>
                <w:u w:val="single"/>
                <w:lang w:val="en-US" w:eastAsia="zh-CN"/>
              </w:rPr>
              <w:t>0.048t/a</w:t>
            </w:r>
          </w:p>
        </w:tc>
        <w:tc>
          <w:tcPr>
            <w:tcW w:w="1276" w:type="dxa"/>
            <w:vAlign w:val="center"/>
          </w:tcPr>
          <w:p w14:paraId="0CD07849">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rPr>
            </w:pPr>
            <w:r>
              <w:rPr>
                <w:rFonts w:hint="default" w:ascii="Times New Roman" w:hAnsi="Times New Roman" w:eastAsia="宋体" w:cs="Times New Roman"/>
                <w:snapToGrid w:val="0"/>
                <w:color w:val="000000"/>
                <w:kern w:val="21"/>
                <w:sz w:val="21"/>
                <w:szCs w:val="21"/>
                <w:u w:val="single"/>
              </w:rPr>
              <w:t>/</w:t>
            </w:r>
          </w:p>
        </w:tc>
        <w:tc>
          <w:tcPr>
            <w:tcW w:w="1701" w:type="dxa"/>
            <w:vAlign w:val="center"/>
          </w:tcPr>
          <w:p w14:paraId="654E53C6">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rPr>
            </w:pPr>
            <w:r>
              <w:rPr>
                <w:rFonts w:hint="default" w:ascii="Times New Roman" w:hAnsi="Times New Roman" w:eastAsia="宋体" w:cs="Times New Roman"/>
                <w:snapToGrid w:val="0"/>
                <w:color w:val="000000"/>
                <w:kern w:val="21"/>
                <w:sz w:val="21"/>
                <w:szCs w:val="21"/>
                <w:u w:val="single"/>
              </w:rPr>
              <w:t>/</w:t>
            </w:r>
          </w:p>
        </w:tc>
        <w:tc>
          <w:tcPr>
            <w:tcW w:w="1559" w:type="dxa"/>
            <w:vAlign w:val="center"/>
          </w:tcPr>
          <w:p w14:paraId="761EF896">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kern w:val="21"/>
                <w:sz w:val="21"/>
                <w:szCs w:val="21"/>
                <w:u w:val="single"/>
              </w:rPr>
            </w:pPr>
            <w:r>
              <w:rPr>
                <w:rFonts w:hint="eastAsia" w:ascii="Times New Roman" w:hAnsi="Times New Roman" w:cs="Times New Roman"/>
                <w:sz w:val="21"/>
                <w:szCs w:val="21"/>
                <w:u w:val="single"/>
                <w:lang w:val="en-US" w:eastAsia="zh-CN"/>
              </w:rPr>
              <w:t>0.0964</w:t>
            </w:r>
            <w:r>
              <w:rPr>
                <w:rFonts w:hint="eastAsia" w:ascii="Times New Roman" w:hAnsi="Times New Roman" w:cs="Times New Roman"/>
                <w:snapToGrid w:val="0"/>
                <w:color w:val="000000"/>
                <w:kern w:val="21"/>
                <w:sz w:val="21"/>
                <w:szCs w:val="21"/>
                <w:lang w:val="en-US" w:eastAsia="zh-CN"/>
              </w:rPr>
              <w:t>t/a</w:t>
            </w:r>
          </w:p>
        </w:tc>
        <w:tc>
          <w:tcPr>
            <w:tcW w:w="1418" w:type="dxa"/>
            <w:vAlign w:val="center"/>
          </w:tcPr>
          <w:p w14:paraId="188A54C2">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rPr>
            </w:pPr>
            <w:r>
              <w:rPr>
                <w:rFonts w:hint="default" w:ascii="Times New Roman" w:hAnsi="Times New Roman" w:eastAsia="宋体" w:cs="Times New Roman"/>
                <w:snapToGrid w:val="0"/>
                <w:color w:val="000000"/>
                <w:kern w:val="21"/>
                <w:sz w:val="21"/>
                <w:szCs w:val="21"/>
                <w:u w:val="single"/>
              </w:rPr>
              <w:t>/</w:t>
            </w:r>
          </w:p>
        </w:tc>
        <w:tc>
          <w:tcPr>
            <w:tcW w:w="1701" w:type="dxa"/>
            <w:vAlign w:val="center"/>
          </w:tcPr>
          <w:p w14:paraId="7FBAC659">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kern w:val="21"/>
                <w:sz w:val="21"/>
                <w:szCs w:val="21"/>
                <w:u w:val="single"/>
              </w:rPr>
            </w:pPr>
            <w:r>
              <w:rPr>
                <w:rFonts w:hint="eastAsia" w:ascii="Times New Roman" w:hAnsi="Times New Roman" w:cs="Times New Roman"/>
                <w:sz w:val="21"/>
                <w:szCs w:val="21"/>
                <w:u w:val="single"/>
                <w:lang w:val="en-US" w:eastAsia="zh-CN"/>
              </w:rPr>
              <w:t>0.0964</w:t>
            </w:r>
            <w:r>
              <w:rPr>
                <w:rFonts w:hint="eastAsia" w:ascii="Times New Roman" w:hAnsi="Times New Roman" w:cs="Times New Roman"/>
                <w:snapToGrid w:val="0"/>
                <w:color w:val="000000"/>
                <w:kern w:val="21"/>
                <w:sz w:val="21"/>
                <w:szCs w:val="21"/>
                <w:lang w:val="en-US" w:eastAsia="zh-CN"/>
              </w:rPr>
              <w:t>t/a</w:t>
            </w:r>
          </w:p>
        </w:tc>
        <w:tc>
          <w:tcPr>
            <w:tcW w:w="1427" w:type="dxa"/>
            <w:vAlign w:val="center"/>
          </w:tcPr>
          <w:p w14:paraId="637668C8">
            <w:pPr>
              <w:keepNext w:val="0"/>
              <w:keepLines w:val="0"/>
              <w:pageBreakBefore w:val="0"/>
              <w:widowControl/>
              <w:suppressLineNumbers w:val="0"/>
              <w:kinsoku/>
              <w:wordWrap/>
              <w:overflowPunct/>
              <w:topLinePunct w:val="0"/>
              <w:autoSpaceDN/>
              <w:bidi w:val="0"/>
              <w:adjustRightInd/>
              <w:snapToGrid/>
              <w:jc w:val="center"/>
              <w:textAlignment w:val="center"/>
              <w:rPr>
                <w:rFonts w:hint="default" w:ascii="Times New Roman" w:hAnsi="Times New Roman" w:eastAsia="宋体" w:cs="Times New Roman"/>
                <w:snapToGrid w:val="0"/>
                <w:color w:val="000000"/>
                <w:kern w:val="21"/>
                <w:sz w:val="21"/>
                <w:szCs w:val="21"/>
                <w:u w:val="single"/>
              </w:rPr>
            </w:pPr>
            <w:r>
              <w:rPr>
                <w:rFonts w:hint="eastAsia" w:ascii="Times New Roman" w:hAnsi="Times New Roman" w:cs="Times New Roman"/>
                <w:i w:val="0"/>
                <w:iCs w:val="0"/>
                <w:color w:val="000000"/>
                <w:kern w:val="0"/>
                <w:sz w:val="21"/>
                <w:szCs w:val="21"/>
                <w:u w:val="single"/>
                <w:lang w:val="en-US" w:eastAsia="zh-CN" w:bidi="ar"/>
              </w:rPr>
              <w:t>+</w:t>
            </w:r>
            <w:r>
              <w:rPr>
                <w:rFonts w:hint="default" w:ascii="Times New Roman" w:hAnsi="Times New Roman" w:eastAsia="宋体" w:cs="Times New Roman"/>
                <w:i w:val="0"/>
                <w:iCs w:val="0"/>
                <w:color w:val="000000"/>
                <w:kern w:val="0"/>
                <w:sz w:val="21"/>
                <w:szCs w:val="21"/>
                <w:u w:val="single"/>
                <w:lang w:val="en-US" w:eastAsia="zh-CN" w:bidi="ar"/>
              </w:rPr>
              <w:t>0.000029</w:t>
            </w:r>
            <w:r>
              <w:rPr>
                <w:rFonts w:hint="eastAsia" w:ascii="Times New Roman" w:hAnsi="Times New Roman" w:cs="Times New Roman"/>
                <w:snapToGrid w:val="0"/>
                <w:color w:val="000000"/>
                <w:kern w:val="21"/>
                <w:sz w:val="21"/>
                <w:szCs w:val="21"/>
                <w:lang w:val="en-US" w:eastAsia="zh-CN"/>
              </w:rPr>
              <w:t>t/a</w:t>
            </w:r>
            <w:r>
              <w:rPr>
                <w:rFonts w:hint="default" w:ascii="Times New Roman" w:hAnsi="Times New Roman" w:eastAsia="宋体" w:cs="Times New Roman"/>
                <w:i w:val="0"/>
                <w:iCs w:val="0"/>
                <w:color w:val="000000"/>
                <w:kern w:val="0"/>
                <w:sz w:val="21"/>
                <w:szCs w:val="21"/>
                <w:u w:val="single"/>
                <w:lang w:val="en-US" w:eastAsia="zh-CN" w:bidi="ar"/>
              </w:rPr>
              <w:t>1</w:t>
            </w:r>
          </w:p>
        </w:tc>
      </w:tr>
      <w:tr w14:paraId="7341C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46" w:type="dxa"/>
            <w:vAlign w:val="center"/>
          </w:tcPr>
          <w:p w14:paraId="2E7B7E28">
            <w:pPr>
              <w:pStyle w:val="91"/>
              <w:keepNext w:val="0"/>
              <w:keepLines w:val="0"/>
              <w:pageBreakBefore w:val="0"/>
              <w:widowControl/>
              <w:kinsoku/>
              <w:wordWrap/>
              <w:overflowPunct/>
              <w:topLinePunct w:val="0"/>
              <w:autoSpaceDN/>
              <w:bidi w:val="0"/>
              <w:adjustRightInd/>
              <w:snapToGrid/>
              <w:spacing w:line="240" w:lineRule="auto"/>
              <w:jc w:val="center"/>
              <w:rPr>
                <w:rFonts w:hint="eastAsia" w:ascii="Times New Roman" w:hAnsi="Times New Roman" w:eastAsia="宋体" w:cs="Times New Roman"/>
                <w:snapToGrid w:val="0"/>
                <w:sz w:val="21"/>
                <w:szCs w:val="21"/>
                <w:u w:val="single"/>
                <w:lang w:eastAsia="zh-CN"/>
              </w:rPr>
            </w:pPr>
            <w:r>
              <w:rPr>
                <w:rFonts w:hint="eastAsia" w:ascii="Times New Roman" w:hAnsi="Times New Roman" w:eastAsia="宋体" w:cs="Times New Roman"/>
                <w:snapToGrid w:val="0"/>
                <w:sz w:val="21"/>
                <w:szCs w:val="21"/>
                <w:u w:val="single"/>
                <w:lang w:eastAsia="zh-CN"/>
              </w:rPr>
              <w:t>废水</w:t>
            </w:r>
          </w:p>
        </w:tc>
        <w:tc>
          <w:tcPr>
            <w:tcW w:w="1559" w:type="dxa"/>
            <w:vAlign w:val="center"/>
          </w:tcPr>
          <w:p w14:paraId="4DEE0228">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z w:val="21"/>
                <w:szCs w:val="21"/>
                <w:u w:val="single"/>
                <w:lang w:eastAsia="zh-CN"/>
              </w:rPr>
            </w:pPr>
            <w:r>
              <w:rPr>
                <w:rFonts w:hint="eastAsia" w:ascii="Times New Roman" w:hAnsi="Times New Roman" w:cs="Times New Roman"/>
                <w:sz w:val="21"/>
                <w:szCs w:val="21"/>
                <w:u w:val="single"/>
                <w:lang w:eastAsia="zh-CN"/>
              </w:rPr>
              <w:t>废水量</w:t>
            </w:r>
          </w:p>
        </w:tc>
        <w:tc>
          <w:tcPr>
            <w:tcW w:w="1701" w:type="dxa"/>
            <w:vAlign w:val="center"/>
          </w:tcPr>
          <w:p w14:paraId="2758B947">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rPr>
            </w:pPr>
            <w:r>
              <w:rPr>
                <w:rFonts w:hint="eastAsia" w:ascii="Times New Roman" w:hAnsi="Times New Roman" w:cs="Times New Roman"/>
                <w:snapToGrid w:val="0"/>
                <w:color w:val="000000"/>
                <w:kern w:val="21"/>
                <w:sz w:val="21"/>
                <w:szCs w:val="21"/>
                <w:u w:val="single"/>
                <w:lang w:val="en-US" w:eastAsia="zh-CN"/>
              </w:rPr>
              <w:t>125.349t/a</w:t>
            </w:r>
          </w:p>
        </w:tc>
        <w:tc>
          <w:tcPr>
            <w:tcW w:w="1276" w:type="dxa"/>
            <w:vAlign w:val="center"/>
          </w:tcPr>
          <w:p w14:paraId="3D5133D3">
            <w:pPr>
              <w:keepNext w:val="0"/>
              <w:keepLines w:val="0"/>
              <w:pageBreakBefore w:val="0"/>
              <w:widowControl/>
              <w:kinsoku/>
              <w:wordWrap/>
              <w:overflowPunct/>
              <w:topLinePunct w:val="0"/>
              <w:autoSpaceDN/>
              <w:bidi w:val="0"/>
              <w:adjustRightInd/>
              <w:snapToGrid/>
              <w:spacing w:line="240" w:lineRule="auto"/>
              <w:jc w:val="center"/>
              <w:rPr>
                <w:rFonts w:hint="eastAsia" w:ascii="Times New Roman" w:hAnsi="Times New Roman" w:eastAsia="宋体" w:cs="Times New Roman"/>
                <w:snapToGrid w:val="0"/>
                <w:color w:val="000000"/>
                <w:kern w:val="21"/>
                <w:sz w:val="21"/>
                <w:szCs w:val="21"/>
                <w:u w:val="single"/>
                <w:lang w:val="en-US" w:eastAsia="zh-CN"/>
              </w:rPr>
            </w:pPr>
            <w:r>
              <w:rPr>
                <w:rFonts w:hint="eastAsia" w:ascii="Times New Roman" w:hAnsi="Times New Roman" w:cs="Times New Roman"/>
                <w:snapToGrid w:val="0"/>
                <w:color w:val="000000"/>
                <w:kern w:val="21"/>
                <w:sz w:val="21"/>
                <w:szCs w:val="21"/>
                <w:u w:val="single"/>
                <w:lang w:val="en-US" w:eastAsia="zh-CN"/>
              </w:rPr>
              <w:t>/</w:t>
            </w:r>
          </w:p>
        </w:tc>
        <w:tc>
          <w:tcPr>
            <w:tcW w:w="1701" w:type="dxa"/>
            <w:vAlign w:val="center"/>
          </w:tcPr>
          <w:p w14:paraId="350B00FD">
            <w:pPr>
              <w:keepNext w:val="0"/>
              <w:keepLines w:val="0"/>
              <w:pageBreakBefore w:val="0"/>
              <w:widowControl/>
              <w:kinsoku/>
              <w:wordWrap/>
              <w:overflowPunct/>
              <w:topLinePunct w:val="0"/>
              <w:autoSpaceDN/>
              <w:bidi w:val="0"/>
              <w:adjustRightInd/>
              <w:snapToGrid/>
              <w:spacing w:line="240" w:lineRule="auto"/>
              <w:jc w:val="center"/>
              <w:rPr>
                <w:rFonts w:hint="eastAsia" w:ascii="Times New Roman" w:hAnsi="Times New Roman" w:eastAsia="宋体" w:cs="Times New Roman"/>
                <w:snapToGrid w:val="0"/>
                <w:color w:val="000000"/>
                <w:kern w:val="21"/>
                <w:sz w:val="21"/>
                <w:szCs w:val="21"/>
                <w:u w:val="single"/>
                <w:lang w:val="en-US" w:eastAsia="zh-CN"/>
              </w:rPr>
            </w:pPr>
            <w:r>
              <w:rPr>
                <w:rFonts w:hint="eastAsia" w:ascii="Times New Roman" w:hAnsi="Times New Roman" w:cs="Times New Roman"/>
                <w:snapToGrid w:val="0"/>
                <w:color w:val="000000"/>
                <w:kern w:val="21"/>
                <w:sz w:val="21"/>
                <w:szCs w:val="21"/>
                <w:u w:val="single"/>
                <w:lang w:val="en-US" w:eastAsia="zh-CN"/>
              </w:rPr>
              <w:t>/</w:t>
            </w:r>
          </w:p>
        </w:tc>
        <w:tc>
          <w:tcPr>
            <w:tcW w:w="1559" w:type="dxa"/>
            <w:vAlign w:val="center"/>
          </w:tcPr>
          <w:p w14:paraId="481BAD22">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222.96</w:t>
            </w:r>
            <w:r>
              <w:rPr>
                <w:rFonts w:hint="eastAsia" w:ascii="Times New Roman" w:hAnsi="Times New Roman" w:cs="Times New Roman"/>
                <w:snapToGrid w:val="0"/>
                <w:color w:val="000000"/>
                <w:kern w:val="21"/>
                <w:sz w:val="21"/>
                <w:szCs w:val="21"/>
                <w:lang w:val="en-US" w:eastAsia="zh-CN"/>
              </w:rPr>
              <w:t>t/a</w:t>
            </w:r>
          </w:p>
        </w:tc>
        <w:tc>
          <w:tcPr>
            <w:tcW w:w="1418" w:type="dxa"/>
            <w:vAlign w:val="center"/>
          </w:tcPr>
          <w:p w14:paraId="147AABEA">
            <w:pPr>
              <w:keepNext w:val="0"/>
              <w:keepLines w:val="0"/>
              <w:pageBreakBefore w:val="0"/>
              <w:widowControl/>
              <w:kinsoku/>
              <w:wordWrap/>
              <w:overflowPunct/>
              <w:topLinePunct w:val="0"/>
              <w:autoSpaceDN/>
              <w:bidi w:val="0"/>
              <w:adjustRightInd/>
              <w:snapToGrid/>
              <w:spacing w:line="240" w:lineRule="auto"/>
              <w:jc w:val="center"/>
              <w:rPr>
                <w:rFonts w:hint="eastAsia" w:ascii="Times New Roman" w:hAnsi="Times New Roman" w:eastAsia="宋体" w:cs="Times New Roman"/>
                <w:snapToGrid w:val="0"/>
                <w:color w:val="000000"/>
                <w:kern w:val="21"/>
                <w:sz w:val="21"/>
                <w:szCs w:val="21"/>
                <w:u w:val="single"/>
                <w:lang w:val="en-US" w:eastAsia="zh-CN"/>
              </w:rPr>
            </w:pPr>
            <w:r>
              <w:rPr>
                <w:rFonts w:hint="eastAsia" w:ascii="Times New Roman" w:hAnsi="Times New Roman" w:cs="Times New Roman"/>
                <w:snapToGrid w:val="0"/>
                <w:color w:val="000000"/>
                <w:kern w:val="21"/>
                <w:sz w:val="21"/>
                <w:szCs w:val="21"/>
                <w:u w:val="single"/>
                <w:lang w:val="en-US" w:eastAsia="zh-CN"/>
              </w:rPr>
              <w:t>/</w:t>
            </w:r>
          </w:p>
        </w:tc>
        <w:tc>
          <w:tcPr>
            <w:tcW w:w="1701" w:type="dxa"/>
            <w:vAlign w:val="center"/>
          </w:tcPr>
          <w:p w14:paraId="2F0A16A9">
            <w:pPr>
              <w:pStyle w:val="169"/>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222.96</w:t>
            </w:r>
            <w:r>
              <w:rPr>
                <w:rFonts w:hint="eastAsia" w:ascii="Times New Roman" w:hAnsi="Times New Roman" w:cs="Times New Roman"/>
                <w:snapToGrid w:val="0"/>
                <w:color w:val="000000"/>
                <w:kern w:val="21"/>
                <w:sz w:val="21"/>
                <w:szCs w:val="21"/>
                <w:lang w:val="en-US" w:eastAsia="zh-CN"/>
              </w:rPr>
              <w:t>t/a</w:t>
            </w:r>
          </w:p>
        </w:tc>
        <w:tc>
          <w:tcPr>
            <w:tcW w:w="1427" w:type="dxa"/>
            <w:vAlign w:val="center"/>
          </w:tcPr>
          <w:p w14:paraId="53CD6813">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rPr>
            </w:pPr>
            <w:r>
              <w:rPr>
                <w:rFonts w:hint="eastAsia" w:ascii="Times New Roman" w:hAnsi="Times New Roman" w:cs="Times New Roman"/>
                <w:sz w:val="21"/>
                <w:szCs w:val="21"/>
                <w:u w:val="single"/>
                <w:lang w:val="en-US" w:eastAsia="zh-CN"/>
              </w:rPr>
              <w:t>+12</w:t>
            </w:r>
            <w:r>
              <w:rPr>
                <w:rFonts w:hint="eastAsia" w:ascii="Times New Roman" w:hAnsi="Times New Roman" w:cs="Times New Roman"/>
                <w:snapToGrid w:val="0"/>
                <w:color w:val="000000"/>
                <w:kern w:val="21"/>
                <w:sz w:val="21"/>
                <w:szCs w:val="21"/>
                <w:lang w:val="en-US" w:eastAsia="zh-CN"/>
              </w:rPr>
              <w:t>t/a</w:t>
            </w:r>
            <w:r>
              <w:rPr>
                <w:rFonts w:hint="eastAsia" w:ascii="Times New Roman" w:hAnsi="Times New Roman" w:cs="Times New Roman"/>
                <w:sz w:val="21"/>
                <w:szCs w:val="21"/>
                <w:u w:val="single"/>
                <w:lang w:val="en-US" w:eastAsia="zh-CN"/>
              </w:rPr>
              <w:t>5.349</w:t>
            </w:r>
          </w:p>
        </w:tc>
      </w:tr>
      <w:tr w14:paraId="2F6A55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46" w:type="dxa"/>
            <w:vMerge w:val="restart"/>
            <w:vAlign w:val="center"/>
          </w:tcPr>
          <w:p w14:paraId="59B56DEC">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r>
              <w:rPr>
                <w:rFonts w:hint="default" w:ascii="Times New Roman" w:hAnsi="Times New Roman" w:eastAsia="宋体" w:cs="Times New Roman"/>
                <w:snapToGrid w:val="0"/>
                <w:sz w:val="21"/>
                <w:szCs w:val="21"/>
                <w:u w:val="single"/>
              </w:rPr>
              <w:t>一般工业</w:t>
            </w:r>
          </w:p>
          <w:p w14:paraId="254FCC45">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r>
              <w:rPr>
                <w:rFonts w:hint="default" w:ascii="Times New Roman" w:hAnsi="Times New Roman" w:eastAsia="宋体" w:cs="Times New Roman"/>
                <w:snapToGrid w:val="0"/>
                <w:sz w:val="21"/>
                <w:szCs w:val="21"/>
                <w:u w:val="single"/>
              </w:rPr>
              <w:t>固体废物</w:t>
            </w:r>
          </w:p>
        </w:tc>
        <w:tc>
          <w:tcPr>
            <w:tcW w:w="1559" w:type="dxa"/>
            <w:shd w:val="clear" w:color="auto" w:fill="auto"/>
            <w:vAlign w:val="center"/>
          </w:tcPr>
          <w:p w14:paraId="1E0D6616">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生活垃圾</w:t>
            </w:r>
          </w:p>
        </w:tc>
        <w:tc>
          <w:tcPr>
            <w:tcW w:w="1701" w:type="dxa"/>
            <w:shd w:val="clear" w:color="auto" w:fill="auto"/>
            <w:vAlign w:val="center"/>
          </w:tcPr>
          <w:p w14:paraId="13635425">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b w:val="0"/>
                <w:bCs/>
                <w:kern w:val="2"/>
                <w:sz w:val="21"/>
                <w:szCs w:val="21"/>
                <w:u w:val="single"/>
                <w:lang w:val="en-US" w:eastAsia="zh-CN" w:bidi="ar-SA"/>
              </w:rPr>
            </w:pPr>
            <w:r>
              <w:rPr>
                <w:rFonts w:hint="eastAsia" w:ascii="Times New Roman" w:hAnsi="Times New Roman" w:cs="Times New Roman"/>
                <w:b w:val="0"/>
                <w:bCs/>
                <w:sz w:val="21"/>
                <w:szCs w:val="21"/>
                <w:u w:val="single"/>
                <w:lang w:val="en-US" w:eastAsia="zh-CN"/>
              </w:rPr>
              <w:t>1.05</w:t>
            </w:r>
            <w:r>
              <w:rPr>
                <w:rFonts w:hint="eastAsia" w:ascii="Times New Roman" w:hAnsi="Times New Roman" w:cs="Times New Roman"/>
                <w:snapToGrid w:val="0"/>
                <w:color w:val="000000"/>
                <w:kern w:val="21"/>
                <w:sz w:val="21"/>
                <w:szCs w:val="21"/>
                <w:u w:val="single"/>
                <w:lang w:val="en-US" w:eastAsia="zh-CN"/>
              </w:rPr>
              <w:t>t/a</w:t>
            </w:r>
          </w:p>
        </w:tc>
        <w:tc>
          <w:tcPr>
            <w:tcW w:w="1276" w:type="dxa"/>
            <w:vAlign w:val="center"/>
          </w:tcPr>
          <w:p w14:paraId="665E803E">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lang w:val="en-US" w:eastAsia="zh-CN" w:bidi="ar-SA"/>
              </w:rPr>
              <w:t>/</w:t>
            </w:r>
          </w:p>
        </w:tc>
        <w:tc>
          <w:tcPr>
            <w:tcW w:w="1701" w:type="dxa"/>
            <w:vAlign w:val="center"/>
          </w:tcPr>
          <w:p w14:paraId="44099D0E">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lang w:val="en-US" w:eastAsia="zh-CN" w:bidi="ar-SA"/>
              </w:rPr>
              <w:t>/</w:t>
            </w:r>
          </w:p>
        </w:tc>
        <w:tc>
          <w:tcPr>
            <w:tcW w:w="1559" w:type="dxa"/>
            <w:shd w:val="clear" w:color="auto" w:fill="auto"/>
            <w:vAlign w:val="center"/>
          </w:tcPr>
          <w:p w14:paraId="025E1CE6">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000000" w:themeColor="text1"/>
                <w:kern w:val="0"/>
                <w:sz w:val="21"/>
                <w:szCs w:val="21"/>
                <w:u w:val="single"/>
                <w:lang w:val="en-US" w:eastAsia="zh-CN" w:bidi="ar-SA"/>
                <w14:textFill>
                  <w14:solidFill>
                    <w14:schemeClr w14:val="tx1"/>
                  </w14:solidFill>
                </w14:textFill>
              </w:rPr>
            </w:pPr>
            <w:r>
              <w:rPr>
                <w:rFonts w:hint="default" w:ascii="Times New Roman" w:hAnsi="Times New Roman" w:cs="Times New Roman"/>
                <w:sz w:val="21"/>
                <w:szCs w:val="21"/>
                <w:u w:val="single"/>
              </w:rPr>
              <w:t>1.65</w:t>
            </w:r>
            <w:r>
              <w:rPr>
                <w:rFonts w:hint="eastAsia" w:ascii="Times New Roman" w:hAnsi="Times New Roman" w:cs="Times New Roman"/>
                <w:snapToGrid w:val="0"/>
                <w:color w:val="000000"/>
                <w:kern w:val="21"/>
                <w:sz w:val="21"/>
                <w:szCs w:val="21"/>
                <w:lang w:val="en-US" w:eastAsia="zh-CN"/>
              </w:rPr>
              <w:t>t/a</w:t>
            </w:r>
          </w:p>
        </w:tc>
        <w:tc>
          <w:tcPr>
            <w:tcW w:w="1418" w:type="dxa"/>
            <w:vAlign w:val="center"/>
          </w:tcPr>
          <w:p w14:paraId="2E0E9B1D">
            <w:pPr>
              <w:keepNext w:val="0"/>
              <w:keepLines w:val="0"/>
              <w:pageBreakBefore w:val="0"/>
              <w:widowControl/>
              <w:kinsoku/>
              <w:wordWrap/>
              <w:overflowPunct/>
              <w:topLinePunct w:val="0"/>
              <w:autoSpaceDE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lang w:val="en-US" w:eastAsia="zh-CN" w:bidi="ar-SA"/>
              </w:rPr>
              <w:t>/</w:t>
            </w:r>
          </w:p>
        </w:tc>
        <w:tc>
          <w:tcPr>
            <w:tcW w:w="1701" w:type="dxa"/>
            <w:vAlign w:val="center"/>
          </w:tcPr>
          <w:p w14:paraId="2F9C41C6">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cs="Times New Roman"/>
                <w:sz w:val="21"/>
                <w:szCs w:val="21"/>
                <w:u w:val="single"/>
              </w:rPr>
              <w:t>1.65</w:t>
            </w:r>
            <w:r>
              <w:rPr>
                <w:rFonts w:hint="eastAsia" w:ascii="Times New Roman" w:hAnsi="Times New Roman" w:cs="Times New Roman"/>
                <w:snapToGrid w:val="0"/>
                <w:color w:val="000000"/>
                <w:kern w:val="21"/>
                <w:sz w:val="21"/>
                <w:szCs w:val="21"/>
                <w:lang w:val="en-US" w:eastAsia="zh-CN"/>
              </w:rPr>
              <w:t>t/a</w:t>
            </w:r>
          </w:p>
        </w:tc>
        <w:tc>
          <w:tcPr>
            <w:tcW w:w="1427" w:type="dxa"/>
            <w:vAlign w:val="center"/>
          </w:tcPr>
          <w:p w14:paraId="75558521">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snapToGrid w:val="0"/>
                <w:color w:val="000000"/>
                <w:kern w:val="21"/>
                <w:sz w:val="21"/>
                <w:szCs w:val="21"/>
                <w:u w:val="single"/>
                <w:lang w:val="en-US" w:eastAsia="zh-CN" w:bidi="ar-SA"/>
              </w:rPr>
            </w:pPr>
            <w:r>
              <w:rPr>
                <w:rFonts w:hint="eastAsia" w:ascii="Times New Roman" w:hAnsi="Times New Roman" w:cs="Times New Roman"/>
                <w:b w:val="0"/>
                <w:bCs/>
                <w:sz w:val="21"/>
                <w:szCs w:val="21"/>
                <w:u w:val="single"/>
                <w:lang w:val="en-US" w:eastAsia="zh-CN"/>
              </w:rPr>
              <w:t>+1.</w:t>
            </w:r>
            <w:r>
              <w:rPr>
                <w:rFonts w:hint="eastAsia" w:ascii="Times New Roman" w:hAnsi="Times New Roman" w:cs="Times New Roman"/>
                <w:snapToGrid w:val="0"/>
                <w:color w:val="000000"/>
                <w:kern w:val="21"/>
                <w:sz w:val="21"/>
                <w:szCs w:val="21"/>
                <w:lang w:val="en-US" w:eastAsia="zh-CN"/>
              </w:rPr>
              <w:t>t/a</w:t>
            </w:r>
            <w:r>
              <w:rPr>
                <w:rFonts w:hint="eastAsia" w:ascii="Times New Roman" w:hAnsi="Times New Roman" w:cs="Times New Roman"/>
                <w:b w:val="0"/>
                <w:bCs/>
                <w:sz w:val="21"/>
                <w:szCs w:val="21"/>
                <w:u w:val="single"/>
                <w:lang w:val="en-US" w:eastAsia="zh-CN"/>
              </w:rPr>
              <w:t>05</w:t>
            </w:r>
          </w:p>
        </w:tc>
      </w:tr>
      <w:tr w14:paraId="16BFE0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46" w:type="dxa"/>
            <w:vMerge w:val="continue"/>
            <w:vAlign w:val="center"/>
          </w:tcPr>
          <w:p w14:paraId="6F32C176">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p>
        </w:tc>
        <w:tc>
          <w:tcPr>
            <w:tcW w:w="1559" w:type="dxa"/>
            <w:shd w:val="clear" w:color="auto" w:fill="auto"/>
            <w:vAlign w:val="center"/>
          </w:tcPr>
          <w:p w14:paraId="3CE2EBC8">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边角料</w:t>
            </w:r>
          </w:p>
        </w:tc>
        <w:tc>
          <w:tcPr>
            <w:tcW w:w="1701" w:type="dxa"/>
            <w:shd w:val="clear" w:color="auto" w:fill="auto"/>
            <w:vAlign w:val="center"/>
          </w:tcPr>
          <w:p w14:paraId="07733237">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b w:val="0"/>
                <w:bCs/>
                <w:kern w:val="2"/>
                <w:sz w:val="21"/>
                <w:szCs w:val="21"/>
                <w:u w:val="single"/>
                <w:lang w:val="en-US" w:eastAsia="zh-CN" w:bidi="ar-SA"/>
              </w:rPr>
            </w:pPr>
            <w:r>
              <w:rPr>
                <w:rFonts w:hint="eastAsia" w:ascii="Times New Roman" w:hAnsi="Times New Roman" w:cs="Times New Roman"/>
                <w:b w:val="0"/>
                <w:bCs/>
                <w:sz w:val="21"/>
                <w:szCs w:val="21"/>
                <w:u w:val="single"/>
                <w:lang w:val="en-US" w:eastAsia="zh-CN"/>
              </w:rPr>
              <w:t>1.14</w:t>
            </w:r>
            <w:r>
              <w:rPr>
                <w:rFonts w:hint="eastAsia" w:ascii="Times New Roman" w:hAnsi="Times New Roman" w:cs="Times New Roman"/>
                <w:snapToGrid w:val="0"/>
                <w:color w:val="000000"/>
                <w:kern w:val="21"/>
                <w:sz w:val="21"/>
                <w:szCs w:val="21"/>
                <w:u w:val="single"/>
                <w:lang w:val="en-US" w:eastAsia="zh-CN"/>
              </w:rPr>
              <w:t>t/a</w:t>
            </w:r>
          </w:p>
        </w:tc>
        <w:tc>
          <w:tcPr>
            <w:tcW w:w="1276" w:type="dxa"/>
            <w:vAlign w:val="center"/>
          </w:tcPr>
          <w:p w14:paraId="2268E462">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lang w:val="en-US" w:eastAsia="zh-CN" w:bidi="ar-SA"/>
              </w:rPr>
              <w:t>/</w:t>
            </w:r>
          </w:p>
        </w:tc>
        <w:tc>
          <w:tcPr>
            <w:tcW w:w="1701" w:type="dxa"/>
            <w:vAlign w:val="center"/>
          </w:tcPr>
          <w:p w14:paraId="0ADC26C5">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lang w:val="en-US" w:eastAsia="zh-CN" w:bidi="ar-SA"/>
              </w:rPr>
              <w:t>/</w:t>
            </w:r>
          </w:p>
        </w:tc>
        <w:tc>
          <w:tcPr>
            <w:tcW w:w="1559" w:type="dxa"/>
            <w:shd w:val="clear" w:color="auto" w:fill="auto"/>
            <w:vAlign w:val="center"/>
          </w:tcPr>
          <w:p w14:paraId="68A9B088">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eastAsia" w:ascii="Times New Roman" w:hAnsi="Times New Roman" w:cs="Times New Roman"/>
                <w:sz w:val="21"/>
                <w:szCs w:val="21"/>
                <w:u w:val="single"/>
                <w:lang w:val="en-US" w:eastAsia="zh-CN"/>
              </w:rPr>
              <w:t>2.28</w:t>
            </w:r>
            <w:r>
              <w:rPr>
                <w:rFonts w:hint="eastAsia" w:ascii="Times New Roman" w:hAnsi="Times New Roman" w:cs="Times New Roman"/>
                <w:snapToGrid w:val="0"/>
                <w:color w:val="000000"/>
                <w:kern w:val="21"/>
                <w:sz w:val="21"/>
                <w:szCs w:val="21"/>
                <w:lang w:val="en-US" w:eastAsia="zh-CN"/>
              </w:rPr>
              <w:t>t/a</w:t>
            </w:r>
          </w:p>
        </w:tc>
        <w:tc>
          <w:tcPr>
            <w:tcW w:w="1418" w:type="dxa"/>
            <w:vAlign w:val="center"/>
          </w:tcPr>
          <w:p w14:paraId="6270860A">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lang w:val="en-US" w:eastAsia="zh-CN" w:bidi="ar-SA"/>
              </w:rPr>
              <w:t>/</w:t>
            </w:r>
          </w:p>
        </w:tc>
        <w:tc>
          <w:tcPr>
            <w:tcW w:w="1701" w:type="dxa"/>
            <w:vAlign w:val="center"/>
          </w:tcPr>
          <w:p w14:paraId="61706A67">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snapToGrid w:val="0"/>
                <w:color w:val="000000"/>
                <w:kern w:val="21"/>
                <w:sz w:val="21"/>
                <w:szCs w:val="21"/>
                <w:u w:val="single"/>
                <w:lang w:val="en-US" w:eastAsia="zh-CN" w:bidi="ar-SA"/>
              </w:rPr>
            </w:pPr>
            <w:r>
              <w:rPr>
                <w:rFonts w:hint="eastAsia" w:ascii="Times New Roman" w:hAnsi="Times New Roman" w:cs="Times New Roman"/>
                <w:sz w:val="21"/>
                <w:szCs w:val="21"/>
                <w:u w:val="single"/>
                <w:lang w:val="en-US" w:eastAsia="zh-CN"/>
              </w:rPr>
              <w:t>2.28</w:t>
            </w:r>
            <w:r>
              <w:rPr>
                <w:rFonts w:hint="eastAsia" w:ascii="Times New Roman" w:hAnsi="Times New Roman" w:cs="Times New Roman"/>
                <w:snapToGrid w:val="0"/>
                <w:color w:val="000000"/>
                <w:kern w:val="21"/>
                <w:sz w:val="21"/>
                <w:szCs w:val="21"/>
                <w:lang w:val="en-US" w:eastAsia="zh-CN"/>
              </w:rPr>
              <w:t>t/a</w:t>
            </w:r>
          </w:p>
        </w:tc>
        <w:tc>
          <w:tcPr>
            <w:tcW w:w="1427" w:type="dxa"/>
            <w:vAlign w:val="center"/>
          </w:tcPr>
          <w:p w14:paraId="3C1EC9F6">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snapToGrid w:val="0"/>
                <w:color w:val="000000"/>
                <w:kern w:val="21"/>
                <w:sz w:val="21"/>
                <w:szCs w:val="21"/>
                <w:u w:val="single"/>
                <w:lang w:val="en-US" w:eastAsia="zh-CN" w:bidi="ar-SA"/>
              </w:rPr>
            </w:pPr>
            <w:r>
              <w:rPr>
                <w:rFonts w:hint="eastAsia" w:ascii="Times New Roman" w:hAnsi="Times New Roman" w:cs="Times New Roman"/>
                <w:b w:val="0"/>
                <w:bCs/>
                <w:sz w:val="21"/>
                <w:szCs w:val="21"/>
                <w:u w:val="single"/>
                <w:lang w:val="en-US" w:eastAsia="zh-CN"/>
              </w:rPr>
              <w:t>+1.1</w:t>
            </w:r>
            <w:r>
              <w:rPr>
                <w:rFonts w:hint="eastAsia" w:ascii="Times New Roman" w:hAnsi="Times New Roman" w:cs="Times New Roman"/>
                <w:snapToGrid w:val="0"/>
                <w:color w:val="000000"/>
                <w:kern w:val="21"/>
                <w:sz w:val="21"/>
                <w:szCs w:val="21"/>
                <w:lang w:val="en-US" w:eastAsia="zh-CN"/>
              </w:rPr>
              <w:t>t/a</w:t>
            </w:r>
            <w:r>
              <w:rPr>
                <w:rFonts w:hint="eastAsia" w:ascii="Times New Roman" w:hAnsi="Times New Roman" w:cs="Times New Roman"/>
                <w:b w:val="0"/>
                <w:bCs/>
                <w:sz w:val="21"/>
                <w:szCs w:val="21"/>
                <w:u w:val="single"/>
                <w:lang w:val="en-US" w:eastAsia="zh-CN"/>
              </w:rPr>
              <w:t>4</w:t>
            </w:r>
          </w:p>
        </w:tc>
      </w:tr>
      <w:tr w14:paraId="7B5B65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46" w:type="dxa"/>
            <w:vMerge w:val="continue"/>
            <w:vAlign w:val="center"/>
          </w:tcPr>
          <w:p w14:paraId="36EA9BCF">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p>
        </w:tc>
        <w:tc>
          <w:tcPr>
            <w:tcW w:w="1559" w:type="dxa"/>
            <w:shd w:val="clear" w:color="auto" w:fill="auto"/>
            <w:vAlign w:val="center"/>
          </w:tcPr>
          <w:p w14:paraId="55EB7634">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水泥浆</w:t>
            </w:r>
          </w:p>
        </w:tc>
        <w:tc>
          <w:tcPr>
            <w:tcW w:w="1701" w:type="dxa"/>
            <w:shd w:val="clear" w:color="auto" w:fill="auto"/>
            <w:vAlign w:val="center"/>
          </w:tcPr>
          <w:p w14:paraId="2FE2CCF4">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b w:val="0"/>
                <w:bCs/>
                <w:kern w:val="2"/>
                <w:sz w:val="21"/>
                <w:szCs w:val="21"/>
                <w:u w:val="single"/>
                <w:lang w:val="en-US" w:eastAsia="zh-CN" w:bidi="ar-SA"/>
              </w:rPr>
            </w:pPr>
            <w:r>
              <w:rPr>
                <w:rFonts w:hint="eastAsia" w:ascii="Times New Roman" w:hAnsi="Times New Roman" w:cs="Times New Roman"/>
                <w:b w:val="0"/>
                <w:bCs/>
                <w:sz w:val="21"/>
                <w:szCs w:val="21"/>
                <w:u w:val="single"/>
                <w:lang w:val="en-US" w:eastAsia="zh-CN"/>
              </w:rPr>
              <w:t>0.9</w:t>
            </w:r>
            <w:r>
              <w:rPr>
                <w:rFonts w:hint="eastAsia" w:ascii="Times New Roman" w:hAnsi="Times New Roman" w:cs="Times New Roman"/>
                <w:snapToGrid w:val="0"/>
                <w:color w:val="000000"/>
                <w:kern w:val="21"/>
                <w:sz w:val="21"/>
                <w:szCs w:val="21"/>
                <w:u w:val="single"/>
                <w:lang w:val="en-US" w:eastAsia="zh-CN"/>
              </w:rPr>
              <w:t>t/a</w:t>
            </w:r>
          </w:p>
        </w:tc>
        <w:tc>
          <w:tcPr>
            <w:tcW w:w="1276" w:type="dxa"/>
            <w:vAlign w:val="center"/>
          </w:tcPr>
          <w:p w14:paraId="0487D24A">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lang w:val="en-US" w:eastAsia="zh-CN" w:bidi="ar-SA"/>
              </w:rPr>
              <w:t>/</w:t>
            </w:r>
          </w:p>
        </w:tc>
        <w:tc>
          <w:tcPr>
            <w:tcW w:w="1701" w:type="dxa"/>
            <w:vAlign w:val="center"/>
          </w:tcPr>
          <w:p w14:paraId="21BC9519">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lang w:val="en-US" w:eastAsia="zh-CN" w:bidi="ar-SA"/>
              </w:rPr>
              <w:t>/</w:t>
            </w:r>
          </w:p>
        </w:tc>
        <w:tc>
          <w:tcPr>
            <w:tcW w:w="1559" w:type="dxa"/>
            <w:shd w:val="clear" w:color="auto" w:fill="auto"/>
            <w:vAlign w:val="center"/>
          </w:tcPr>
          <w:p w14:paraId="19B5FD47">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1.8</w:t>
            </w:r>
            <w:r>
              <w:rPr>
                <w:rFonts w:hint="eastAsia" w:ascii="Times New Roman" w:hAnsi="Times New Roman" w:cs="Times New Roman"/>
                <w:snapToGrid w:val="0"/>
                <w:color w:val="000000"/>
                <w:kern w:val="21"/>
                <w:sz w:val="21"/>
                <w:szCs w:val="21"/>
                <w:lang w:val="en-US" w:eastAsia="zh-CN"/>
              </w:rPr>
              <w:t>t/a</w:t>
            </w:r>
          </w:p>
        </w:tc>
        <w:tc>
          <w:tcPr>
            <w:tcW w:w="1418" w:type="dxa"/>
            <w:vAlign w:val="center"/>
          </w:tcPr>
          <w:p w14:paraId="31D38FE3">
            <w:pPr>
              <w:pStyle w:val="91"/>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lang w:val="en-US" w:eastAsia="zh-CN" w:bidi="ar-SA"/>
              </w:rPr>
              <w:t>/</w:t>
            </w:r>
          </w:p>
        </w:tc>
        <w:tc>
          <w:tcPr>
            <w:tcW w:w="1701" w:type="dxa"/>
            <w:vAlign w:val="center"/>
          </w:tcPr>
          <w:p w14:paraId="48CF688C">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cs="Times New Roman"/>
                <w:sz w:val="21"/>
                <w:szCs w:val="21"/>
                <w:u w:val="single"/>
              </w:rPr>
              <w:t>1.8</w:t>
            </w:r>
            <w:r>
              <w:rPr>
                <w:rFonts w:hint="eastAsia" w:ascii="Times New Roman" w:hAnsi="Times New Roman" w:cs="Times New Roman"/>
                <w:snapToGrid w:val="0"/>
                <w:color w:val="000000"/>
                <w:kern w:val="21"/>
                <w:sz w:val="21"/>
                <w:szCs w:val="21"/>
                <w:lang w:val="en-US" w:eastAsia="zh-CN"/>
              </w:rPr>
              <w:t>t/a</w:t>
            </w:r>
          </w:p>
        </w:tc>
        <w:tc>
          <w:tcPr>
            <w:tcW w:w="1427" w:type="dxa"/>
            <w:vAlign w:val="center"/>
          </w:tcPr>
          <w:p w14:paraId="72ACAB15">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snapToGrid w:val="0"/>
                <w:color w:val="000000"/>
                <w:kern w:val="21"/>
                <w:sz w:val="21"/>
                <w:szCs w:val="21"/>
                <w:u w:val="single"/>
                <w:lang w:val="en-US" w:eastAsia="zh-CN" w:bidi="ar-SA"/>
              </w:rPr>
            </w:pPr>
            <w:r>
              <w:rPr>
                <w:rFonts w:hint="eastAsia" w:ascii="Times New Roman" w:hAnsi="Times New Roman" w:cs="Times New Roman"/>
                <w:b w:val="0"/>
                <w:bCs/>
                <w:sz w:val="21"/>
                <w:szCs w:val="21"/>
                <w:u w:val="single"/>
                <w:lang w:val="en-US" w:eastAsia="zh-CN"/>
              </w:rPr>
              <w:t>+0.9</w:t>
            </w:r>
            <w:r>
              <w:rPr>
                <w:rFonts w:hint="eastAsia" w:ascii="Times New Roman" w:hAnsi="Times New Roman" w:cs="Times New Roman"/>
                <w:snapToGrid w:val="0"/>
                <w:color w:val="000000"/>
                <w:kern w:val="21"/>
                <w:sz w:val="21"/>
                <w:szCs w:val="21"/>
                <w:lang w:val="en-US" w:eastAsia="zh-CN"/>
              </w:rPr>
              <w:t>t/a</w:t>
            </w:r>
          </w:p>
        </w:tc>
      </w:tr>
      <w:tr w14:paraId="460A71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46" w:type="dxa"/>
            <w:vMerge w:val="continue"/>
            <w:vAlign w:val="center"/>
          </w:tcPr>
          <w:p w14:paraId="3AA716EB">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p>
        </w:tc>
        <w:tc>
          <w:tcPr>
            <w:tcW w:w="1559" w:type="dxa"/>
            <w:shd w:val="clear" w:color="auto" w:fill="auto"/>
            <w:vAlign w:val="center"/>
          </w:tcPr>
          <w:p w14:paraId="634B2A07">
            <w:pPr>
              <w:pStyle w:val="100"/>
              <w:keepNext w:val="0"/>
              <w:keepLines w:val="0"/>
              <w:pageBreakBefore w:val="0"/>
              <w:widowControl/>
              <w:kinsoku/>
              <w:wordWrap/>
              <w:overflowPunct/>
              <w:topLinePunct w:val="0"/>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u w:val="single"/>
                <w:lang w:val="en-US" w:eastAsia="zh-CN" w:bidi="ar-SA"/>
                <w14:textFill>
                  <w14:solidFill>
                    <w14:schemeClr w14:val="tx1"/>
                  </w14:solidFill>
                </w14:textFill>
              </w:rPr>
            </w:pPr>
            <w:r>
              <w:rPr>
                <w:rFonts w:hint="default" w:ascii="Times New Roman" w:hAnsi="Times New Roman" w:cs="Times New Roman"/>
                <w:sz w:val="21"/>
                <w:szCs w:val="21"/>
                <w:u w:val="single"/>
              </w:rPr>
              <w:t>废焊渣</w:t>
            </w:r>
          </w:p>
        </w:tc>
        <w:tc>
          <w:tcPr>
            <w:tcW w:w="1701" w:type="dxa"/>
            <w:shd w:val="clear" w:color="auto" w:fill="auto"/>
            <w:vAlign w:val="center"/>
          </w:tcPr>
          <w:p w14:paraId="3C5125A5">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b w:val="0"/>
                <w:bCs/>
                <w:kern w:val="2"/>
                <w:sz w:val="21"/>
                <w:szCs w:val="21"/>
                <w:u w:val="single"/>
                <w:lang w:val="en-US" w:eastAsia="zh-CN" w:bidi="ar-SA"/>
              </w:rPr>
            </w:pPr>
            <w:r>
              <w:rPr>
                <w:rFonts w:hint="eastAsia" w:ascii="Times New Roman" w:hAnsi="Times New Roman" w:cs="Times New Roman"/>
                <w:b w:val="0"/>
                <w:bCs/>
                <w:sz w:val="21"/>
                <w:szCs w:val="21"/>
                <w:u w:val="single"/>
                <w:lang w:val="en-US" w:eastAsia="zh-CN"/>
              </w:rPr>
              <w:t>0.02</w:t>
            </w:r>
            <w:r>
              <w:rPr>
                <w:rFonts w:hint="eastAsia" w:ascii="Times New Roman" w:hAnsi="Times New Roman" w:cs="Times New Roman"/>
                <w:snapToGrid w:val="0"/>
                <w:color w:val="000000"/>
                <w:kern w:val="21"/>
                <w:sz w:val="21"/>
                <w:szCs w:val="21"/>
                <w:u w:val="single"/>
                <w:lang w:val="en-US" w:eastAsia="zh-CN"/>
              </w:rPr>
              <w:t>t/a</w:t>
            </w:r>
          </w:p>
        </w:tc>
        <w:tc>
          <w:tcPr>
            <w:tcW w:w="1276" w:type="dxa"/>
            <w:vAlign w:val="center"/>
          </w:tcPr>
          <w:p w14:paraId="52D7A0FF">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lang w:val="en-US" w:eastAsia="zh-CN" w:bidi="ar-SA"/>
              </w:rPr>
              <w:t>/</w:t>
            </w:r>
          </w:p>
        </w:tc>
        <w:tc>
          <w:tcPr>
            <w:tcW w:w="1701" w:type="dxa"/>
            <w:vAlign w:val="center"/>
          </w:tcPr>
          <w:p w14:paraId="17533513">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lang w:val="en-US" w:eastAsia="zh-CN" w:bidi="ar-SA"/>
              </w:rPr>
              <w:t>/</w:t>
            </w:r>
          </w:p>
        </w:tc>
        <w:tc>
          <w:tcPr>
            <w:tcW w:w="1559" w:type="dxa"/>
            <w:shd w:val="clear" w:color="auto" w:fill="auto"/>
            <w:vAlign w:val="center"/>
          </w:tcPr>
          <w:p w14:paraId="381E1042">
            <w:pPr>
              <w:pStyle w:val="100"/>
              <w:keepNext w:val="0"/>
              <w:keepLines w:val="0"/>
              <w:pageBreakBefore w:val="0"/>
              <w:widowControl/>
              <w:kinsoku/>
              <w:wordWrap/>
              <w:overflowPunct/>
              <w:topLinePunct w:val="0"/>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0.04</w:t>
            </w:r>
            <w:r>
              <w:rPr>
                <w:rFonts w:hint="eastAsia" w:ascii="Times New Roman" w:hAnsi="Times New Roman" w:cs="Times New Roman"/>
                <w:snapToGrid w:val="0"/>
                <w:color w:val="000000"/>
                <w:kern w:val="21"/>
                <w:sz w:val="21"/>
                <w:szCs w:val="21"/>
                <w:lang w:val="en-US" w:eastAsia="zh-CN"/>
              </w:rPr>
              <w:t>t/a</w:t>
            </w:r>
          </w:p>
        </w:tc>
        <w:tc>
          <w:tcPr>
            <w:tcW w:w="1418" w:type="dxa"/>
            <w:vAlign w:val="center"/>
          </w:tcPr>
          <w:p w14:paraId="1351136D">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lang w:val="en-US" w:eastAsia="zh-CN" w:bidi="ar-SA"/>
              </w:rPr>
              <w:t>/</w:t>
            </w:r>
          </w:p>
        </w:tc>
        <w:tc>
          <w:tcPr>
            <w:tcW w:w="1701" w:type="dxa"/>
            <w:vAlign w:val="center"/>
          </w:tcPr>
          <w:p w14:paraId="7B6E355F">
            <w:pPr>
              <w:pStyle w:val="100"/>
              <w:keepNext w:val="0"/>
              <w:keepLines w:val="0"/>
              <w:pageBreakBefore w:val="0"/>
              <w:widowControl/>
              <w:kinsoku/>
              <w:wordWrap/>
              <w:overflowPunct/>
              <w:topLinePunct w:val="0"/>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cs="Times New Roman"/>
                <w:sz w:val="21"/>
                <w:szCs w:val="21"/>
                <w:u w:val="single"/>
              </w:rPr>
              <w:t>0.04</w:t>
            </w:r>
            <w:r>
              <w:rPr>
                <w:rFonts w:hint="eastAsia" w:ascii="Times New Roman" w:hAnsi="Times New Roman" w:cs="Times New Roman"/>
                <w:snapToGrid w:val="0"/>
                <w:color w:val="000000"/>
                <w:kern w:val="21"/>
                <w:sz w:val="21"/>
                <w:szCs w:val="21"/>
                <w:lang w:val="en-US" w:eastAsia="zh-CN"/>
              </w:rPr>
              <w:t>t/a</w:t>
            </w:r>
          </w:p>
        </w:tc>
        <w:tc>
          <w:tcPr>
            <w:tcW w:w="1427" w:type="dxa"/>
            <w:vAlign w:val="center"/>
          </w:tcPr>
          <w:p w14:paraId="206FF5D1">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snapToGrid w:val="0"/>
                <w:color w:val="000000"/>
                <w:kern w:val="21"/>
                <w:sz w:val="21"/>
                <w:szCs w:val="21"/>
                <w:u w:val="single"/>
                <w:lang w:val="en-US" w:eastAsia="zh-CN" w:bidi="ar-SA"/>
              </w:rPr>
            </w:pPr>
            <w:r>
              <w:rPr>
                <w:rFonts w:hint="eastAsia" w:ascii="Times New Roman" w:hAnsi="Times New Roman" w:cs="Times New Roman"/>
                <w:b w:val="0"/>
                <w:bCs/>
                <w:sz w:val="21"/>
                <w:szCs w:val="21"/>
                <w:u w:val="single"/>
                <w:lang w:val="en-US" w:eastAsia="zh-CN"/>
              </w:rPr>
              <w:t>+0.02</w:t>
            </w:r>
            <w:r>
              <w:rPr>
                <w:rFonts w:hint="eastAsia" w:ascii="Times New Roman" w:hAnsi="Times New Roman" w:cs="Times New Roman"/>
                <w:snapToGrid w:val="0"/>
                <w:color w:val="000000"/>
                <w:kern w:val="21"/>
                <w:sz w:val="21"/>
                <w:szCs w:val="21"/>
                <w:lang w:val="en-US" w:eastAsia="zh-CN"/>
              </w:rPr>
              <w:t>t/a</w:t>
            </w:r>
          </w:p>
        </w:tc>
      </w:tr>
      <w:tr w14:paraId="7772AB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46" w:type="dxa"/>
            <w:vMerge w:val="continue"/>
            <w:vAlign w:val="center"/>
          </w:tcPr>
          <w:p w14:paraId="2D7AAB11">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p>
        </w:tc>
        <w:tc>
          <w:tcPr>
            <w:tcW w:w="1559" w:type="dxa"/>
            <w:shd w:val="clear" w:color="auto" w:fill="auto"/>
            <w:vAlign w:val="center"/>
          </w:tcPr>
          <w:p w14:paraId="2CCCF1EE">
            <w:pPr>
              <w:pStyle w:val="100"/>
              <w:keepNext w:val="0"/>
              <w:keepLines w:val="0"/>
              <w:pageBreakBefore w:val="0"/>
              <w:widowControl/>
              <w:kinsoku/>
              <w:wordWrap/>
              <w:overflowPunct/>
              <w:topLinePunct w:val="0"/>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u w:val="single"/>
                <w:lang w:val="en-US" w:eastAsia="zh-CN" w:bidi="ar-SA"/>
                <w14:textFill>
                  <w14:solidFill>
                    <w14:schemeClr w14:val="tx1"/>
                  </w14:solidFill>
                </w14:textFill>
              </w:rPr>
            </w:pPr>
            <w:r>
              <w:rPr>
                <w:rFonts w:hint="eastAsia" w:cs="Times New Roman"/>
                <w:sz w:val="21"/>
                <w:szCs w:val="21"/>
                <w:u w:val="single"/>
                <w:lang w:eastAsia="zh-CN"/>
              </w:rPr>
              <w:t>生物质灰渣</w:t>
            </w:r>
          </w:p>
        </w:tc>
        <w:tc>
          <w:tcPr>
            <w:tcW w:w="1701" w:type="dxa"/>
            <w:shd w:val="clear" w:color="auto" w:fill="auto"/>
            <w:vAlign w:val="center"/>
          </w:tcPr>
          <w:p w14:paraId="6AABC661">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b w:val="0"/>
                <w:bCs/>
                <w:kern w:val="2"/>
                <w:sz w:val="21"/>
                <w:szCs w:val="21"/>
                <w:u w:val="single"/>
                <w:lang w:val="en-US" w:eastAsia="zh-CN" w:bidi="ar-SA"/>
              </w:rPr>
            </w:pPr>
            <w:r>
              <w:rPr>
                <w:rFonts w:hint="eastAsia" w:ascii="Times New Roman" w:hAnsi="Times New Roman" w:cs="Times New Roman"/>
                <w:b w:val="0"/>
                <w:bCs/>
                <w:sz w:val="21"/>
                <w:szCs w:val="21"/>
                <w:u w:val="single"/>
                <w:lang w:val="en-US" w:eastAsia="zh-CN"/>
              </w:rPr>
              <w:t>3.78</w:t>
            </w:r>
            <w:r>
              <w:rPr>
                <w:rFonts w:hint="eastAsia" w:ascii="Times New Roman" w:hAnsi="Times New Roman" w:cs="Times New Roman"/>
                <w:snapToGrid w:val="0"/>
                <w:color w:val="000000"/>
                <w:kern w:val="21"/>
                <w:sz w:val="21"/>
                <w:szCs w:val="21"/>
                <w:u w:val="single"/>
                <w:lang w:val="en-US" w:eastAsia="zh-CN"/>
              </w:rPr>
              <w:t>t/a</w:t>
            </w:r>
          </w:p>
        </w:tc>
        <w:tc>
          <w:tcPr>
            <w:tcW w:w="1276" w:type="dxa"/>
            <w:vAlign w:val="center"/>
          </w:tcPr>
          <w:p w14:paraId="149391DC">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lang w:val="en-US" w:eastAsia="zh-CN" w:bidi="ar-SA"/>
              </w:rPr>
              <w:t>/</w:t>
            </w:r>
          </w:p>
        </w:tc>
        <w:tc>
          <w:tcPr>
            <w:tcW w:w="1701" w:type="dxa"/>
            <w:vAlign w:val="center"/>
          </w:tcPr>
          <w:p w14:paraId="55F0364D">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lang w:val="en-US" w:eastAsia="zh-CN" w:bidi="ar-SA"/>
              </w:rPr>
              <w:t>/</w:t>
            </w:r>
          </w:p>
        </w:tc>
        <w:tc>
          <w:tcPr>
            <w:tcW w:w="1559" w:type="dxa"/>
            <w:shd w:val="clear" w:color="auto" w:fill="auto"/>
            <w:vAlign w:val="center"/>
          </w:tcPr>
          <w:p w14:paraId="44A35D73">
            <w:pPr>
              <w:pStyle w:val="100"/>
              <w:keepNext w:val="0"/>
              <w:keepLines w:val="0"/>
              <w:pageBreakBefore w:val="0"/>
              <w:widowControl/>
              <w:kinsoku/>
              <w:wordWrap/>
              <w:overflowPunct/>
              <w:topLinePunct w:val="0"/>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u w:val="single"/>
                <w:lang w:val="en-US" w:eastAsia="zh-CN" w:bidi="ar-SA"/>
                <w14:textFill>
                  <w14:solidFill>
                    <w14:schemeClr w14:val="tx1"/>
                  </w14:solidFill>
                </w14:textFill>
              </w:rPr>
            </w:pPr>
            <w:r>
              <w:rPr>
                <w:rFonts w:hint="eastAsia" w:cs="Times New Roman"/>
                <w:sz w:val="21"/>
                <w:szCs w:val="21"/>
                <w:u w:val="single"/>
                <w:lang w:val="en-US" w:eastAsia="zh-CN"/>
              </w:rPr>
              <w:t>7.56</w:t>
            </w:r>
            <w:r>
              <w:rPr>
                <w:rFonts w:hint="eastAsia" w:ascii="Times New Roman" w:hAnsi="Times New Roman" w:cs="Times New Roman"/>
                <w:snapToGrid w:val="0"/>
                <w:color w:val="000000"/>
                <w:kern w:val="21"/>
                <w:sz w:val="21"/>
                <w:szCs w:val="21"/>
                <w:lang w:val="en-US" w:eastAsia="zh-CN"/>
              </w:rPr>
              <w:t>t/a</w:t>
            </w:r>
          </w:p>
        </w:tc>
        <w:tc>
          <w:tcPr>
            <w:tcW w:w="1418" w:type="dxa"/>
            <w:vAlign w:val="center"/>
          </w:tcPr>
          <w:p w14:paraId="7582E1C8">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lang w:val="en-US" w:eastAsia="zh-CN" w:bidi="ar-SA"/>
              </w:rPr>
              <w:t>/</w:t>
            </w:r>
          </w:p>
        </w:tc>
        <w:tc>
          <w:tcPr>
            <w:tcW w:w="1701" w:type="dxa"/>
            <w:vAlign w:val="center"/>
          </w:tcPr>
          <w:p w14:paraId="2AA0B1C9">
            <w:pPr>
              <w:pStyle w:val="100"/>
              <w:keepNext w:val="0"/>
              <w:keepLines w:val="0"/>
              <w:pageBreakBefore w:val="0"/>
              <w:widowControl/>
              <w:kinsoku/>
              <w:wordWrap/>
              <w:overflowPunct/>
              <w:topLinePunct w:val="0"/>
              <w:autoSpaceDN/>
              <w:bidi w:val="0"/>
              <w:adjustRightInd/>
              <w:snapToGrid/>
              <w:spacing w:after="0" w:line="240" w:lineRule="auto"/>
              <w:ind w:firstLine="0" w:firstLineChars="0"/>
              <w:jc w:val="center"/>
              <w:textAlignment w:val="auto"/>
              <w:rPr>
                <w:rFonts w:hint="default" w:ascii="Times New Roman" w:hAnsi="Times New Roman" w:eastAsia="宋体" w:cs="Times New Roman"/>
                <w:snapToGrid w:val="0"/>
                <w:color w:val="000000"/>
                <w:kern w:val="21"/>
                <w:sz w:val="21"/>
                <w:szCs w:val="21"/>
                <w:u w:val="single"/>
                <w:lang w:val="en-US" w:eastAsia="zh-CN" w:bidi="ar-SA"/>
              </w:rPr>
            </w:pPr>
            <w:r>
              <w:rPr>
                <w:rFonts w:hint="eastAsia" w:cs="Times New Roman"/>
                <w:sz w:val="21"/>
                <w:szCs w:val="21"/>
                <w:u w:val="single"/>
                <w:lang w:val="en-US" w:eastAsia="zh-CN"/>
              </w:rPr>
              <w:t>7.56</w:t>
            </w:r>
            <w:r>
              <w:rPr>
                <w:rFonts w:hint="eastAsia" w:ascii="Times New Roman" w:hAnsi="Times New Roman" w:cs="Times New Roman"/>
                <w:snapToGrid w:val="0"/>
                <w:color w:val="000000"/>
                <w:kern w:val="21"/>
                <w:sz w:val="21"/>
                <w:szCs w:val="21"/>
                <w:lang w:val="en-US" w:eastAsia="zh-CN"/>
              </w:rPr>
              <w:t>t/a</w:t>
            </w:r>
          </w:p>
        </w:tc>
        <w:tc>
          <w:tcPr>
            <w:tcW w:w="1427" w:type="dxa"/>
            <w:vAlign w:val="center"/>
          </w:tcPr>
          <w:p w14:paraId="56AC1E84">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snapToGrid w:val="0"/>
                <w:color w:val="000000"/>
                <w:kern w:val="21"/>
                <w:sz w:val="21"/>
                <w:szCs w:val="21"/>
                <w:u w:val="single"/>
                <w:lang w:val="en-US" w:eastAsia="zh-CN" w:bidi="ar-SA"/>
              </w:rPr>
            </w:pPr>
            <w:r>
              <w:rPr>
                <w:rFonts w:hint="eastAsia" w:ascii="Times New Roman" w:hAnsi="Times New Roman" w:cs="Times New Roman"/>
                <w:b w:val="0"/>
                <w:bCs/>
                <w:sz w:val="21"/>
                <w:szCs w:val="21"/>
                <w:u w:val="single"/>
                <w:lang w:val="en-US" w:eastAsia="zh-CN"/>
              </w:rPr>
              <w:t>+3.78</w:t>
            </w:r>
            <w:r>
              <w:rPr>
                <w:rFonts w:hint="eastAsia" w:ascii="Times New Roman" w:hAnsi="Times New Roman" w:cs="Times New Roman"/>
                <w:snapToGrid w:val="0"/>
                <w:color w:val="000000"/>
                <w:kern w:val="21"/>
                <w:sz w:val="21"/>
                <w:szCs w:val="21"/>
                <w:lang w:val="en-US" w:eastAsia="zh-CN"/>
              </w:rPr>
              <w:t>t/a</w:t>
            </w:r>
          </w:p>
        </w:tc>
      </w:tr>
      <w:tr w14:paraId="6EF24E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46" w:type="dxa"/>
            <w:vMerge w:val="restart"/>
            <w:vAlign w:val="center"/>
          </w:tcPr>
          <w:p w14:paraId="7DADEDEF">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r>
              <w:rPr>
                <w:rFonts w:hint="default" w:ascii="Times New Roman" w:hAnsi="Times New Roman" w:eastAsia="宋体" w:cs="Times New Roman"/>
                <w:snapToGrid w:val="0"/>
                <w:sz w:val="21"/>
                <w:szCs w:val="21"/>
                <w:u w:val="single"/>
              </w:rPr>
              <w:t>危险废物</w:t>
            </w:r>
          </w:p>
        </w:tc>
        <w:tc>
          <w:tcPr>
            <w:tcW w:w="1559" w:type="dxa"/>
            <w:shd w:val="clear" w:color="auto" w:fill="auto"/>
            <w:vAlign w:val="center"/>
          </w:tcPr>
          <w:p w14:paraId="0914475C">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废润滑油桶</w:t>
            </w:r>
          </w:p>
        </w:tc>
        <w:tc>
          <w:tcPr>
            <w:tcW w:w="1701" w:type="dxa"/>
            <w:shd w:val="clear" w:color="auto" w:fill="auto"/>
            <w:vAlign w:val="center"/>
          </w:tcPr>
          <w:p w14:paraId="2E215D31">
            <w:pPr>
              <w:keepNext w:val="0"/>
              <w:keepLines w:val="0"/>
              <w:pageBreakBefore w:val="0"/>
              <w:kinsoku/>
              <w:wordWrap/>
              <w:overflowPunct/>
              <w:topLinePunct w:val="0"/>
              <w:autoSpaceDN/>
              <w:bidi w:val="0"/>
              <w:adjustRightInd/>
              <w:snapToGrid/>
              <w:jc w:val="center"/>
              <w:rPr>
                <w:rFonts w:hint="eastAsia" w:ascii="Times New Roman" w:hAnsi="Times New Roman" w:eastAsia="宋体" w:cs="Times New Roman"/>
                <w:b w:val="0"/>
                <w:bCs/>
                <w:kern w:val="2"/>
                <w:sz w:val="21"/>
                <w:szCs w:val="21"/>
                <w:u w:val="single"/>
                <w:lang w:val="en-US" w:eastAsia="zh-CN" w:bidi="ar-SA"/>
              </w:rPr>
            </w:pPr>
            <w:r>
              <w:rPr>
                <w:rFonts w:hint="eastAsia" w:ascii="Times New Roman" w:hAnsi="Times New Roman" w:cs="Times New Roman"/>
                <w:b w:val="0"/>
                <w:bCs/>
                <w:sz w:val="21"/>
                <w:szCs w:val="21"/>
                <w:u w:val="single"/>
                <w:lang w:val="en-US" w:eastAsia="zh-CN"/>
              </w:rPr>
              <w:t>0.01</w:t>
            </w:r>
            <w:r>
              <w:rPr>
                <w:rFonts w:hint="eastAsia" w:ascii="Times New Roman" w:hAnsi="Times New Roman" w:cs="Times New Roman"/>
                <w:snapToGrid w:val="0"/>
                <w:color w:val="000000"/>
                <w:kern w:val="21"/>
                <w:sz w:val="21"/>
                <w:szCs w:val="21"/>
                <w:u w:val="single"/>
                <w:lang w:val="en-US" w:eastAsia="zh-CN"/>
              </w:rPr>
              <w:t>t/a</w:t>
            </w:r>
          </w:p>
        </w:tc>
        <w:tc>
          <w:tcPr>
            <w:tcW w:w="1276" w:type="dxa"/>
            <w:vAlign w:val="center"/>
          </w:tcPr>
          <w:p w14:paraId="4DCF9FF8">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rPr>
              <w:t>/</w:t>
            </w:r>
          </w:p>
        </w:tc>
        <w:tc>
          <w:tcPr>
            <w:tcW w:w="1701" w:type="dxa"/>
            <w:vAlign w:val="center"/>
          </w:tcPr>
          <w:p w14:paraId="6AC52582">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rPr>
              <w:t>/</w:t>
            </w:r>
          </w:p>
        </w:tc>
        <w:tc>
          <w:tcPr>
            <w:tcW w:w="1559" w:type="dxa"/>
            <w:shd w:val="clear" w:color="auto" w:fill="auto"/>
            <w:vAlign w:val="center"/>
          </w:tcPr>
          <w:p w14:paraId="4B6382E9">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color w:val="000000" w:themeColor="text1"/>
                <w:kern w:val="0"/>
                <w:sz w:val="21"/>
                <w:szCs w:val="21"/>
                <w:u w:val="single"/>
                <w:lang w:val="en-US" w:eastAsia="zh-CN" w:bidi="ar-SA"/>
                <w14:textFill>
                  <w14:solidFill>
                    <w14:schemeClr w14:val="tx1"/>
                  </w14:solidFill>
                </w14:textFill>
              </w:rPr>
            </w:pPr>
            <w:r>
              <w:rPr>
                <w:rFonts w:hint="default" w:ascii="Times New Roman" w:hAnsi="Times New Roman" w:cs="Times New Roman"/>
                <w:sz w:val="21"/>
                <w:szCs w:val="21"/>
                <w:u w:val="single"/>
              </w:rPr>
              <w:t>0.02</w:t>
            </w:r>
            <w:r>
              <w:rPr>
                <w:rFonts w:hint="eastAsia" w:ascii="Times New Roman" w:hAnsi="Times New Roman" w:cs="Times New Roman"/>
                <w:snapToGrid w:val="0"/>
                <w:color w:val="000000"/>
                <w:kern w:val="21"/>
                <w:sz w:val="21"/>
                <w:szCs w:val="21"/>
                <w:lang w:val="en-US" w:eastAsia="zh-CN"/>
              </w:rPr>
              <w:t>t/a</w:t>
            </w:r>
          </w:p>
        </w:tc>
        <w:tc>
          <w:tcPr>
            <w:tcW w:w="1418" w:type="dxa"/>
            <w:vAlign w:val="center"/>
          </w:tcPr>
          <w:p w14:paraId="3C0D1262">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rPr>
              <w:t>/</w:t>
            </w:r>
          </w:p>
        </w:tc>
        <w:tc>
          <w:tcPr>
            <w:tcW w:w="1701" w:type="dxa"/>
            <w:vAlign w:val="center"/>
          </w:tcPr>
          <w:p w14:paraId="28DD783B">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cs="Times New Roman"/>
                <w:sz w:val="21"/>
                <w:szCs w:val="21"/>
                <w:u w:val="single"/>
              </w:rPr>
              <w:t>0.02</w:t>
            </w:r>
            <w:r>
              <w:rPr>
                <w:rFonts w:hint="eastAsia" w:ascii="Times New Roman" w:hAnsi="Times New Roman" w:cs="Times New Roman"/>
                <w:snapToGrid w:val="0"/>
                <w:color w:val="000000"/>
                <w:kern w:val="21"/>
                <w:sz w:val="21"/>
                <w:szCs w:val="21"/>
                <w:lang w:val="en-US" w:eastAsia="zh-CN"/>
              </w:rPr>
              <w:t>t/a</w:t>
            </w:r>
          </w:p>
        </w:tc>
        <w:tc>
          <w:tcPr>
            <w:tcW w:w="1427" w:type="dxa"/>
            <w:vAlign w:val="center"/>
          </w:tcPr>
          <w:p w14:paraId="124C94C7">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snapToGrid w:val="0"/>
                <w:color w:val="000000"/>
                <w:kern w:val="21"/>
                <w:sz w:val="21"/>
                <w:szCs w:val="21"/>
                <w:u w:val="single"/>
                <w:lang w:val="en-US" w:eastAsia="zh-CN" w:bidi="ar-SA"/>
              </w:rPr>
            </w:pPr>
            <w:r>
              <w:rPr>
                <w:rFonts w:hint="eastAsia" w:ascii="Times New Roman" w:hAnsi="Times New Roman" w:cs="Times New Roman"/>
                <w:b w:val="0"/>
                <w:bCs/>
                <w:sz w:val="21"/>
                <w:szCs w:val="21"/>
                <w:u w:val="single"/>
                <w:lang w:val="en-US" w:eastAsia="zh-CN"/>
              </w:rPr>
              <w:t>+0.01</w:t>
            </w:r>
            <w:r>
              <w:rPr>
                <w:rFonts w:hint="eastAsia" w:ascii="Times New Roman" w:hAnsi="Times New Roman" w:cs="Times New Roman"/>
                <w:snapToGrid w:val="0"/>
                <w:color w:val="000000"/>
                <w:kern w:val="21"/>
                <w:sz w:val="21"/>
                <w:szCs w:val="21"/>
                <w:lang w:val="en-US" w:eastAsia="zh-CN"/>
              </w:rPr>
              <w:t>t/a</w:t>
            </w:r>
          </w:p>
        </w:tc>
      </w:tr>
      <w:tr w14:paraId="34229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46" w:type="dxa"/>
            <w:vMerge w:val="continue"/>
            <w:vAlign w:val="center"/>
          </w:tcPr>
          <w:p w14:paraId="7460329C">
            <w:pPr>
              <w:pStyle w:val="91"/>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sz w:val="21"/>
                <w:szCs w:val="21"/>
                <w:u w:val="single"/>
              </w:rPr>
            </w:pPr>
          </w:p>
        </w:tc>
        <w:tc>
          <w:tcPr>
            <w:tcW w:w="0" w:type="auto"/>
            <w:shd w:val="clear" w:color="auto" w:fill="auto"/>
            <w:vAlign w:val="center"/>
          </w:tcPr>
          <w:p w14:paraId="21A9C8A4">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废含油抹布</w:t>
            </w:r>
          </w:p>
        </w:tc>
        <w:tc>
          <w:tcPr>
            <w:tcW w:w="0" w:type="auto"/>
            <w:shd w:val="clear" w:color="auto" w:fill="auto"/>
            <w:vAlign w:val="center"/>
          </w:tcPr>
          <w:p w14:paraId="0E1105E0">
            <w:pPr>
              <w:keepNext w:val="0"/>
              <w:keepLines w:val="0"/>
              <w:pageBreakBefore w:val="0"/>
              <w:kinsoku/>
              <w:wordWrap/>
              <w:overflowPunct/>
              <w:topLinePunct w:val="0"/>
              <w:autoSpaceDN/>
              <w:bidi w:val="0"/>
              <w:adjustRightInd/>
              <w:snapToGrid/>
              <w:jc w:val="center"/>
              <w:rPr>
                <w:rFonts w:hint="eastAsia" w:ascii="Times New Roman" w:hAnsi="Times New Roman" w:eastAsia="宋体" w:cs="Times New Roman"/>
                <w:b w:val="0"/>
                <w:bCs/>
                <w:kern w:val="2"/>
                <w:sz w:val="21"/>
                <w:szCs w:val="21"/>
                <w:u w:val="single"/>
                <w:lang w:val="en-US" w:eastAsia="zh-CN" w:bidi="ar-SA"/>
              </w:rPr>
            </w:pPr>
            <w:r>
              <w:rPr>
                <w:rFonts w:hint="eastAsia" w:ascii="Times New Roman" w:hAnsi="Times New Roman" w:cs="Times New Roman"/>
                <w:b w:val="0"/>
                <w:bCs/>
                <w:sz w:val="21"/>
                <w:szCs w:val="21"/>
                <w:u w:val="single"/>
                <w:lang w:val="en-US" w:eastAsia="zh-CN"/>
              </w:rPr>
              <w:t>0.025</w:t>
            </w:r>
            <w:r>
              <w:rPr>
                <w:rFonts w:hint="eastAsia" w:ascii="Times New Roman" w:hAnsi="Times New Roman" w:cs="Times New Roman"/>
                <w:snapToGrid w:val="0"/>
                <w:color w:val="000000"/>
                <w:kern w:val="21"/>
                <w:sz w:val="21"/>
                <w:szCs w:val="21"/>
                <w:u w:val="single"/>
                <w:lang w:val="en-US" w:eastAsia="zh-CN"/>
              </w:rPr>
              <w:t>t/a</w:t>
            </w:r>
          </w:p>
        </w:tc>
        <w:tc>
          <w:tcPr>
            <w:tcW w:w="0" w:type="auto"/>
            <w:vAlign w:val="center"/>
          </w:tcPr>
          <w:p w14:paraId="67B3374B">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rPr>
              <w:t>/</w:t>
            </w:r>
          </w:p>
        </w:tc>
        <w:tc>
          <w:tcPr>
            <w:tcW w:w="0" w:type="auto"/>
            <w:vAlign w:val="center"/>
          </w:tcPr>
          <w:p w14:paraId="17A60C74">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rPr>
              <w:t>/</w:t>
            </w:r>
          </w:p>
        </w:tc>
        <w:tc>
          <w:tcPr>
            <w:tcW w:w="1559" w:type="dxa"/>
            <w:shd w:val="clear" w:color="auto" w:fill="auto"/>
            <w:vAlign w:val="center"/>
          </w:tcPr>
          <w:p w14:paraId="6DF611E8">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0.05</w:t>
            </w:r>
            <w:r>
              <w:rPr>
                <w:rFonts w:hint="eastAsia" w:ascii="Times New Roman" w:hAnsi="Times New Roman" w:cs="Times New Roman"/>
                <w:snapToGrid w:val="0"/>
                <w:color w:val="000000"/>
                <w:kern w:val="21"/>
                <w:sz w:val="21"/>
                <w:szCs w:val="21"/>
                <w:lang w:val="en-US" w:eastAsia="zh-CN"/>
              </w:rPr>
              <w:t>t/a</w:t>
            </w:r>
          </w:p>
        </w:tc>
        <w:tc>
          <w:tcPr>
            <w:tcW w:w="0" w:type="auto"/>
            <w:vAlign w:val="center"/>
          </w:tcPr>
          <w:p w14:paraId="42CBE903">
            <w:pPr>
              <w:keepNext w:val="0"/>
              <w:keepLines w:val="0"/>
              <w:pageBreakBefore w:val="0"/>
              <w:widowControl/>
              <w:kinsoku/>
              <w:wordWrap/>
              <w:overflowPunct/>
              <w:topLinePunct w:val="0"/>
              <w:autoSpaceDN/>
              <w:bidi w:val="0"/>
              <w:adjustRightInd/>
              <w:snapToGrid/>
              <w:spacing w:line="240" w:lineRule="auto"/>
              <w:jc w:val="center"/>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eastAsia="宋体" w:cs="Times New Roman"/>
                <w:snapToGrid w:val="0"/>
                <w:color w:val="000000"/>
                <w:kern w:val="21"/>
                <w:sz w:val="21"/>
                <w:szCs w:val="21"/>
                <w:u w:val="single"/>
              </w:rPr>
              <w:t>/</w:t>
            </w:r>
          </w:p>
        </w:tc>
        <w:tc>
          <w:tcPr>
            <w:tcW w:w="1701" w:type="dxa"/>
            <w:vAlign w:val="center"/>
          </w:tcPr>
          <w:p w14:paraId="31997840">
            <w:pPr>
              <w:keepNext w:val="0"/>
              <w:keepLines w:val="0"/>
              <w:pageBreakBefore w:val="0"/>
              <w:widowControl/>
              <w:kinsoku/>
              <w:wordWrap/>
              <w:overflowPunct/>
              <w:topLinePunct w:val="0"/>
              <w:autoSpaceDE w:val="0"/>
              <w:autoSpaceDN/>
              <w:bidi w:val="0"/>
              <w:adjustRightInd/>
              <w:snapToGrid/>
              <w:ind w:firstLine="0" w:firstLineChars="0"/>
              <w:jc w:val="center"/>
              <w:textAlignment w:val="auto"/>
              <w:rPr>
                <w:rFonts w:hint="default" w:ascii="Times New Roman" w:hAnsi="Times New Roman" w:eastAsia="宋体" w:cs="Times New Roman"/>
                <w:snapToGrid w:val="0"/>
                <w:color w:val="000000"/>
                <w:kern w:val="21"/>
                <w:sz w:val="21"/>
                <w:szCs w:val="21"/>
                <w:u w:val="single"/>
                <w:lang w:val="en-US" w:eastAsia="zh-CN" w:bidi="ar-SA"/>
              </w:rPr>
            </w:pPr>
            <w:r>
              <w:rPr>
                <w:rFonts w:hint="default" w:ascii="Times New Roman" w:hAnsi="Times New Roman" w:cs="Times New Roman"/>
                <w:sz w:val="21"/>
                <w:szCs w:val="21"/>
                <w:u w:val="single"/>
              </w:rPr>
              <w:t>0.05</w:t>
            </w:r>
            <w:r>
              <w:rPr>
                <w:rFonts w:hint="eastAsia" w:ascii="Times New Roman" w:hAnsi="Times New Roman" w:cs="Times New Roman"/>
                <w:snapToGrid w:val="0"/>
                <w:color w:val="000000"/>
                <w:kern w:val="21"/>
                <w:sz w:val="21"/>
                <w:szCs w:val="21"/>
                <w:lang w:val="en-US" w:eastAsia="zh-CN"/>
              </w:rPr>
              <w:t>t/a</w:t>
            </w:r>
          </w:p>
        </w:tc>
        <w:tc>
          <w:tcPr>
            <w:tcW w:w="1427" w:type="dxa"/>
            <w:vAlign w:val="center"/>
          </w:tcPr>
          <w:p w14:paraId="0914DACD">
            <w:pPr>
              <w:keepNext w:val="0"/>
              <w:keepLines w:val="0"/>
              <w:pageBreakBefore w:val="0"/>
              <w:kinsoku/>
              <w:wordWrap/>
              <w:overflowPunct/>
              <w:topLinePunct w:val="0"/>
              <w:autoSpaceDN/>
              <w:bidi w:val="0"/>
              <w:adjustRightInd/>
              <w:snapToGrid/>
              <w:jc w:val="center"/>
              <w:rPr>
                <w:rFonts w:hint="default" w:ascii="Times New Roman" w:hAnsi="Times New Roman" w:eastAsia="宋体" w:cs="Times New Roman"/>
                <w:snapToGrid w:val="0"/>
                <w:color w:val="000000"/>
                <w:kern w:val="21"/>
                <w:sz w:val="21"/>
                <w:szCs w:val="21"/>
                <w:u w:val="single"/>
                <w:lang w:val="en-US" w:eastAsia="zh-CN" w:bidi="ar-SA"/>
              </w:rPr>
            </w:pPr>
            <w:r>
              <w:rPr>
                <w:rFonts w:hint="eastAsia" w:ascii="Times New Roman" w:hAnsi="Times New Roman" w:cs="Times New Roman"/>
                <w:b w:val="0"/>
                <w:bCs/>
                <w:sz w:val="21"/>
                <w:szCs w:val="21"/>
                <w:u w:val="single"/>
                <w:lang w:val="en-US" w:eastAsia="zh-CN"/>
              </w:rPr>
              <w:t>+0.025</w:t>
            </w:r>
            <w:r>
              <w:rPr>
                <w:rFonts w:hint="eastAsia" w:ascii="Times New Roman" w:hAnsi="Times New Roman" w:cs="Times New Roman"/>
                <w:snapToGrid w:val="0"/>
                <w:color w:val="000000"/>
                <w:kern w:val="21"/>
                <w:sz w:val="21"/>
                <w:szCs w:val="21"/>
                <w:lang w:val="en-US" w:eastAsia="zh-CN"/>
              </w:rPr>
              <w:t>t/a</w:t>
            </w:r>
          </w:p>
        </w:tc>
      </w:tr>
    </w:tbl>
    <w:p w14:paraId="09C14D27">
      <w:pPr>
        <w:pStyle w:val="91"/>
        <w:jc w:val="left"/>
        <w:rPr>
          <w:rFonts w:hint="default" w:ascii="Times New Roman" w:hAnsi="Times New Roman" w:cs="Times New Roman"/>
          <w:snapToGrid w:val="0"/>
        </w:rPr>
        <w:sectPr>
          <w:footerReference r:id="rId7" w:type="default"/>
          <w:pgSz w:w="16838" w:h="11906" w:orient="landscape"/>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snapToGrid w:val="0"/>
        </w:rPr>
        <w:t>注：</w:t>
      </w:r>
      <w:r>
        <w:rPr>
          <w:rFonts w:hint="default" w:ascii="Times New Roman" w:hAnsi="Times New Roman" w:cs="Times New Roman"/>
          <w:snapToGrid w:val="0"/>
          <w:spacing w:val="-16"/>
        </w:rPr>
        <w:fldChar w:fldCharType="begin"/>
      </w:r>
      <w:r>
        <w:rPr>
          <w:rFonts w:hint="default" w:ascii="Times New Roman" w:hAnsi="Times New Roman" w:cs="Times New Roman"/>
          <w:snapToGrid w:val="0"/>
          <w:spacing w:val="-16"/>
        </w:rPr>
        <w:instrText xml:space="preserve"> = 6 \* GB3 \* MERGEFORMAT </w:instrText>
      </w:r>
      <w:r>
        <w:rPr>
          <w:rFonts w:hint="default" w:ascii="Times New Roman" w:hAnsi="Times New Roman" w:cs="Times New Roman"/>
          <w:snapToGrid w:val="0"/>
          <w:spacing w:val="-16"/>
        </w:rPr>
        <w:fldChar w:fldCharType="separate"/>
      </w:r>
      <w:r>
        <w:rPr>
          <w:rFonts w:hint="default" w:ascii="Times New Roman" w:hAnsi="Times New Roman" w:cs="Times New Roman"/>
        </w:rPr>
        <w:t>⑥</w:t>
      </w:r>
      <w:r>
        <w:rPr>
          <w:rFonts w:hint="default" w:ascii="Times New Roman" w:hAnsi="Times New Roman" w:cs="Times New Roman"/>
          <w:snapToGrid w:val="0"/>
          <w:spacing w:val="-16"/>
        </w:rPr>
        <w:fldChar w:fldCharType="end"/>
      </w:r>
      <w:r>
        <w:rPr>
          <w:rFonts w:hint="default" w:ascii="Times New Roman" w:hAnsi="Times New Roman" w:cs="Times New Roman"/>
          <w:snapToGrid w:val="0"/>
          <w:spacing w:val="-16"/>
        </w:rPr>
        <w:t>=</w:t>
      </w:r>
      <w:r>
        <w:rPr>
          <w:rFonts w:hint="default" w:ascii="Times New Roman" w:hAnsi="Times New Roman" w:cs="Times New Roman"/>
          <w:snapToGrid w:val="0"/>
        </w:rPr>
        <w:fldChar w:fldCharType="begin"/>
      </w:r>
      <w:r>
        <w:rPr>
          <w:rFonts w:hint="default" w:ascii="Times New Roman" w:hAnsi="Times New Roman" w:cs="Times New Roman"/>
          <w:snapToGrid w:val="0"/>
        </w:rPr>
        <w:instrText xml:space="preserve"> = 1 \* GB3 \* MERGEFORMAT </w:instrText>
      </w:r>
      <w:r>
        <w:rPr>
          <w:rFonts w:hint="default" w:ascii="Times New Roman" w:hAnsi="Times New Roman" w:cs="Times New Roman"/>
          <w:snapToGrid w:val="0"/>
        </w:rPr>
        <w:fldChar w:fldCharType="separate"/>
      </w:r>
      <w:r>
        <w:rPr>
          <w:rFonts w:hint="default" w:ascii="Times New Roman" w:hAnsi="Times New Roman" w:cs="Times New Roman"/>
        </w:rPr>
        <w:t>①</w:t>
      </w:r>
      <w:r>
        <w:rPr>
          <w:rFonts w:hint="default" w:ascii="Times New Roman" w:hAnsi="Times New Roman" w:cs="Times New Roman"/>
          <w:snapToGrid w:val="0"/>
        </w:rPr>
        <w:fldChar w:fldCharType="end"/>
      </w:r>
      <w:r>
        <w:rPr>
          <w:rFonts w:hint="default" w:ascii="Times New Roman" w:hAnsi="Times New Roman" w:cs="Times New Roman"/>
          <w:snapToGrid w:val="0"/>
        </w:rPr>
        <w:t>+</w:t>
      </w:r>
      <w:r>
        <w:rPr>
          <w:rFonts w:hint="default" w:ascii="Times New Roman" w:hAnsi="Times New Roman" w:cs="Times New Roman"/>
          <w:snapToGrid w:val="0"/>
        </w:rPr>
        <w:fldChar w:fldCharType="begin"/>
      </w:r>
      <w:r>
        <w:rPr>
          <w:rFonts w:hint="default" w:ascii="Times New Roman" w:hAnsi="Times New Roman" w:cs="Times New Roman"/>
          <w:snapToGrid w:val="0"/>
        </w:rPr>
        <w:instrText xml:space="preserve"> = 3 \* GB3 \* MERGEFORMAT </w:instrText>
      </w:r>
      <w:r>
        <w:rPr>
          <w:rFonts w:hint="default" w:ascii="Times New Roman" w:hAnsi="Times New Roman" w:cs="Times New Roman"/>
          <w:snapToGrid w:val="0"/>
        </w:rPr>
        <w:fldChar w:fldCharType="separate"/>
      </w:r>
      <w:r>
        <w:rPr>
          <w:rFonts w:hint="default" w:ascii="Times New Roman" w:hAnsi="Times New Roman" w:cs="Times New Roman"/>
        </w:rPr>
        <w:t>③</w:t>
      </w:r>
      <w:r>
        <w:rPr>
          <w:rFonts w:hint="default" w:ascii="Times New Roman" w:hAnsi="Times New Roman" w:cs="Times New Roman"/>
          <w:snapToGrid w:val="0"/>
        </w:rPr>
        <w:fldChar w:fldCharType="end"/>
      </w:r>
      <w:r>
        <w:rPr>
          <w:rFonts w:hint="default" w:ascii="Times New Roman" w:hAnsi="Times New Roman" w:cs="Times New Roman"/>
          <w:snapToGrid w:val="0"/>
        </w:rPr>
        <w:t>+</w:t>
      </w:r>
      <w:r>
        <w:rPr>
          <w:rFonts w:hint="default" w:ascii="Times New Roman" w:hAnsi="Times New Roman" w:cs="Times New Roman"/>
          <w:snapToGrid w:val="0"/>
        </w:rPr>
        <w:fldChar w:fldCharType="begin"/>
      </w:r>
      <w:r>
        <w:rPr>
          <w:rFonts w:hint="default" w:ascii="Times New Roman" w:hAnsi="Times New Roman" w:cs="Times New Roman"/>
          <w:snapToGrid w:val="0"/>
        </w:rPr>
        <w:instrText xml:space="preserve"> = 4 \* GB3 \* MERGEFORMAT </w:instrText>
      </w:r>
      <w:r>
        <w:rPr>
          <w:rFonts w:hint="default" w:ascii="Times New Roman" w:hAnsi="Times New Roman" w:cs="Times New Roman"/>
          <w:snapToGrid w:val="0"/>
        </w:rPr>
        <w:fldChar w:fldCharType="separate"/>
      </w:r>
      <w:r>
        <w:rPr>
          <w:rFonts w:hint="default" w:ascii="Times New Roman" w:hAnsi="Times New Roman" w:cs="Times New Roman"/>
        </w:rPr>
        <w:t>④</w:t>
      </w:r>
      <w:r>
        <w:rPr>
          <w:rFonts w:hint="default" w:ascii="Times New Roman" w:hAnsi="Times New Roman" w:cs="Times New Roman"/>
          <w:snapToGrid w:val="0"/>
        </w:rPr>
        <w:fldChar w:fldCharType="end"/>
      </w:r>
      <w:r>
        <w:rPr>
          <w:rFonts w:hint="default" w:ascii="Times New Roman" w:hAnsi="Times New Roman" w:cs="Times New Roman"/>
          <w:snapToGrid w:val="0"/>
        </w:rPr>
        <w:t>-</w:t>
      </w:r>
      <w:r>
        <w:rPr>
          <w:rFonts w:hint="default" w:ascii="Times New Roman" w:hAnsi="Times New Roman" w:cs="Times New Roman"/>
          <w:snapToGrid w:val="0"/>
          <w:spacing w:val="-16"/>
        </w:rPr>
        <w:fldChar w:fldCharType="begin"/>
      </w:r>
      <w:r>
        <w:rPr>
          <w:rFonts w:hint="default" w:ascii="Times New Roman" w:hAnsi="Times New Roman" w:cs="Times New Roman"/>
          <w:snapToGrid w:val="0"/>
          <w:spacing w:val="-16"/>
        </w:rPr>
        <w:instrText xml:space="preserve"> = 5 \* GB3 \* MERGEFORMAT </w:instrText>
      </w:r>
      <w:r>
        <w:rPr>
          <w:rFonts w:hint="default" w:ascii="Times New Roman" w:hAnsi="Times New Roman" w:cs="Times New Roman"/>
          <w:snapToGrid w:val="0"/>
          <w:spacing w:val="-16"/>
        </w:rPr>
        <w:fldChar w:fldCharType="separate"/>
      </w:r>
      <w:r>
        <w:rPr>
          <w:rFonts w:hint="default" w:ascii="Times New Roman" w:hAnsi="Times New Roman" w:cs="Times New Roman"/>
        </w:rPr>
        <w:t>⑤</w:t>
      </w:r>
      <w:r>
        <w:rPr>
          <w:rFonts w:hint="default" w:ascii="Times New Roman" w:hAnsi="Times New Roman" w:cs="Times New Roman"/>
          <w:snapToGrid w:val="0"/>
          <w:spacing w:val="-16"/>
        </w:rPr>
        <w:fldChar w:fldCharType="end"/>
      </w:r>
      <w:r>
        <w:rPr>
          <w:rFonts w:hint="default" w:ascii="Times New Roman" w:hAnsi="Times New Roman" w:cs="Times New Roman"/>
          <w:snapToGrid w:val="0"/>
          <w:spacing w:val="-16"/>
        </w:rPr>
        <w:t>；</w:t>
      </w:r>
      <w:r>
        <w:rPr>
          <w:rFonts w:hint="default" w:ascii="Times New Roman" w:hAnsi="Times New Roman" w:cs="Times New Roman"/>
          <w:snapToGrid w:val="0"/>
        </w:rPr>
        <w:fldChar w:fldCharType="begin"/>
      </w:r>
      <w:r>
        <w:rPr>
          <w:rFonts w:hint="default" w:ascii="Times New Roman" w:hAnsi="Times New Roman" w:cs="Times New Roman"/>
          <w:snapToGrid w:val="0"/>
        </w:rPr>
        <w:instrText xml:space="preserve"> = 7 \* GB3 \* MERGEFORMAT </w:instrText>
      </w:r>
      <w:r>
        <w:rPr>
          <w:rFonts w:hint="default" w:ascii="Times New Roman" w:hAnsi="Times New Roman" w:cs="Times New Roman"/>
          <w:snapToGrid w:val="0"/>
        </w:rPr>
        <w:fldChar w:fldCharType="separate"/>
      </w:r>
      <w:r>
        <w:rPr>
          <w:rFonts w:hint="default" w:ascii="Times New Roman" w:hAnsi="Times New Roman" w:cs="Times New Roman"/>
        </w:rPr>
        <w:t>⑦</w:t>
      </w:r>
      <w:r>
        <w:rPr>
          <w:rFonts w:hint="default" w:ascii="Times New Roman" w:hAnsi="Times New Roman" w:cs="Times New Roman"/>
          <w:snapToGrid w:val="0"/>
        </w:rPr>
        <w:fldChar w:fldCharType="end"/>
      </w:r>
      <w:r>
        <w:rPr>
          <w:rFonts w:hint="default" w:ascii="Times New Roman" w:hAnsi="Times New Roman" w:cs="Times New Roman"/>
          <w:snapToGrid w:val="0"/>
        </w:rPr>
        <w:t>=</w:t>
      </w:r>
      <w:r>
        <w:rPr>
          <w:rFonts w:hint="default" w:ascii="Times New Roman" w:hAnsi="Times New Roman" w:cs="Times New Roman"/>
          <w:snapToGrid w:val="0"/>
          <w:spacing w:val="-16"/>
        </w:rPr>
        <w:fldChar w:fldCharType="begin"/>
      </w:r>
      <w:r>
        <w:rPr>
          <w:rFonts w:hint="default" w:ascii="Times New Roman" w:hAnsi="Times New Roman" w:cs="Times New Roman"/>
          <w:snapToGrid w:val="0"/>
          <w:spacing w:val="-16"/>
        </w:rPr>
        <w:instrText xml:space="preserve"> = 6 \* GB3 \* MERGEFORMAT </w:instrText>
      </w:r>
      <w:r>
        <w:rPr>
          <w:rFonts w:hint="default" w:ascii="Times New Roman" w:hAnsi="Times New Roman" w:cs="Times New Roman"/>
          <w:snapToGrid w:val="0"/>
          <w:spacing w:val="-16"/>
        </w:rPr>
        <w:fldChar w:fldCharType="separate"/>
      </w:r>
      <w:r>
        <w:rPr>
          <w:rFonts w:hint="default" w:ascii="Times New Roman" w:hAnsi="Times New Roman" w:cs="Times New Roman"/>
        </w:rPr>
        <w:t>⑥</w:t>
      </w:r>
      <w:r>
        <w:rPr>
          <w:rFonts w:hint="default" w:ascii="Times New Roman" w:hAnsi="Times New Roman" w:cs="Times New Roman"/>
          <w:snapToGrid w:val="0"/>
          <w:spacing w:val="-16"/>
        </w:rPr>
        <w:fldChar w:fldCharType="end"/>
      </w:r>
      <w:r>
        <w:rPr>
          <w:rFonts w:hint="default" w:ascii="Times New Roman" w:hAnsi="Times New Roman" w:cs="Times New Roman"/>
          <w:snapToGrid w:val="0"/>
          <w:spacing w:val="-16"/>
        </w:rPr>
        <w:t>-</w:t>
      </w:r>
      <w:r>
        <w:rPr>
          <w:rFonts w:hint="default" w:ascii="Times New Roman" w:hAnsi="Times New Roman" w:cs="Times New Roman"/>
          <w:snapToGrid w:val="0"/>
        </w:rPr>
        <w:fldChar w:fldCharType="begin"/>
      </w:r>
      <w:r>
        <w:rPr>
          <w:rFonts w:hint="default" w:ascii="Times New Roman" w:hAnsi="Times New Roman" w:cs="Times New Roman"/>
          <w:snapToGrid w:val="0"/>
        </w:rPr>
        <w:instrText xml:space="preserve"> = 1 \* GB3 \* MERGEFORMAT </w:instrText>
      </w:r>
      <w:r>
        <w:rPr>
          <w:rFonts w:hint="default" w:ascii="Times New Roman" w:hAnsi="Times New Roman" w:cs="Times New Roman"/>
          <w:snapToGrid w:val="0"/>
        </w:rPr>
        <w:fldChar w:fldCharType="separate"/>
      </w:r>
      <w:r>
        <w:rPr>
          <w:rFonts w:hint="default" w:ascii="Times New Roman" w:hAnsi="Times New Roman" w:cs="Times New Roman"/>
        </w:rPr>
        <w:t>①</w:t>
      </w:r>
      <w:r>
        <w:rPr>
          <w:rFonts w:hint="default" w:ascii="Times New Roman" w:hAnsi="Times New Roman" w:cs="Times New Roman"/>
          <w:snapToGrid w:val="0"/>
        </w:rPr>
        <w:fldChar w:fldCharType="end"/>
      </w:r>
    </w:p>
    <w:p w14:paraId="60C96129">
      <w:pPr>
        <w:spacing w:line="360" w:lineRule="auto"/>
      </w:pPr>
      <w:r>
        <w:drawing>
          <wp:inline distT="0" distB="0" distL="114300" distR="114300">
            <wp:extent cx="8467725" cy="5187315"/>
            <wp:effectExtent l="0" t="0" r="9525" b="13335"/>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12"/>
                    <a:stretch>
                      <a:fillRect/>
                    </a:stretch>
                  </pic:blipFill>
                  <pic:spPr>
                    <a:xfrm>
                      <a:off x="0" y="0"/>
                      <a:ext cx="8467725" cy="5187315"/>
                    </a:xfrm>
                    <a:prstGeom prst="rect">
                      <a:avLst/>
                    </a:prstGeom>
                    <a:noFill/>
                    <a:ln>
                      <a:noFill/>
                    </a:ln>
                  </pic:spPr>
                </pic:pic>
              </a:graphicData>
            </a:graphic>
          </wp:inline>
        </w:drawing>
      </w:r>
      <w:r>
        <w:drawing>
          <wp:anchor distT="0" distB="0" distL="114300" distR="114300" simplePos="0" relativeHeight="251662336" behindDoc="0" locked="0" layoutInCell="1" allowOverlap="1">
            <wp:simplePos x="0" y="0"/>
            <wp:positionH relativeFrom="column">
              <wp:posOffset>7748905</wp:posOffset>
            </wp:positionH>
            <wp:positionV relativeFrom="paragraph">
              <wp:posOffset>89535</wp:posOffset>
            </wp:positionV>
            <wp:extent cx="664845" cy="1113155"/>
            <wp:effectExtent l="0" t="0" r="1905" b="10795"/>
            <wp:wrapNone/>
            <wp:docPr id="51" name="图片 43" descr="珠山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3" descr="珠山风玫瑰图"/>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664845" cy="1113155"/>
                    </a:xfrm>
                    <a:prstGeom prst="rect">
                      <a:avLst/>
                    </a:prstGeom>
                    <a:solidFill>
                      <a:srgbClr val="FFFFFF"/>
                    </a:solidFill>
                    <a:ln>
                      <a:noFill/>
                    </a:ln>
                  </pic:spPr>
                </pic:pic>
              </a:graphicData>
            </a:graphic>
          </wp:anchor>
        </w:drawing>
      </w:r>
    </w:p>
    <w:p w14:paraId="081741B8">
      <w:pPr>
        <w:pStyle w:val="19"/>
        <w:spacing w:line="360" w:lineRule="auto"/>
        <w:ind w:left="0" w:leftChars="0" w:firstLine="0" w:firstLineChars="0"/>
        <w:jc w:val="center"/>
        <w:outlineLvl w:val="0"/>
        <w:rPr>
          <w:rFonts w:hint="default" w:eastAsia="宋体"/>
          <w:b/>
          <w:bCs/>
          <w:sz w:val="28"/>
          <w:szCs w:val="28"/>
          <w:lang w:val="en-US" w:eastAsia="zh-CN"/>
        </w:rPr>
      </w:pPr>
      <w:r>
        <w:rPr>
          <w:rFonts w:hint="eastAsia"/>
          <w:b/>
          <w:bCs/>
          <w:sz w:val="28"/>
          <w:szCs w:val="28"/>
          <w:lang w:eastAsia="zh-CN"/>
        </w:rPr>
        <w:t>附图</w:t>
      </w:r>
      <w:r>
        <w:rPr>
          <w:rFonts w:hint="eastAsia"/>
          <w:b/>
          <w:bCs/>
          <w:sz w:val="28"/>
          <w:szCs w:val="28"/>
          <w:lang w:val="en-US" w:eastAsia="zh-CN"/>
        </w:rPr>
        <w:t>1 项目地理位置图</w:t>
      </w:r>
    </w:p>
    <w:p w14:paraId="00441B49">
      <w:pPr>
        <w:pStyle w:val="19"/>
        <w:spacing w:line="360" w:lineRule="auto"/>
        <w:outlineLvl w:val="0"/>
        <w:rPr>
          <w:rFonts w:hint="default"/>
          <w:b/>
          <w:bCs/>
          <w:sz w:val="28"/>
          <w:szCs w:val="28"/>
        </w:rPr>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43CAD6E6">
      <w:pPr>
        <w:pStyle w:val="19"/>
        <w:spacing w:line="360" w:lineRule="auto"/>
        <w:ind w:left="0" w:leftChars="0" w:firstLine="0" w:firstLineChars="0"/>
        <w:jc w:val="center"/>
        <w:outlineLvl w:val="0"/>
        <w:rPr>
          <w:rFonts w:hint="default" w:ascii="Times New Roman" w:hAnsi="Times New Roman" w:eastAsia="宋体" w:cs="Times New Roman"/>
          <w:b/>
          <w:bCs/>
          <w:sz w:val="28"/>
          <w:szCs w:val="28"/>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drawing>
          <wp:anchor distT="0" distB="0" distL="114300" distR="114300" simplePos="0" relativeHeight="251660288" behindDoc="0" locked="0" layoutInCell="1" allowOverlap="1">
            <wp:simplePos x="0" y="0"/>
            <wp:positionH relativeFrom="column">
              <wp:posOffset>80645</wp:posOffset>
            </wp:positionH>
            <wp:positionV relativeFrom="paragraph">
              <wp:posOffset>3731895</wp:posOffset>
            </wp:positionV>
            <wp:extent cx="3945890" cy="1059180"/>
            <wp:effectExtent l="0" t="0" r="16510" b="7620"/>
            <wp:wrapNone/>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14"/>
                    <a:stretch>
                      <a:fillRect/>
                    </a:stretch>
                  </pic:blipFill>
                  <pic:spPr>
                    <a:xfrm>
                      <a:off x="0" y="0"/>
                      <a:ext cx="3945890" cy="105918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7748905</wp:posOffset>
            </wp:positionH>
            <wp:positionV relativeFrom="paragraph">
              <wp:posOffset>89535</wp:posOffset>
            </wp:positionV>
            <wp:extent cx="664845" cy="1113155"/>
            <wp:effectExtent l="0" t="0" r="1905" b="10795"/>
            <wp:wrapNone/>
            <wp:docPr id="48" name="图片 43" descr="珠山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descr="珠山风玫瑰图"/>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664845" cy="1113155"/>
                    </a:xfrm>
                    <a:prstGeom prst="rect">
                      <a:avLst/>
                    </a:prstGeom>
                    <a:solidFill>
                      <a:srgbClr val="FFFFFF"/>
                    </a:solidFill>
                    <a:ln>
                      <a:noFill/>
                    </a:ln>
                  </pic:spPr>
                </pic:pic>
              </a:graphicData>
            </a:graphic>
          </wp:anchor>
        </w:drawing>
      </w:r>
      <w:r>
        <w:drawing>
          <wp:inline distT="0" distB="0" distL="114300" distR="114300">
            <wp:extent cx="8522335" cy="4831080"/>
            <wp:effectExtent l="0" t="0" r="12065" b="7620"/>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15"/>
                    <a:stretch>
                      <a:fillRect/>
                    </a:stretch>
                  </pic:blipFill>
                  <pic:spPr>
                    <a:xfrm>
                      <a:off x="0" y="0"/>
                      <a:ext cx="8522335" cy="4831080"/>
                    </a:xfrm>
                    <a:prstGeom prst="rect">
                      <a:avLst/>
                    </a:prstGeom>
                    <a:noFill/>
                    <a:ln>
                      <a:noFill/>
                    </a:ln>
                  </pic:spPr>
                </pic:pic>
              </a:graphicData>
            </a:graphic>
          </wp:inline>
        </w:drawing>
      </w:r>
      <w:r>
        <w:rPr>
          <w:rFonts w:hint="eastAsia" w:ascii="Times New Roman" w:hAnsi="Times New Roman" w:eastAsia="宋体" w:cs="Times New Roman"/>
          <w:b/>
          <w:bCs/>
          <w:sz w:val="28"/>
          <w:szCs w:val="28"/>
          <w:lang w:val="en-US" w:eastAsia="zh-CN"/>
        </w:rPr>
        <w:t>附件2 周边环境保护目标图</w:t>
      </w:r>
    </w:p>
    <w:p w14:paraId="5B40EFFA">
      <w:pPr>
        <w:tabs>
          <w:tab w:val="left" w:pos="7560"/>
        </w:tabs>
        <w:spacing w:line="360" w:lineRule="auto"/>
        <w:jc w:val="center"/>
      </w:pPr>
      <w:r>
        <w:drawing>
          <wp:inline distT="0" distB="0" distL="114300" distR="114300">
            <wp:extent cx="7684770" cy="5090795"/>
            <wp:effectExtent l="0" t="0" r="0" b="0"/>
            <wp:docPr id="5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pic:cNvPicPr>
                      <a:picLocks noChangeAspect="1"/>
                    </pic:cNvPicPr>
                  </pic:nvPicPr>
                  <pic:blipFill>
                    <a:blip r:embed="rId16"/>
                    <a:srcRect l="4858" t="4994" r="4970" b="4429"/>
                    <a:stretch>
                      <a:fillRect/>
                    </a:stretch>
                  </pic:blipFill>
                  <pic:spPr>
                    <a:xfrm>
                      <a:off x="0" y="0"/>
                      <a:ext cx="7684770" cy="5090795"/>
                    </a:xfrm>
                    <a:prstGeom prst="rect">
                      <a:avLst/>
                    </a:prstGeom>
                    <a:noFill/>
                    <a:ln>
                      <a:noFill/>
                    </a:ln>
                  </pic:spPr>
                </pic:pic>
              </a:graphicData>
            </a:graphic>
          </wp:inline>
        </w:drawing>
      </w:r>
    </w:p>
    <w:p w14:paraId="761B544F">
      <w:pPr>
        <w:pStyle w:val="19"/>
        <w:spacing w:line="360" w:lineRule="auto"/>
        <w:ind w:left="0" w:leftChars="0" w:firstLine="0" w:firstLineChars="0"/>
        <w:jc w:val="center"/>
        <w:outlineLvl w:val="0"/>
        <w:rPr>
          <w:rFonts w:hint="eastAsia" w:ascii="Times New Roman" w:hAnsi="Times New Roman" w:eastAsia="宋体" w:cs="Times New Roman"/>
          <w:b/>
          <w:bCs/>
          <w:sz w:val="28"/>
          <w:szCs w:val="28"/>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hint="eastAsia" w:ascii="Times New Roman" w:hAnsi="Times New Roman" w:eastAsia="宋体" w:cs="Times New Roman"/>
          <w:b/>
          <w:bCs/>
          <w:sz w:val="28"/>
          <w:szCs w:val="28"/>
          <w:lang w:val="en-US" w:eastAsia="zh-CN"/>
        </w:rPr>
        <w:t>附图3 项目平面布置图</w:t>
      </w:r>
    </w:p>
    <w:p w14:paraId="3CC830F2">
      <w:pPr>
        <w:pStyle w:val="19"/>
        <w:spacing w:line="360" w:lineRule="auto"/>
        <w:ind w:left="0" w:leftChars="0" w:firstLine="0" w:firstLineChars="0"/>
        <w:jc w:val="both"/>
        <w:outlineLvl w:val="0"/>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附图4  本项目与生态保护红线位置关系</w:t>
      </w:r>
    </w:p>
    <w:p w14:paraId="4AEABF06">
      <w:pPr>
        <w:jc w:val="center"/>
        <w:rPr>
          <w:rFonts w:hint="default"/>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pPr>
      <w:r>
        <w:rPr>
          <w:sz w:val="21"/>
        </w:rPr>
        <mc:AlternateContent>
          <mc:Choice Requires="wps">
            <w:drawing>
              <wp:anchor distT="0" distB="0" distL="114300" distR="114300" simplePos="0" relativeHeight="251664384" behindDoc="0" locked="0" layoutInCell="1" allowOverlap="1">
                <wp:simplePos x="0" y="0"/>
                <wp:positionH relativeFrom="column">
                  <wp:posOffset>1737360</wp:posOffset>
                </wp:positionH>
                <wp:positionV relativeFrom="paragraph">
                  <wp:posOffset>5912485</wp:posOffset>
                </wp:positionV>
                <wp:extent cx="1238250" cy="356235"/>
                <wp:effectExtent l="6350" t="304165" r="412750" b="6350"/>
                <wp:wrapNone/>
                <wp:docPr id="57" name="矩形标注 57"/>
                <wp:cNvGraphicFramePr/>
                <a:graphic xmlns:a="http://schemas.openxmlformats.org/drawingml/2006/main">
                  <a:graphicData uri="http://schemas.microsoft.com/office/word/2010/wordprocessingShape">
                    <wps:wsp>
                      <wps:cNvSpPr/>
                      <wps:spPr>
                        <a:xfrm>
                          <a:off x="4878705" y="4897120"/>
                          <a:ext cx="1238250" cy="356235"/>
                        </a:xfrm>
                        <a:prstGeom prst="wedgeRectCallout">
                          <a:avLst>
                            <a:gd name="adj1" fmla="val 78307"/>
                            <a:gd name="adj2" fmla="val -129254"/>
                          </a:avLst>
                        </a:prstGeom>
                        <a:solidFill>
                          <a:srgbClr val="FFFF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114DC7A">
                            <w:pPr>
                              <w:keepNext w:val="0"/>
                              <w:keepLines w:val="0"/>
                              <w:pageBreakBefore w:val="0"/>
                              <w:widowControl/>
                              <w:kinsoku/>
                              <w:wordWrap/>
                              <w:overflowPunct/>
                              <w:topLinePunct w:val="0"/>
                              <w:bidi w:val="0"/>
                              <w:adjustRightInd/>
                              <w:snapToGrid/>
                              <w:jc w:val="center"/>
                              <w:textAlignment w:val="auto"/>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本项目所在位置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6.8pt;margin-top:465.55pt;height:28.05pt;width:97.5pt;z-index:251664384;v-text-anchor:middle;mso-width-relative:page;mso-height-relative:page;" fillcolor="#FFFF00" filled="t" stroked="t" coordsize="21600,21600" o:gfxdata="UEsDBAoAAAAAAIdO4kAAAAAAAAAAAAAAAAAEAAAAZHJzL1BLAwQUAAAACACHTuJAtJ8rvdoAAAAL&#10;AQAADwAAAGRycy9kb3ducmV2LnhtbE2PTU/DMAyG70j8h8hIXBBLv9SV0nSHSXAZaKJw4ZY1pq1o&#10;kqrO1sGvx5zg6NePXj+uNmc7ihPONHinIF5FINC13gyuU/D2+nBbgKCgndGjd6jgCwk29eVFpUvj&#10;F/eCpyZ0gksclVpBH8JUSkltj1bTyk/oePfhZ6sDj3MnzawXLrejTKIol1YPji/0esJtj+1nc7QK&#10;Qveo4+f9jt4py76X9Gm7o5tGqeurOLoHEfAc/mD41Wd1qNnp4I/OkBgVJOs0Z1TBXRrHIJjI8oKT&#10;AyfFOgFZV/L/D/UPUEsDBBQAAAAIAIdO4kCdM1bzvwIAAHIFAAAOAAAAZHJzL2Uyb0RvYy54bWyt&#10;VM1uEzEQviPxDpbv7f4k26RRN1WUKAipohEFcXa83qyR/7CdbMoL8BggTnDmzONQXoOxd9umhUMP&#10;7GF3Zmc8M983Mz4730uBdsw6rlWJs+MUI6aorrjalPjtm+XRGCPniaqI0IqV+Jo5fD59/uysNROW&#10;60aLilkEQZSbtKbEjfdmkiSONkwSd6wNU2CstZXEg2o3SWVJC9GlSPI0PUlabStjNWXOwd9FZ8R9&#10;RPuUgLquOWULTbeSKd9FtUwQD5Bcw43D01htXTPqL+vaMY9EiQGpj29IAvI6vJPpGZlsLDENp30J&#10;5CklPMIkCVeQ9C7UgniCtpb/FUpyarXTtT+mWiYdkMgIoMjSR9xcNcSwiAWoduaOdPf/wtJXu5VF&#10;vCpxMcJIEQkd//35+6+fX2++fLr58Q3Bb+CoNW4CrldmZXvNgRgA72srwxegoH2Jh+PReJQWGF0H&#10;+XSU5T3HbO8RBYcsH4zzAuin4DEoTvJBERIk95GMdf4F0xIFocQtqzbsNTRyToTQWx9pJrsL5yPf&#10;VV80qd5nGNVSQPt2RKDReJDG0qEnBz75oc9Rlp/mxbDP38eESm4rCAmcFrxaciGiYjfrubAIEpR4&#10;CU8a0cGRB25CoTYgHYEZUQJLUsNwgigNEO3UBiMiNrB91NsI58Fpd5gkjU9f4QO3UOSCuKYrJpqC&#10;G5lI7mFBBZclHh+eFgpoDo3sWhckv1/v+36udXUNk2B1tyLO0CWHDBfE+RWxQCpAgVvDX8KrFhrw&#10;6V7CqNH247/+B38YVbBi1MKOAfYPW2IZRuKlgiE+zYZDCOujMixGMCvIHlrWhxa1lXMNvEOboboo&#10;Bn8vbsXaavkOLpdZyAomoijk7ljulbnvdh+uJ8pms+gGi2iIv1BXhobggUKlZ1uva+7DZAaiOnZ6&#10;BVYxDmx/bYRdP9Sj1/1VOf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tJ8rvdoAAAALAQAADwAA&#10;AAAAAAABACAAAAAiAAAAZHJzL2Rvd25yZXYueG1sUEsBAhQAFAAAAAgAh07iQJ0zVvO/AgAAcgUA&#10;AA4AAAAAAAAAAQAgAAAAKQEAAGRycy9lMm9Eb2MueG1sUEsFBgAAAAAGAAYAWQEAAFoGAAAAAA==&#10;" adj="27714,-17119">
                <v:fill on="t" focussize="0,0"/>
                <v:stroke weight="1pt" color="#000000 [3213]" miterlimit="8" joinstyle="miter"/>
                <v:imagedata o:title=""/>
                <o:lock v:ext="edit" aspectratio="f"/>
                <v:textbox>
                  <w:txbxContent>
                    <w:p w14:paraId="4114DC7A">
                      <w:pPr>
                        <w:keepNext w:val="0"/>
                        <w:keepLines w:val="0"/>
                        <w:pageBreakBefore w:val="0"/>
                        <w:widowControl/>
                        <w:kinsoku/>
                        <w:wordWrap/>
                        <w:overflowPunct/>
                        <w:topLinePunct w:val="0"/>
                        <w:bidi w:val="0"/>
                        <w:adjustRightInd/>
                        <w:snapToGrid/>
                        <w:jc w:val="center"/>
                        <w:textAlignment w:val="auto"/>
                        <w:rPr>
                          <w:rFonts w:hint="eastAsia" w:eastAsia="宋体"/>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本项目所在位置</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3250565</wp:posOffset>
                </wp:positionH>
                <wp:positionV relativeFrom="paragraph">
                  <wp:posOffset>5478780</wp:posOffset>
                </wp:positionV>
                <wp:extent cx="201295" cy="201295"/>
                <wp:effectExtent l="19050" t="21590" r="27305" b="24765"/>
                <wp:wrapNone/>
                <wp:docPr id="53" name="五角星 53"/>
                <wp:cNvGraphicFramePr/>
                <a:graphic xmlns:a="http://schemas.openxmlformats.org/drawingml/2006/main">
                  <a:graphicData uri="http://schemas.microsoft.com/office/word/2010/wordprocessingShape">
                    <wps:wsp>
                      <wps:cNvSpPr/>
                      <wps:spPr>
                        <a:xfrm>
                          <a:off x="3926205" y="6854825"/>
                          <a:ext cx="201295" cy="201295"/>
                        </a:xfrm>
                        <a:prstGeom prst="star5">
                          <a:avLst/>
                        </a:prstGeom>
                        <a:solidFill>
                          <a:srgbClr val="FFFF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5.95pt;margin-top:431.4pt;height:15.85pt;width:15.85pt;z-index:251663360;v-text-anchor:middle;mso-width-relative:page;mso-height-relative:page;" fillcolor="#FFFF00" filled="t" stroked="t" coordsize="201295,201295" o:gfxdata="UEsDBAoAAAAAAIdO4kAAAAAAAAAAAAAAAAAEAAAAZHJzL1BLAwQUAAAACACHTuJA2QkUMtoAAAAL&#10;AQAADwAAAGRycy9kb3ducmV2LnhtbE2PPU/DMBCGdyT+g3VIbNRJm4Q2xKlQJcQCQxoWtmts4iix&#10;HWz3g3/PMZXx7h6997zV9mImdlI+DM4KSBcJMGU7JwfbC/hoXx7WwEJEK3FyVgn4UQG29e1NhaV0&#10;Z9uo0z72jEJsKFGAjnEuOQ+dVgbDws3K0u3LeYORRt9z6fFM4WbiyyQpuMHB0geNs9pp1Y37oxGA&#10;TTuOLT5/Z53Zva70++PbZ+OFuL9LkydgUV3iFYY/fVKHmpwO7mhlYJOAPE03hApYF0vqQESerQpg&#10;B9psshx4XfH/HepfUEsDBBQAAAAIAIdO4kCGrLFcggIAAAUFAAAOAAAAZHJzL2Uyb0RvYy54bWyt&#10;VM1uEzEQviPxDpbvdJNt0qZRN1XUKAipopUK4ux4vVlL/sN2fspjIA7cOPIOPA9CPAafvdtfOPTA&#10;HrwznvE3M59nfHq214pshQ/SmooODwaUCMNtLc26ou/fLV9NKAmRmZopa0RFb0SgZ7OXL053bipK&#10;21pVC08AYsJ05yraxuimRRF4KzQLB9YJA2NjvWYRql8XtWc7oGtVlIPBUbGzvnbechECdhedkfaI&#10;/jmAtmkkFwvLN1qY2KF6oVhESaGVLtBZzrZpBI+XTRNEJKqiqDTmFUEgr9JazE7ZdO2ZayXvU2DP&#10;SeFJTZpJg6B3UAsWGdl4+ReUltzbYJt4wK0uukIyI6hiOHjCzXXLnMi1gOrg7kgP/w+Wv91eeSLr&#10;io4PKTFM48Z//vjy+/vnX1+/EeyBoJ0LU/hduyvfawFiqnbfeJ3+qIPsK3p4Uh6VgzElNxU9moxH&#10;k3LcESz2kXA4oMbyBHYOh14GYnEP5HyIr4XVJAkVRR/6ceaVbS9C7HxvfVLgYJWsl1KprPj16lx5&#10;smW47CW+Qb5fwD9yU4bs0PjlMcyEM7Rwg9aBqB1oCGZNCVNrzAaPPsd+dDo8DjLAl2p8GiQluWCh&#10;7ZLJCB0VWkaMj5K6opN0+Pa0MgBJTHfcJmll6xtcjrdd1wbHlxKwFyzEK+bRpsgfgxwvsTTKoijb&#10;S5S01n/6137yR/fASskObY+CP26YF5SoNwZ9dTIcjdKcZGU0Pi6h+IeW1UOL2ehzC7KHeDIcz2Ly&#10;j+pWbLzVHzDv8xQVJmY4YnfU9sp57MYRLwYX83l2w2w4Fi/MteMJPF2usfNNtI3MTXDPTk8apiPf&#10;QT/Jafwe6tnr/vWa/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ZCRQy2gAAAAsBAAAPAAAAAAAA&#10;AAEAIAAAACIAAABkcnMvZG93bnJldi54bWxQSwECFAAUAAAACACHTuJAhqyxXIICAAAFBQAADgAA&#10;AAAAAAABACAAAAApAQAAZHJzL2Uyb0RvYy54bWxQSwUGAAAAAAYABgBZAQAAHQYAAAAA&#10;" path="m0,76887l76888,76888,100647,0,124406,76888,201294,76887,139090,124406,162850,201294,100647,153774,38444,201294,62204,124406xe">
                <v:path o:connectlocs="100647,0;0,76887;38444,201294;162850,201294;201294,76887" o:connectangles="247,164,82,82,0"/>
                <v:fill on="t" focussize="0,0"/>
                <v:stroke weight="1pt" color="#FF0000 [2404]" miterlimit="8" joinstyle="miter"/>
                <v:imagedata o:title=""/>
                <o:lock v:ext="edit" aspectratio="f"/>
              </v:shape>
            </w:pict>
          </mc:Fallback>
        </mc:AlternateContent>
      </w:r>
      <w:r>
        <w:drawing>
          <wp:inline distT="0" distB="0" distL="114300" distR="114300">
            <wp:extent cx="5862320" cy="8246745"/>
            <wp:effectExtent l="0" t="0" r="5080" b="190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17"/>
                    <a:stretch>
                      <a:fillRect/>
                    </a:stretch>
                  </pic:blipFill>
                  <pic:spPr>
                    <a:xfrm>
                      <a:off x="0" y="0"/>
                      <a:ext cx="5862320" cy="8246745"/>
                    </a:xfrm>
                    <a:prstGeom prst="rect">
                      <a:avLst/>
                    </a:prstGeom>
                    <a:noFill/>
                    <a:ln>
                      <a:noFill/>
                    </a:ln>
                  </pic:spPr>
                </pic:pic>
              </a:graphicData>
            </a:graphic>
          </wp:inline>
        </w:drawing>
      </w:r>
    </w:p>
    <w:p w14:paraId="11FD365C">
      <w:pPr>
        <w:pStyle w:val="19"/>
        <w:spacing w:line="360" w:lineRule="auto"/>
        <w:ind w:left="0" w:leftChars="0" w:firstLine="0" w:firstLineChars="0"/>
        <w:jc w:val="both"/>
        <w:outlineLvl w:val="0"/>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附件1 企业营业执照</w:t>
      </w:r>
    </w:p>
    <w:p w14:paraId="02263D21">
      <w:pPr>
        <w:jc w:val="center"/>
        <w:rPr>
          <w:rFonts w:hint="eastAsia"/>
          <w:lang w:val="en-US" w:eastAsia="zh-CN"/>
        </w:rPr>
      </w:pPr>
      <w:r>
        <w:rPr>
          <w:rFonts w:hint="eastAsia"/>
          <w:lang w:val="en-US" w:eastAsia="zh-CN"/>
        </w:rPr>
        <w:drawing>
          <wp:inline distT="0" distB="0" distL="114300" distR="114300">
            <wp:extent cx="5725795" cy="7474585"/>
            <wp:effectExtent l="0" t="0" r="8255" b="12065"/>
            <wp:docPr id="56" name="图片 56"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营业执照"/>
                    <pic:cNvPicPr>
                      <a:picLocks noChangeAspect="1"/>
                    </pic:cNvPicPr>
                  </pic:nvPicPr>
                  <pic:blipFill>
                    <a:blip r:embed="rId18"/>
                    <a:srcRect r="7348"/>
                    <a:stretch>
                      <a:fillRect/>
                    </a:stretch>
                  </pic:blipFill>
                  <pic:spPr>
                    <a:xfrm>
                      <a:off x="0" y="0"/>
                      <a:ext cx="5725795" cy="7474585"/>
                    </a:xfrm>
                    <a:prstGeom prst="rect">
                      <a:avLst/>
                    </a:prstGeom>
                  </pic:spPr>
                </pic:pic>
              </a:graphicData>
            </a:graphic>
          </wp:inline>
        </w:drawing>
      </w:r>
    </w:p>
    <w:p w14:paraId="696717FB">
      <w:pPr>
        <w:rPr>
          <w:rFonts w:hint="default"/>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ABCF7D7">
      <w:pPr>
        <w:pStyle w:val="19"/>
        <w:spacing w:line="360" w:lineRule="auto"/>
        <w:ind w:left="0" w:leftChars="0" w:firstLine="0" w:firstLineChars="0"/>
        <w:jc w:val="both"/>
        <w:outlineLvl w:val="0"/>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附件2 项目原有环评登记表</w:t>
      </w:r>
    </w:p>
    <w:p w14:paraId="0BB4F6A1">
      <w:pPr>
        <w:pStyle w:val="19"/>
        <w:ind w:left="0" w:leftChars="0" w:firstLine="0" w:firstLineChars="0"/>
        <w:jc w:val="cente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drawing>
          <wp:inline distT="0" distB="0" distL="114300" distR="114300">
            <wp:extent cx="5601335" cy="7982585"/>
            <wp:effectExtent l="0" t="0" r="18415" b="18415"/>
            <wp:docPr id="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
                    <pic:cNvPicPr>
                      <a:picLocks noChangeAspect="1"/>
                    </pic:cNvPicPr>
                  </pic:nvPicPr>
                  <pic:blipFill>
                    <a:blip r:embed="rId19"/>
                    <a:stretch>
                      <a:fillRect/>
                    </a:stretch>
                  </pic:blipFill>
                  <pic:spPr>
                    <a:xfrm>
                      <a:off x="0" y="0"/>
                      <a:ext cx="5601335" cy="7982585"/>
                    </a:xfrm>
                    <a:prstGeom prst="rect">
                      <a:avLst/>
                    </a:prstGeom>
                    <a:noFill/>
                    <a:ln>
                      <a:noFill/>
                    </a:ln>
                  </pic:spPr>
                </pic:pic>
              </a:graphicData>
            </a:graphic>
          </wp:inline>
        </w:drawing>
      </w:r>
    </w:p>
    <w:p w14:paraId="4743F8BD">
      <w:pPr>
        <w:pStyle w:val="19"/>
        <w:spacing w:line="360" w:lineRule="auto"/>
        <w:ind w:left="0" w:leftChars="0" w:firstLine="0" w:firstLineChars="0"/>
        <w:jc w:val="both"/>
        <w:outlineLvl w:val="0"/>
        <w:rPr>
          <w:rFonts w:hint="default"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附件3 项目现状监测报告</w:t>
      </w:r>
    </w:p>
    <w:p w14:paraId="047FAF4C">
      <w:pPr>
        <w:jc w:val="center"/>
        <w:rPr>
          <w:rFonts w:hint="default"/>
          <w:lang w:val="en-US" w:eastAsia="zh-CN"/>
        </w:rPr>
      </w:pPr>
      <w:r>
        <w:rPr>
          <w:rFonts w:hint="default"/>
          <w:lang w:val="en-US" w:eastAsia="zh-CN"/>
        </w:rPr>
        <w:drawing>
          <wp:inline distT="0" distB="0" distL="114300" distR="114300">
            <wp:extent cx="5615305" cy="7945755"/>
            <wp:effectExtent l="0" t="0" r="4445" b="17145"/>
            <wp:docPr id="45" name="图片 45" descr="新田新电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新田新电_00"/>
                    <pic:cNvPicPr>
                      <a:picLocks noChangeAspect="1"/>
                    </pic:cNvPicPr>
                  </pic:nvPicPr>
                  <pic:blipFill>
                    <a:blip r:embed="rId20"/>
                    <a:stretch>
                      <a:fillRect/>
                    </a:stretch>
                  </pic:blipFill>
                  <pic:spPr>
                    <a:xfrm>
                      <a:off x="0" y="0"/>
                      <a:ext cx="5615305" cy="7945755"/>
                    </a:xfrm>
                    <a:prstGeom prst="rect">
                      <a:avLst/>
                    </a:prstGeom>
                  </pic:spPr>
                </pic:pic>
              </a:graphicData>
            </a:graphic>
          </wp:inline>
        </w:drawing>
      </w:r>
    </w:p>
    <w:p w14:paraId="4C195B99">
      <w:pPr>
        <w:jc w:val="center"/>
        <w:rPr>
          <w:rFonts w:hint="default"/>
          <w:lang w:val="en-US" w:eastAsia="zh-CN"/>
        </w:rPr>
      </w:pPr>
      <w:r>
        <w:rPr>
          <w:rFonts w:hint="default"/>
          <w:lang w:val="en-US" w:eastAsia="zh-CN"/>
        </w:rPr>
        <w:drawing>
          <wp:inline distT="0" distB="0" distL="114300" distR="114300">
            <wp:extent cx="5615305" cy="7945755"/>
            <wp:effectExtent l="0" t="0" r="4445" b="17145"/>
            <wp:docPr id="4" name="图片 4" descr="新田新电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新田新电_01"/>
                    <pic:cNvPicPr>
                      <a:picLocks noChangeAspect="1"/>
                    </pic:cNvPicPr>
                  </pic:nvPicPr>
                  <pic:blipFill>
                    <a:blip r:embed="rId21"/>
                    <a:stretch>
                      <a:fillRect/>
                    </a:stretch>
                  </pic:blipFill>
                  <pic:spPr>
                    <a:xfrm>
                      <a:off x="0" y="0"/>
                      <a:ext cx="5615305" cy="7945755"/>
                    </a:xfrm>
                    <a:prstGeom prst="rect">
                      <a:avLst/>
                    </a:prstGeom>
                  </pic:spPr>
                </pic:pic>
              </a:graphicData>
            </a:graphic>
          </wp:inline>
        </w:drawing>
      </w:r>
      <w:r>
        <w:rPr>
          <w:rFonts w:hint="default"/>
          <w:lang w:val="en-US" w:eastAsia="zh-CN"/>
        </w:rPr>
        <w:drawing>
          <wp:inline distT="0" distB="0" distL="114300" distR="114300">
            <wp:extent cx="5615305" cy="7945755"/>
            <wp:effectExtent l="0" t="0" r="4445" b="17145"/>
            <wp:docPr id="3" name="图片 3" descr="新田新电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新田新电_02"/>
                    <pic:cNvPicPr>
                      <a:picLocks noChangeAspect="1"/>
                    </pic:cNvPicPr>
                  </pic:nvPicPr>
                  <pic:blipFill>
                    <a:blip r:embed="rId22"/>
                    <a:stretch>
                      <a:fillRect/>
                    </a:stretch>
                  </pic:blipFill>
                  <pic:spPr>
                    <a:xfrm>
                      <a:off x="0" y="0"/>
                      <a:ext cx="5615305" cy="7945755"/>
                    </a:xfrm>
                    <a:prstGeom prst="rect">
                      <a:avLst/>
                    </a:prstGeom>
                  </pic:spPr>
                </pic:pic>
              </a:graphicData>
            </a:graphic>
          </wp:inline>
        </w:drawing>
      </w:r>
      <w:r>
        <w:rPr>
          <w:rFonts w:hint="default"/>
          <w:lang w:val="en-US" w:eastAsia="zh-CN"/>
        </w:rPr>
        <w:drawing>
          <wp:inline distT="0" distB="0" distL="114300" distR="114300">
            <wp:extent cx="5615305" cy="7945755"/>
            <wp:effectExtent l="0" t="0" r="4445" b="17145"/>
            <wp:docPr id="2" name="图片 2" descr="新田新电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新田新电_03"/>
                    <pic:cNvPicPr>
                      <a:picLocks noChangeAspect="1"/>
                    </pic:cNvPicPr>
                  </pic:nvPicPr>
                  <pic:blipFill>
                    <a:blip r:embed="rId23"/>
                    <a:stretch>
                      <a:fillRect/>
                    </a:stretch>
                  </pic:blipFill>
                  <pic:spPr>
                    <a:xfrm>
                      <a:off x="0" y="0"/>
                      <a:ext cx="5615305" cy="7945755"/>
                    </a:xfrm>
                    <a:prstGeom prst="rect">
                      <a:avLst/>
                    </a:prstGeom>
                  </pic:spPr>
                </pic:pic>
              </a:graphicData>
            </a:graphic>
          </wp:inline>
        </w:drawing>
      </w:r>
      <w:r>
        <w:rPr>
          <w:rFonts w:hint="default"/>
          <w:lang w:val="en-US" w:eastAsia="zh-CN"/>
        </w:rPr>
        <w:drawing>
          <wp:inline distT="0" distB="0" distL="114300" distR="114300">
            <wp:extent cx="5615305" cy="7945755"/>
            <wp:effectExtent l="0" t="0" r="4445" b="17145"/>
            <wp:docPr id="1" name="图片 1" descr="新田新电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田新电_04"/>
                    <pic:cNvPicPr>
                      <a:picLocks noChangeAspect="1"/>
                    </pic:cNvPicPr>
                  </pic:nvPicPr>
                  <pic:blipFill>
                    <a:blip r:embed="rId24"/>
                    <a:stretch>
                      <a:fillRect/>
                    </a:stretch>
                  </pic:blipFill>
                  <pic:spPr>
                    <a:xfrm>
                      <a:off x="0" y="0"/>
                      <a:ext cx="5615305" cy="7945755"/>
                    </a:xfrm>
                    <a:prstGeom prst="rect">
                      <a:avLst/>
                    </a:prstGeom>
                  </pic:spPr>
                </pic:pic>
              </a:graphicData>
            </a:graphic>
          </wp:inline>
        </w:drawing>
      </w:r>
    </w:p>
    <w:sectPr>
      <w:pgSz w:w="11906" w:h="16838"/>
      <w:pgMar w:top="1440" w:right="1080" w:bottom="1440" w:left="1080"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Arial Unicode MS">
    <w:altName w:val="宋体"/>
    <w:panose1 w:val="020B0604020202020204"/>
    <w:charset w:val="86"/>
    <w:family w:val="auto"/>
    <w:pitch w:val="default"/>
    <w:sig w:usb0="00000000" w:usb1="00000000" w:usb2="0000003F" w:usb3="00000000" w:csb0="603F01FF" w:csb1="FFFF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G Times (WN)">
    <w:altName w:val="Times New Roman"/>
    <w:panose1 w:val="00000000000000000000"/>
    <w:charset w:val="00"/>
    <w:family w:val="auto"/>
    <w:pitch w:val="default"/>
    <w:sig w:usb0="00000000" w:usb1="00000000" w:usb2="00000000" w:usb3="00000000" w:csb0="0000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81861">
    <w:pPr>
      <w:pStyle w:val="2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90A08">
    <w:pPr>
      <w:pStyle w:val="29"/>
      <w:framePr w:wrap="around" w:vAnchor="text" w:hAnchor="margin" w:xAlign="center" w:y="1"/>
      <w:rPr>
        <w:rStyle w:val="43"/>
        <w:rFonts w:eastAsia="宋体"/>
      </w:rPr>
    </w:pPr>
    <w:r>
      <w:fldChar w:fldCharType="begin"/>
    </w:r>
    <w:r>
      <w:rPr>
        <w:rStyle w:val="43"/>
        <w:rFonts w:eastAsia="宋体"/>
      </w:rPr>
      <w:instrText xml:space="preserve">PAGE  </w:instrText>
    </w:r>
    <w:r>
      <w:fldChar w:fldCharType="end"/>
    </w:r>
  </w:p>
  <w:p w14:paraId="165195FA">
    <w:pPr>
      <w:pStyle w:val="2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83598">
    <w:pPr>
      <w:pStyle w:val="29"/>
      <w:framePr w:wrap="around" w:vAnchor="text" w:hAnchor="margin" w:xAlign="outside" w:y="1"/>
      <w:rPr>
        <w:rStyle w:val="43"/>
        <w:rFonts w:ascii="宋体" w:hAnsi="宋体" w:eastAsia="宋体"/>
        <w:sz w:val="28"/>
        <w:szCs w:val="28"/>
      </w:rPr>
    </w:pPr>
    <w:r>
      <w:rPr>
        <w:rStyle w:val="43"/>
        <w:rFonts w:hint="eastAsia" w:ascii="宋体" w:hAnsi="宋体" w:eastAsia="宋体"/>
        <w:sz w:val="28"/>
        <w:szCs w:val="28"/>
      </w:rPr>
      <w:t>—</w:t>
    </w:r>
    <w:r>
      <w:rPr>
        <w:rStyle w:val="43"/>
        <w:rFonts w:hint="eastAsia" w:ascii="宋体" w:hAnsi="宋体" w:eastAsia="宋体"/>
        <w:sz w:val="20"/>
      </w:rPr>
      <w:t xml:space="preserve">  </w:t>
    </w:r>
    <w:r>
      <w:rPr>
        <w:rStyle w:val="43"/>
        <w:rFonts w:ascii="宋体" w:hAnsi="宋体" w:eastAsia="宋体"/>
        <w:sz w:val="26"/>
        <w:szCs w:val="26"/>
      </w:rPr>
      <w:fldChar w:fldCharType="begin"/>
    </w:r>
    <w:r>
      <w:rPr>
        <w:rStyle w:val="43"/>
        <w:rFonts w:ascii="宋体" w:hAnsi="宋体" w:eastAsia="宋体"/>
        <w:sz w:val="26"/>
        <w:szCs w:val="26"/>
      </w:rPr>
      <w:instrText xml:space="preserve">PAGE  </w:instrText>
    </w:r>
    <w:r>
      <w:rPr>
        <w:rStyle w:val="43"/>
        <w:rFonts w:ascii="宋体" w:hAnsi="宋体" w:eastAsia="宋体"/>
        <w:sz w:val="26"/>
        <w:szCs w:val="26"/>
      </w:rPr>
      <w:fldChar w:fldCharType="separate"/>
    </w:r>
    <w:r>
      <w:rPr>
        <w:rStyle w:val="43"/>
        <w:rFonts w:ascii="宋体" w:hAnsi="宋体" w:eastAsia="宋体"/>
        <w:sz w:val="26"/>
        <w:szCs w:val="26"/>
      </w:rPr>
      <w:t>5</w:t>
    </w:r>
    <w:r>
      <w:rPr>
        <w:rStyle w:val="43"/>
        <w:rFonts w:ascii="宋体" w:hAnsi="宋体" w:eastAsia="宋体"/>
        <w:sz w:val="26"/>
        <w:szCs w:val="26"/>
      </w:rPr>
      <w:fldChar w:fldCharType="end"/>
    </w:r>
    <w:r>
      <w:rPr>
        <w:rStyle w:val="43"/>
        <w:rFonts w:hint="eastAsia" w:ascii="宋体" w:hAnsi="宋体" w:eastAsia="宋体"/>
        <w:sz w:val="20"/>
      </w:rPr>
      <w:t xml:space="preserve">  </w:t>
    </w:r>
    <w:r>
      <w:rPr>
        <w:rStyle w:val="43"/>
        <w:rFonts w:hint="eastAsia" w:ascii="宋体" w:hAnsi="宋体" w:eastAsia="宋体"/>
        <w:sz w:val="28"/>
        <w:szCs w:val="28"/>
      </w:rPr>
      <w:t>—</w:t>
    </w:r>
  </w:p>
  <w:p w14:paraId="3F4E6D62">
    <w:pPr>
      <w:pStyle w:val="2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5A598">
    <w:pPr>
      <w:pStyle w:val="29"/>
      <w:framePr w:wrap="around" w:vAnchor="text" w:hAnchor="margin" w:xAlign="outside" w:y="1"/>
      <w:rPr>
        <w:rStyle w:val="43"/>
        <w:rFonts w:ascii="宋体" w:hAnsi="宋体" w:eastAsia="宋体"/>
        <w:sz w:val="28"/>
        <w:szCs w:val="28"/>
      </w:rPr>
    </w:pPr>
    <w:r>
      <w:rPr>
        <w:rStyle w:val="43"/>
        <w:rFonts w:hint="eastAsia" w:ascii="宋体" w:hAnsi="宋体" w:eastAsia="宋体"/>
        <w:sz w:val="28"/>
        <w:szCs w:val="28"/>
      </w:rPr>
      <w:t>—</w:t>
    </w:r>
    <w:r>
      <w:rPr>
        <w:rStyle w:val="43"/>
        <w:rFonts w:hint="eastAsia" w:ascii="宋体" w:hAnsi="宋体" w:eastAsia="宋体"/>
        <w:sz w:val="20"/>
      </w:rPr>
      <w:t xml:space="preserve">  </w:t>
    </w:r>
    <w:r>
      <w:rPr>
        <w:rStyle w:val="43"/>
        <w:rFonts w:ascii="宋体" w:hAnsi="宋体" w:eastAsia="宋体"/>
        <w:sz w:val="26"/>
        <w:szCs w:val="26"/>
      </w:rPr>
      <w:fldChar w:fldCharType="begin"/>
    </w:r>
    <w:r>
      <w:rPr>
        <w:rStyle w:val="43"/>
        <w:rFonts w:ascii="宋体" w:hAnsi="宋体" w:eastAsia="宋体"/>
        <w:sz w:val="26"/>
        <w:szCs w:val="26"/>
      </w:rPr>
      <w:instrText xml:space="preserve">PAGE  </w:instrText>
    </w:r>
    <w:r>
      <w:rPr>
        <w:rStyle w:val="43"/>
        <w:rFonts w:ascii="宋体" w:hAnsi="宋体" w:eastAsia="宋体"/>
        <w:sz w:val="26"/>
        <w:szCs w:val="26"/>
      </w:rPr>
      <w:fldChar w:fldCharType="separate"/>
    </w:r>
    <w:r>
      <w:rPr>
        <w:rStyle w:val="43"/>
        <w:rFonts w:ascii="宋体" w:hAnsi="宋体" w:eastAsia="宋体"/>
        <w:sz w:val="26"/>
        <w:szCs w:val="26"/>
      </w:rPr>
      <w:t>39</w:t>
    </w:r>
    <w:r>
      <w:rPr>
        <w:rStyle w:val="43"/>
        <w:rFonts w:ascii="宋体" w:hAnsi="宋体" w:eastAsia="宋体"/>
        <w:sz w:val="26"/>
        <w:szCs w:val="26"/>
      </w:rPr>
      <w:fldChar w:fldCharType="end"/>
    </w:r>
    <w:r>
      <w:rPr>
        <w:rStyle w:val="43"/>
        <w:rFonts w:hint="eastAsia" w:ascii="宋体" w:hAnsi="宋体" w:eastAsia="宋体"/>
        <w:sz w:val="20"/>
      </w:rPr>
      <w:t xml:space="preserve">  </w:t>
    </w:r>
    <w:r>
      <w:rPr>
        <w:rStyle w:val="43"/>
        <w:rFonts w:hint="eastAsia" w:ascii="宋体" w:hAnsi="宋体" w:eastAsia="宋体"/>
        <w:sz w:val="28"/>
        <w:szCs w:val="28"/>
      </w:rPr>
      <w:t>—</w:t>
    </w:r>
  </w:p>
  <w:p w14:paraId="5EC55DDE">
    <w:pPr>
      <w:pStyle w:val="29"/>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59F01">
    <w:pPr>
      <w:pStyle w:val="29"/>
      <w:framePr w:wrap="around" w:vAnchor="text" w:hAnchor="margin" w:xAlign="center" w:y="1"/>
      <w:rPr>
        <w:rStyle w:val="43"/>
        <w:rFonts w:ascii="宋体" w:hAnsi="宋体" w:eastAsia="宋体"/>
        <w:sz w:val="28"/>
        <w:szCs w:val="28"/>
      </w:rPr>
    </w:pPr>
    <w:r>
      <w:rPr>
        <w:rStyle w:val="43"/>
        <w:rFonts w:hint="eastAsia" w:ascii="宋体" w:hAnsi="宋体" w:eastAsia="宋体"/>
        <w:sz w:val="28"/>
        <w:szCs w:val="28"/>
      </w:rPr>
      <w:t>—</w:t>
    </w:r>
    <w:r>
      <w:rPr>
        <w:rStyle w:val="43"/>
        <w:rFonts w:hint="eastAsia" w:ascii="宋体" w:hAnsi="宋体" w:eastAsia="宋体"/>
        <w:sz w:val="20"/>
      </w:rPr>
      <w:t xml:space="preserve">  </w:t>
    </w:r>
    <w:r>
      <w:rPr>
        <w:rStyle w:val="43"/>
        <w:rFonts w:ascii="宋体" w:hAnsi="宋体" w:eastAsia="宋体"/>
        <w:sz w:val="26"/>
        <w:szCs w:val="26"/>
      </w:rPr>
      <w:fldChar w:fldCharType="begin"/>
    </w:r>
    <w:r>
      <w:rPr>
        <w:rStyle w:val="43"/>
        <w:rFonts w:ascii="宋体" w:hAnsi="宋体" w:eastAsia="宋体"/>
        <w:sz w:val="26"/>
        <w:szCs w:val="26"/>
      </w:rPr>
      <w:instrText xml:space="preserve">PAGE  </w:instrText>
    </w:r>
    <w:r>
      <w:rPr>
        <w:rStyle w:val="43"/>
        <w:rFonts w:ascii="宋体" w:hAnsi="宋体" w:eastAsia="宋体"/>
        <w:sz w:val="26"/>
        <w:szCs w:val="26"/>
      </w:rPr>
      <w:fldChar w:fldCharType="separate"/>
    </w:r>
    <w:r>
      <w:rPr>
        <w:rStyle w:val="43"/>
        <w:rFonts w:ascii="宋体" w:hAnsi="宋体" w:eastAsia="宋体"/>
        <w:sz w:val="26"/>
        <w:szCs w:val="26"/>
      </w:rPr>
      <w:t>43</w:t>
    </w:r>
    <w:r>
      <w:rPr>
        <w:rStyle w:val="43"/>
        <w:rFonts w:ascii="宋体" w:hAnsi="宋体" w:eastAsia="宋体"/>
        <w:sz w:val="26"/>
        <w:szCs w:val="26"/>
      </w:rPr>
      <w:fldChar w:fldCharType="end"/>
    </w:r>
    <w:r>
      <w:rPr>
        <w:rStyle w:val="43"/>
        <w:rFonts w:hint="eastAsia" w:ascii="宋体" w:hAnsi="宋体" w:eastAsia="宋体"/>
        <w:sz w:val="20"/>
      </w:rPr>
      <w:t xml:space="preserve">  </w:t>
    </w:r>
    <w:r>
      <w:rPr>
        <w:rStyle w:val="43"/>
        <w:rFonts w:hint="eastAsia" w:ascii="宋体" w:hAnsi="宋体" w:eastAsia="宋体"/>
        <w:sz w:val="28"/>
        <w:szCs w:val="28"/>
      </w:rPr>
      <w:t>—</w:t>
    </w:r>
  </w:p>
  <w:p w14:paraId="4F382196">
    <w:pPr>
      <w:pStyle w:val="29"/>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A2DB4">
    <w:pPr>
      <w:pStyle w:val="29"/>
      <w:framePr w:wrap="around" w:vAnchor="text" w:hAnchor="margin" w:xAlign="outside" w:y="1"/>
      <w:ind w:firstLine="560"/>
      <w:rPr>
        <w:rStyle w:val="43"/>
        <w:rFonts w:ascii="宋体" w:hAnsi="宋体" w:eastAsia="宋体"/>
        <w:sz w:val="28"/>
        <w:szCs w:val="28"/>
      </w:rPr>
    </w:pPr>
    <w:r>
      <w:rPr>
        <w:rStyle w:val="43"/>
        <w:rFonts w:hint="eastAsia" w:ascii="宋体" w:hAnsi="宋体" w:eastAsia="宋体"/>
        <w:sz w:val="28"/>
        <w:szCs w:val="28"/>
      </w:rPr>
      <w:t>—</w:t>
    </w:r>
    <w:r>
      <w:rPr>
        <w:rStyle w:val="43"/>
        <w:rFonts w:hint="eastAsia" w:ascii="宋体" w:hAnsi="宋体" w:eastAsia="宋体"/>
        <w:sz w:val="20"/>
      </w:rPr>
      <w:t xml:space="preserve">  </w:t>
    </w:r>
    <w:r>
      <w:rPr>
        <w:rStyle w:val="43"/>
        <w:rFonts w:ascii="宋体" w:hAnsi="宋体" w:eastAsia="宋体"/>
        <w:sz w:val="26"/>
        <w:szCs w:val="26"/>
      </w:rPr>
      <w:fldChar w:fldCharType="begin"/>
    </w:r>
    <w:r>
      <w:rPr>
        <w:rStyle w:val="43"/>
        <w:rFonts w:ascii="宋体" w:hAnsi="宋体" w:eastAsia="宋体"/>
        <w:sz w:val="26"/>
        <w:szCs w:val="26"/>
      </w:rPr>
      <w:instrText xml:space="preserve">PAGE  </w:instrText>
    </w:r>
    <w:r>
      <w:rPr>
        <w:rStyle w:val="43"/>
        <w:rFonts w:ascii="宋体" w:hAnsi="宋体" w:eastAsia="宋体"/>
        <w:sz w:val="26"/>
        <w:szCs w:val="26"/>
      </w:rPr>
      <w:fldChar w:fldCharType="separate"/>
    </w:r>
    <w:r>
      <w:rPr>
        <w:rStyle w:val="43"/>
        <w:rFonts w:ascii="宋体" w:hAnsi="宋体" w:eastAsia="宋体"/>
        <w:sz w:val="26"/>
        <w:szCs w:val="26"/>
      </w:rPr>
      <w:t>44</w:t>
    </w:r>
    <w:r>
      <w:rPr>
        <w:rStyle w:val="43"/>
        <w:rFonts w:ascii="宋体" w:hAnsi="宋体" w:eastAsia="宋体"/>
        <w:sz w:val="26"/>
        <w:szCs w:val="26"/>
      </w:rPr>
      <w:fldChar w:fldCharType="end"/>
    </w:r>
    <w:r>
      <w:rPr>
        <w:rStyle w:val="43"/>
        <w:rFonts w:hint="eastAsia" w:ascii="宋体" w:hAnsi="宋体" w:eastAsia="宋体"/>
        <w:sz w:val="20"/>
      </w:rPr>
      <w:t xml:space="preserve">  </w:t>
    </w:r>
    <w:r>
      <w:rPr>
        <w:rStyle w:val="43"/>
        <w:rFonts w:hint="eastAsia" w:ascii="宋体" w:hAnsi="宋体" w:eastAsia="宋体"/>
        <w:sz w:val="28"/>
        <w:szCs w:val="28"/>
      </w:rPr>
      <w:t>—</w:t>
    </w:r>
  </w:p>
  <w:p w14:paraId="0B7F3A15">
    <w:pPr>
      <w:pStyle w:val="29"/>
      <w:ind w:right="360" w:firstLine="360"/>
      <w:jc w:val="center"/>
    </w:pPr>
  </w:p>
  <w:p w14:paraId="18126B55"/>
  <w:p w14:paraId="5BBEED15"/>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6E831D"/>
    <w:multiLevelType w:val="singleLevel"/>
    <w:tmpl w:val="A26E831D"/>
    <w:lvl w:ilvl="0" w:tentative="0">
      <w:start w:val="1"/>
      <w:numFmt w:val="decimal"/>
      <w:suff w:val="nothing"/>
      <w:lvlText w:val="%1、"/>
      <w:lvlJc w:val="left"/>
    </w:lvl>
  </w:abstractNum>
  <w:abstractNum w:abstractNumId="1">
    <w:nsid w:val="AA6CB8E5"/>
    <w:multiLevelType w:val="singleLevel"/>
    <w:tmpl w:val="AA6CB8E5"/>
    <w:lvl w:ilvl="0" w:tentative="0">
      <w:start w:val="1"/>
      <w:numFmt w:val="bullet"/>
      <w:pStyle w:val="26"/>
      <w:lvlText w:val=""/>
      <w:lvlJc w:val="left"/>
      <w:pPr>
        <w:tabs>
          <w:tab w:val="left" w:pos="2040"/>
        </w:tabs>
        <w:ind w:left="2040" w:hanging="360"/>
      </w:pPr>
      <w:rPr>
        <w:rFonts w:hint="default" w:ascii="Wingdings" w:hAnsi="Wingdings"/>
      </w:rPr>
    </w:lvl>
  </w:abstractNum>
  <w:abstractNum w:abstractNumId="2">
    <w:nsid w:val="D646555B"/>
    <w:multiLevelType w:val="singleLevel"/>
    <w:tmpl w:val="D646555B"/>
    <w:lvl w:ilvl="0" w:tentative="0">
      <w:start w:val="5"/>
      <w:numFmt w:val="decimal"/>
      <w:pStyle w:val="33"/>
      <w:suff w:val="nothing"/>
      <w:lvlText w:val="（%1）"/>
      <w:lvlJc w:val="left"/>
    </w:lvl>
  </w:abstractNum>
  <w:abstractNum w:abstractNumId="3">
    <w:nsid w:val="FFFFFF88"/>
    <w:multiLevelType w:val="singleLevel"/>
    <w:tmpl w:val="FFFFFF88"/>
    <w:lvl w:ilvl="0" w:tentative="0">
      <w:start w:val="1"/>
      <w:numFmt w:val="lowerLetter"/>
      <w:pStyle w:val="14"/>
      <w:lvlText w:val="%1)"/>
      <w:lvlJc w:val="left"/>
      <w:pPr>
        <w:ind w:left="63" w:hanging="420"/>
      </w:pPr>
    </w:lvl>
  </w:abstractNum>
  <w:abstractNum w:abstractNumId="4">
    <w:nsid w:val="FFFFFF89"/>
    <w:multiLevelType w:val="singleLevel"/>
    <w:tmpl w:val="FFFFFF89"/>
    <w:lvl w:ilvl="0" w:tentative="0">
      <w:start w:val="1"/>
      <w:numFmt w:val="bullet"/>
      <w:pStyle w:val="21"/>
      <w:lvlText w:val=""/>
      <w:lvlJc w:val="left"/>
      <w:pPr>
        <w:tabs>
          <w:tab w:val="left" w:pos="360"/>
        </w:tabs>
        <w:ind w:left="360" w:hanging="360"/>
      </w:pPr>
      <w:rPr>
        <w:rFonts w:hint="default" w:ascii="Wingdings" w:hAnsi="Wingdings"/>
      </w:rPr>
    </w:lvl>
  </w:abstractNum>
  <w:abstractNum w:abstractNumId="5">
    <w:nsid w:val="3A046844"/>
    <w:multiLevelType w:val="multilevel"/>
    <w:tmpl w:val="3A046844"/>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778218E7"/>
    <w:multiLevelType w:val="multilevel"/>
    <w:tmpl w:val="778218E7"/>
    <w:lvl w:ilvl="0" w:tentative="0">
      <w:start w:val="1"/>
      <w:numFmt w:val="decimal"/>
      <w:pStyle w:val="4"/>
      <w:lvlText w:val="%1"/>
      <w:lvlJc w:val="left"/>
      <w:pPr>
        <w:ind w:left="432" w:hanging="432"/>
      </w:pPr>
    </w:lvl>
    <w:lvl w:ilvl="1" w:tentative="0">
      <w:start w:val="1"/>
      <w:numFmt w:val="decimal"/>
      <w:pStyle w:val="5"/>
      <w:lvlText w:val="%1.%2"/>
      <w:lvlJc w:val="left"/>
      <w:pPr>
        <w:ind w:left="576" w:hanging="576"/>
      </w:pPr>
    </w:lvl>
    <w:lvl w:ilvl="2" w:tentative="0">
      <w:start w:val="1"/>
      <w:numFmt w:val="decimal"/>
      <w:lvlText w:val="%1.%2.%3"/>
      <w:lvlJc w:val="left"/>
      <w:pPr>
        <w:ind w:left="720" w:hanging="720"/>
      </w:pPr>
    </w:lvl>
    <w:lvl w:ilvl="3" w:tentative="0">
      <w:start w:val="1"/>
      <w:numFmt w:val="decimal"/>
      <w:pStyle w:val="7"/>
      <w:lvlText w:val="%1.%2.%3.%4"/>
      <w:lvlJc w:val="left"/>
      <w:pPr>
        <w:ind w:left="864" w:hanging="864"/>
      </w:pPr>
    </w:lvl>
    <w:lvl w:ilvl="4" w:tentative="0">
      <w:start w:val="1"/>
      <w:numFmt w:val="decimal"/>
      <w:pStyle w:val="8"/>
      <w:lvlText w:val="%1.%2.%3.%4.%5"/>
      <w:lvlJc w:val="left"/>
      <w:pPr>
        <w:ind w:left="1008" w:hanging="1008"/>
      </w:pPr>
    </w:lvl>
    <w:lvl w:ilvl="5" w:tentative="0">
      <w:start w:val="1"/>
      <w:numFmt w:val="decimal"/>
      <w:pStyle w:val="9"/>
      <w:lvlText w:val="%1.%2.%3.%4.%5.%6"/>
      <w:lvlJc w:val="left"/>
      <w:pPr>
        <w:ind w:left="1152" w:hanging="1152"/>
      </w:pPr>
    </w:lvl>
    <w:lvl w:ilvl="6" w:tentative="0">
      <w:start w:val="1"/>
      <w:numFmt w:val="decimal"/>
      <w:pStyle w:val="10"/>
      <w:lvlText w:val="%1.%2.%3.%4.%5.%6.%7"/>
      <w:lvlJc w:val="left"/>
      <w:pPr>
        <w:ind w:left="1296" w:hanging="1296"/>
      </w:pPr>
    </w:lvl>
    <w:lvl w:ilvl="7" w:tentative="0">
      <w:start w:val="1"/>
      <w:numFmt w:val="decimal"/>
      <w:pStyle w:val="11"/>
      <w:lvlText w:val="%1.%2.%3.%4.%5.%6.%7.%8"/>
      <w:lvlJc w:val="left"/>
      <w:pPr>
        <w:ind w:left="1440" w:hanging="1440"/>
      </w:pPr>
    </w:lvl>
    <w:lvl w:ilvl="8" w:tentative="0">
      <w:start w:val="1"/>
      <w:numFmt w:val="decimal"/>
      <w:lvlText w:val="%1.%2.%3.%4.%5.%6.%7.%8.%9"/>
      <w:lvlJc w:val="left"/>
      <w:pPr>
        <w:ind w:left="1584" w:hanging="1584"/>
      </w:pPr>
    </w:lvl>
  </w:abstractNum>
  <w:num w:numId="1">
    <w:abstractNumId w:val="6"/>
  </w:num>
  <w:num w:numId="2">
    <w:abstractNumId w:val="3"/>
  </w:num>
  <w:num w:numId="3">
    <w:abstractNumId w:val="4"/>
  </w:num>
  <w:num w:numId="4">
    <w:abstractNumId w:val="1"/>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19"/>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3OThjNWQ2MmFkOWM5MGI4ZmNjM2NlYjUxYTJmYmEifQ=="/>
  </w:docVars>
  <w:rsids>
    <w:rsidRoot w:val="00172A27"/>
    <w:rsid w:val="00000BEE"/>
    <w:rsid w:val="00002557"/>
    <w:rsid w:val="000041FA"/>
    <w:rsid w:val="00012529"/>
    <w:rsid w:val="0001336B"/>
    <w:rsid w:val="00015865"/>
    <w:rsid w:val="00021512"/>
    <w:rsid w:val="0002467A"/>
    <w:rsid w:val="00025ADC"/>
    <w:rsid w:val="00037F8D"/>
    <w:rsid w:val="00051F9D"/>
    <w:rsid w:val="00060D81"/>
    <w:rsid w:val="0006657A"/>
    <w:rsid w:val="0007489E"/>
    <w:rsid w:val="00076C8B"/>
    <w:rsid w:val="00082C6D"/>
    <w:rsid w:val="000843A5"/>
    <w:rsid w:val="000862E9"/>
    <w:rsid w:val="000877A6"/>
    <w:rsid w:val="00092116"/>
    <w:rsid w:val="000973F4"/>
    <w:rsid w:val="000A772D"/>
    <w:rsid w:val="000B09C1"/>
    <w:rsid w:val="000B2547"/>
    <w:rsid w:val="000B6F12"/>
    <w:rsid w:val="000B7FC6"/>
    <w:rsid w:val="000C58DD"/>
    <w:rsid w:val="000C63E3"/>
    <w:rsid w:val="000E3A4D"/>
    <w:rsid w:val="000E3C31"/>
    <w:rsid w:val="000E7490"/>
    <w:rsid w:val="000F10DD"/>
    <w:rsid w:val="000F6632"/>
    <w:rsid w:val="00103047"/>
    <w:rsid w:val="00103558"/>
    <w:rsid w:val="00111636"/>
    <w:rsid w:val="00111DA9"/>
    <w:rsid w:val="00113562"/>
    <w:rsid w:val="00114E90"/>
    <w:rsid w:val="00115B57"/>
    <w:rsid w:val="00115F39"/>
    <w:rsid w:val="0012317B"/>
    <w:rsid w:val="001279A6"/>
    <w:rsid w:val="00134C81"/>
    <w:rsid w:val="00140966"/>
    <w:rsid w:val="0014477E"/>
    <w:rsid w:val="0014646B"/>
    <w:rsid w:val="001506D3"/>
    <w:rsid w:val="00151BCD"/>
    <w:rsid w:val="0016022E"/>
    <w:rsid w:val="001637BB"/>
    <w:rsid w:val="001665A2"/>
    <w:rsid w:val="00172A27"/>
    <w:rsid w:val="0018274C"/>
    <w:rsid w:val="00183A8D"/>
    <w:rsid w:val="001841BA"/>
    <w:rsid w:val="00191D5D"/>
    <w:rsid w:val="001945AC"/>
    <w:rsid w:val="001958F1"/>
    <w:rsid w:val="00197DD2"/>
    <w:rsid w:val="001A40BD"/>
    <w:rsid w:val="001A702C"/>
    <w:rsid w:val="001B2D1B"/>
    <w:rsid w:val="001B75F2"/>
    <w:rsid w:val="001C01A1"/>
    <w:rsid w:val="001C70B9"/>
    <w:rsid w:val="001D6011"/>
    <w:rsid w:val="001E02DE"/>
    <w:rsid w:val="001E4DA8"/>
    <w:rsid w:val="001F0A57"/>
    <w:rsid w:val="00203464"/>
    <w:rsid w:val="00205D88"/>
    <w:rsid w:val="002117A7"/>
    <w:rsid w:val="0021350C"/>
    <w:rsid w:val="0022226A"/>
    <w:rsid w:val="0022522D"/>
    <w:rsid w:val="00231623"/>
    <w:rsid w:val="00235D1F"/>
    <w:rsid w:val="0024240E"/>
    <w:rsid w:val="00242C52"/>
    <w:rsid w:val="0024533D"/>
    <w:rsid w:val="00247343"/>
    <w:rsid w:val="0024776B"/>
    <w:rsid w:val="002539CE"/>
    <w:rsid w:val="00255312"/>
    <w:rsid w:val="00256E34"/>
    <w:rsid w:val="00262011"/>
    <w:rsid w:val="00263B70"/>
    <w:rsid w:val="00275E1F"/>
    <w:rsid w:val="00276F79"/>
    <w:rsid w:val="00283490"/>
    <w:rsid w:val="002914A8"/>
    <w:rsid w:val="00292806"/>
    <w:rsid w:val="002A3851"/>
    <w:rsid w:val="002A41BF"/>
    <w:rsid w:val="002B405A"/>
    <w:rsid w:val="002B4CB5"/>
    <w:rsid w:val="002B547E"/>
    <w:rsid w:val="002C1A1E"/>
    <w:rsid w:val="002C2708"/>
    <w:rsid w:val="002C51CD"/>
    <w:rsid w:val="002C6369"/>
    <w:rsid w:val="002D4A08"/>
    <w:rsid w:val="002D6E7D"/>
    <w:rsid w:val="002E10EE"/>
    <w:rsid w:val="002E1EE8"/>
    <w:rsid w:val="002F7653"/>
    <w:rsid w:val="00305A74"/>
    <w:rsid w:val="00310D99"/>
    <w:rsid w:val="00315146"/>
    <w:rsid w:val="00320DD9"/>
    <w:rsid w:val="003259F6"/>
    <w:rsid w:val="00330E7F"/>
    <w:rsid w:val="00334DB1"/>
    <w:rsid w:val="003367A8"/>
    <w:rsid w:val="00342F29"/>
    <w:rsid w:val="003461BA"/>
    <w:rsid w:val="00352492"/>
    <w:rsid w:val="003557F0"/>
    <w:rsid w:val="00364469"/>
    <w:rsid w:val="00366059"/>
    <w:rsid w:val="00381BDA"/>
    <w:rsid w:val="00390F3C"/>
    <w:rsid w:val="0039469F"/>
    <w:rsid w:val="00394A6C"/>
    <w:rsid w:val="00395E1B"/>
    <w:rsid w:val="00397B37"/>
    <w:rsid w:val="003A12DE"/>
    <w:rsid w:val="003A6F73"/>
    <w:rsid w:val="003B1301"/>
    <w:rsid w:val="003C2710"/>
    <w:rsid w:val="003C39AE"/>
    <w:rsid w:val="003D1875"/>
    <w:rsid w:val="003D2F4D"/>
    <w:rsid w:val="003D3960"/>
    <w:rsid w:val="003D6656"/>
    <w:rsid w:val="003F2EA1"/>
    <w:rsid w:val="003F7C01"/>
    <w:rsid w:val="00400177"/>
    <w:rsid w:val="00405787"/>
    <w:rsid w:val="00410127"/>
    <w:rsid w:val="00422278"/>
    <w:rsid w:val="004260FD"/>
    <w:rsid w:val="0042686E"/>
    <w:rsid w:val="00442F69"/>
    <w:rsid w:val="00443DCC"/>
    <w:rsid w:val="00450785"/>
    <w:rsid w:val="00450F7B"/>
    <w:rsid w:val="004510D2"/>
    <w:rsid w:val="00453F78"/>
    <w:rsid w:val="00456D2B"/>
    <w:rsid w:val="0046071E"/>
    <w:rsid w:val="0046735C"/>
    <w:rsid w:val="0046742A"/>
    <w:rsid w:val="00470FFB"/>
    <w:rsid w:val="004717F4"/>
    <w:rsid w:val="0047260F"/>
    <w:rsid w:val="00472B8A"/>
    <w:rsid w:val="00477CAE"/>
    <w:rsid w:val="004A00EA"/>
    <w:rsid w:val="004A1FE2"/>
    <w:rsid w:val="004A2598"/>
    <w:rsid w:val="004A6765"/>
    <w:rsid w:val="004A730F"/>
    <w:rsid w:val="004B4602"/>
    <w:rsid w:val="004B4F5A"/>
    <w:rsid w:val="004C3466"/>
    <w:rsid w:val="004C61FE"/>
    <w:rsid w:val="004D3C97"/>
    <w:rsid w:val="004D6265"/>
    <w:rsid w:val="004D72B0"/>
    <w:rsid w:val="004E182A"/>
    <w:rsid w:val="004E31D2"/>
    <w:rsid w:val="004E5DCF"/>
    <w:rsid w:val="004F59AE"/>
    <w:rsid w:val="004F60A9"/>
    <w:rsid w:val="0051350E"/>
    <w:rsid w:val="005135A0"/>
    <w:rsid w:val="00516671"/>
    <w:rsid w:val="00524FAE"/>
    <w:rsid w:val="0054117C"/>
    <w:rsid w:val="005426EA"/>
    <w:rsid w:val="005527BB"/>
    <w:rsid w:val="00552F1F"/>
    <w:rsid w:val="00553C5F"/>
    <w:rsid w:val="00557209"/>
    <w:rsid w:val="0056303F"/>
    <w:rsid w:val="0056402D"/>
    <w:rsid w:val="005649ED"/>
    <w:rsid w:val="005665C9"/>
    <w:rsid w:val="005667D6"/>
    <w:rsid w:val="00570CBC"/>
    <w:rsid w:val="005728F0"/>
    <w:rsid w:val="005732D9"/>
    <w:rsid w:val="0057381A"/>
    <w:rsid w:val="0057558F"/>
    <w:rsid w:val="0058269D"/>
    <w:rsid w:val="00591A25"/>
    <w:rsid w:val="00592894"/>
    <w:rsid w:val="0059669E"/>
    <w:rsid w:val="005A5733"/>
    <w:rsid w:val="005A6D4E"/>
    <w:rsid w:val="005A7F14"/>
    <w:rsid w:val="005B2A1E"/>
    <w:rsid w:val="005B3A5E"/>
    <w:rsid w:val="005B5642"/>
    <w:rsid w:val="005B61BB"/>
    <w:rsid w:val="005C03E4"/>
    <w:rsid w:val="005C3842"/>
    <w:rsid w:val="005D374C"/>
    <w:rsid w:val="005D7824"/>
    <w:rsid w:val="005E05F4"/>
    <w:rsid w:val="005E16D9"/>
    <w:rsid w:val="005E1977"/>
    <w:rsid w:val="005E6393"/>
    <w:rsid w:val="005F1171"/>
    <w:rsid w:val="005F4DA3"/>
    <w:rsid w:val="005F5066"/>
    <w:rsid w:val="00601B50"/>
    <w:rsid w:val="0061291F"/>
    <w:rsid w:val="006130BC"/>
    <w:rsid w:val="00621C71"/>
    <w:rsid w:val="006240C3"/>
    <w:rsid w:val="00624DAA"/>
    <w:rsid w:val="0064349A"/>
    <w:rsid w:val="00647EE5"/>
    <w:rsid w:val="00650183"/>
    <w:rsid w:val="00655568"/>
    <w:rsid w:val="00655B5F"/>
    <w:rsid w:val="00662172"/>
    <w:rsid w:val="006651F3"/>
    <w:rsid w:val="0066526C"/>
    <w:rsid w:val="00667EAD"/>
    <w:rsid w:val="00670EB4"/>
    <w:rsid w:val="006732B4"/>
    <w:rsid w:val="00673968"/>
    <w:rsid w:val="0067645D"/>
    <w:rsid w:val="0068614D"/>
    <w:rsid w:val="00690E6D"/>
    <w:rsid w:val="00694CD0"/>
    <w:rsid w:val="00696D7A"/>
    <w:rsid w:val="006A20D4"/>
    <w:rsid w:val="006A280B"/>
    <w:rsid w:val="006A7A42"/>
    <w:rsid w:val="006B4D68"/>
    <w:rsid w:val="006C18D1"/>
    <w:rsid w:val="006C20EC"/>
    <w:rsid w:val="006C648F"/>
    <w:rsid w:val="006C7F34"/>
    <w:rsid w:val="006D0776"/>
    <w:rsid w:val="006E6B78"/>
    <w:rsid w:val="006F0727"/>
    <w:rsid w:val="006F430F"/>
    <w:rsid w:val="006F7C4E"/>
    <w:rsid w:val="00711323"/>
    <w:rsid w:val="007114D6"/>
    <w:rsid w:val="00713B4A"/>
    <w:rsid w:val="007162FE"/>
    <w:rsid w:val="00727F0D"/>
    <w:rsid w:val="00730F84"/>
    <w:rsid w:val="00732AFD"/>
    <w:rsid w:val="00734948"/>
    <w:rsid w:val="00740464"/>
    <w:rsid w:val="007411F2"/>
    <w:rsid w:val="0074593D"/>
    <w:rsid w:val="0074709C"/>
    <w:rsid w:val="00752287"/>
    <w:rsid w:val="00752BF4"/>
    <w:rsid w:val="00761FC1"/>
    <w:rsid w:val="00764E6A"/>
    <w:rsid w:val="00772B2B"/>
    <w:rsid w:val="007846E7"/>
    <w:rsid w:val="0079132D"/>
    <w:rsid w:val="00792256"/>
    <w:rsid w:val="00793830"/>
    <w:rsid w:val="007A1D06"/>
    <w:rsid w:val="007A48D3"/>
    <w:rsid w:val="007B0CC5"/>
    <w:rsid w:val="007B0CEA"/>
    <w:rsid w:val="007B18AD"/>
    <w:rsid w:val="007C6593"/>
    <w:rsid w:val="007D5A88"/>
    <w:rsid w:val="007D5F5C"/>
    <w:rsid w:val="007E178D"/>
    <w:rsid w:val="007E32C7"/>
    <w:rsid w:val="007F0871"/>
    <w:rsid w:val="007F677D"/>
    <w:rsid w:val="007F698B"/>
    <w:rsid w:val="008005B1"/>
    <w:rsid w:val="0080175C"/>
    <w:rsid w:val="00806F66"/>
    <w:rsid w:val="008138E8"/>
    <w:rsid w:val="00816377"/>
    <w:rsid w:val="00816A4D"/>
    <w:rsid w:val="00817145"/>
    <w:rsid w:val="008440A4"/>
    <w:rsid w:val="008518A7"/>
    <w:rsid w:val="00864E01"/>
    <w:rsid w:val="00876B33"/>
    <w:rsid w:val="00886457"/>
    <w:rsid w:val="008900CD"/>
    <w:rsid w:val="008938D0"/>
    <w:rsid w:val="00897A7D"/>
    <w:rsid w:val="008A40F6"/>
    <w:rsid w:val="008A7067"/>
    <w:rsid w:val="008B38B4"/>
    <w:rsid w:val="008B51F6"/>
    <w:rsid w:val="008B7B49"/>
    <w:rsid w:val="008D4B96"/>
    <w:rsid w:val="008D6DDD"/>
    <w:rsid w:val="008E5995"/>
    <w:rsid w:val="008F7C0F"/>
    <w:rsid w:val="00903F93"/>
    <w:rsid w:val="0090562E"/>
    <w:rsid w:val="009058EB"/>
    <w:rsid w:val="009114FA"/>
    <w:rsid w:val="009125D6"/>
    <w:rsid w:val="00912A6C"/>
    <w:rsid w:val="00915028"/>
    <w:rsid w:val="009158C8"/>
    <w:rsid w:val="00917843"/>
    <w:rsid w:val="00920CEC"/>
    <w:rsid w:val="00924618"/>
    <w:rsid w:val="00937FA6"/>
    <w:rsid w:val="00940978"/>
    <w:rsid w:val="00940B38"/>
    <w:rsid w:val="0094239B"/>
    <w:rsid w:val="00944D12"/>
    <w:rsid w:val="009530F5"/>
    <w:rsid w:val="00953957"/>
    <w:rsid w:val="0096246D"/>
    <w:rsid w:val="00970F77"/>
    <w:rsid w:val="00971517"/>
    <w:rsid w:val="0097767F"/>
    <w:rsid w:val="009830A4"/>
    <w:rsid w:val="009869B1"/>
    <w:rsid w:val="00996FE4"/>
    <w:rsid w:val="009A3E25"/>
    <w:rsid w:val="009A7205"/>
    <w:rsid w:val="009B04B3"/>
    <w:rsid w:val="009B0B9C"/>
    <w:rsid w:val="009B145A"/>
    <w:rsid w:val="009B2E16"/>
    <w:rsid w:val="009C681C"/>
    <w:rsid w:val="009E2B9C"/>
    <w:rsid w:val="009F2824"/>
    <w:rsid w:val="009F32C3"/>
    <w:rsid w:val="009F4352"/>
    <w:rsid w:val="009F7012"/>
    <w:rsid w:val="009F7596"/>
    <w:rsid w:val="00A02704"/>
    <w:rsid w:val="00A036DC"/>
    <w:rsid w:val="00A05171"/>
    <w:rsid w:val="00A05874"/>
    <w:rsid w:val="00A10FDD"/>
    <w:rsid w:val="00A17A1F"/>
    <w:rsid w:val="00A30E6D"/>
    <w:rsid w:val="00A3490F"/>
    <w:rsid w:val="00A4406A"/>
    <w:rsid w:val="00A44437"/>
    <w:rsid w:val="00A44B96"/>
    <w:rsid w:val="00A46C3D"/>
    <w:rsid w:val="00A516D4"/>
    <w:rsid w:val="00A51F0A"/>
    <w:rsid w:val="00A52B0D"/>
    <w:rsid w:val="00A64C35"/>
    <w:rsid w:val="00A7503E"/>
    <w:rsid w:val="00A815A3"/>
    <w:rsid w:val="00A82A5F"/>
    <w:rsid w:val="00A8780E"/>
    <w:rsid w:val="00A92C72"/>
    <w:rsid w:val="00A92FE5"/>
    <w:rsid w:val="00AA2C87"/>
    <w:rsid w:val="00AA3D15"/>
    <w:rsid w:val="00AA7D80"/>
    <w:rsid w:val="00AB26BD"/>
    <w:rsid w:val="00AB2E6B"/>
    <w:rsid w:val="00AB34DE"/>
    <w:rsid w:val="00AB6304"/>
    <w:rsid w:val="00AB7C8F"/>
    <w:rsid w:val="00AC4D00"/>
    <w:rsid w:val="00AD128F"/>
    <w:rsid w:val="00AE69B5"/>
    <w:rsid w:val="00AF0108"/>
    <w:rsid w:val="00AF265B"/>
    <w:rsid w:val="00B049FD"/>
    <w:rsid w:val="00B04F0A"/>
    <w:rsid w:val="00B069EB"/>
    <w:rsid w:val="00B07DAB"/>
    <w:rsid w:val="00B15509"/>
    <w:rsid w:val="00B16D45"/>
    <w:rsid w:val="00B17645"/>
    <w:rsid w:val="00B27B70"/>
    <w:rsid w:val="00B40542"/>
    <w:rsid w:val="00B414B2"/>
    <w:rsid w:val="00B418A3"/>
    <w:rsid w:val="00B4324B"/>
    <w:rsid w:val="00B43457"/>
    <w:rsid w:val="00B43BAB"/>
    <w:rsid w:val="00B46459"/>
    <w:rsid w:val="00B62796"/>
    <w:rsid w:val="00B653E9"/>
    <w:rsid w:val="00B75F36"/>
    <w:rsid w:val="00B80097"/>
    <w:rsid w:val="00B865E1"/>
    <w:rsid w:val="00B96F16"/>
    <w:rsid w:val="00BA1231"/>
    <w:rsid w:val="00BA4D3E"/>
    <w:rsid w:val="00BA5901"/>
    <w:rsid w:val="00BB1AB5"/>
    <w:rsid w:val="00BB1AC6"/>
    <w:rsid w:val="00BB2202"/>
    <w:rsid w:val="00BB2947"/>
    <w:rsid w:val="00BC13F4"/>
    <w:rsid w:val="00BC151D"/>
    <w:rsid w:val="00BC6F10"/>
    <w:rsid w:val="00BD35E8"/>
    <w:rsid w:val="00BD5A46"/>
    <w:rsid w:val="00C02FE9"/>
    <w:rsid w:val="00C0340F"/>
    <w:rsid w:val="00C146C7"/>
    <w:rsid w:val="00C17669"/>
    <w:rsid w:val="00C17966"/>
    <w:rsid w:val="00C223F4"/>
    <w:rsid w:val="00C328E4"/>
    <w:rsid w:val="00C33D78"/>
    <w:rsid w:val="00C41204"/>
    <w:rsid w:val="00C46B81"/>
    <w:rsid w:val="00C47D25"/>
    <w:rsid w:val="00C5271B"/>
    <w:rsid w:val="00C56B7C"/>
    <w:rsid w:val="00C7247B"/>
    <w:rsid w:val="00C773D0"/>
    <w:rsid w:val="00C822F0"/>
    <w:rsid w:val="00C86310"/>
    <w:rsid w:val="00C94D0F"/>
    <w:rsid w:val="00C963A3"/>
    <w:rsid w:val="00C97ECD"/>
    <w:rsid w:val="00CB018B"/>
    <w:rsid w:val="00CB341A"/>
    <w:rsid w:val="00CB52B2"/>
    <w:rsid w:val="00CD6F2D"/>
    <w:rsid w:val="00CE2774"/>
    <w:rsid w:val="00CE2A63"/>
    <w:rsid w:val="00CE5A78"/>
    <w:rsid w:val="00CE5FDF"/>
    <w:rsid w:val="00CE6603"/>
    <w:rsid w:val="00CF71FB"/>
    <w:rsid w:val="00D02899"/>
    <w:rsid w:val="00D04852"/>
    <w:rsid w:val="00D075E7"/>
    <w:rsid w:val="00D109A7"/>
    <w:rsid w:val="00D16318"/>
    <w:rsid w:val="00D171D1"/>
    <w:rsid w:val="00D231D7"/>
    <w:rsid w:val="00D233C6"/>
    <w:rsid w:val="00D2498A"/>
    <w:rsid w:val="00D34D30"/>
    <w:rsid w:val="00D40129"/>
    <w:rsid w:val="00D421BA"/>
    <w:rsid w:val="00D442B8"/>
    <w:rsid w:val="00D6272F"/>
    <w:rsid w:val="00D63EA0"/>
    <w:rsid w:val="00D66BCF"/>
    <w:rsid w:val="00D67BB8"/>
    <w:rsid w:val="00D72960"/>
    <w:rsid w:val="00D77F09"/>
    <w:rsid w:val="00D809C9"/>
    <w:rsid w:val="00D923A4"/>
    <w:rsid w:val="00D92B9B"/>
    <w:rsid w:val="00D93F12"/>
    <w:rsid w:val="00DA02C8"/>
    <w:rsid w:val="00DA4292"/>
    <w:rsid w:val="00DA76EE"/>
    <w:rsid w:val="00DB291D"/>
    <w:rsid w:val="00DB5E39"/>
    <w:rsid w:val="00DC4371"/>
    <w:rsid w:val="00DC61BE"/>
    <w:rsid w:val="00DC6F1C"/>
    <w:rsid w:val="00DC73AB"/>
    <w:rsid w:val="00DD1028"/>
    <w:rsid w:val="00DD1390"/>
    <w:rsid w:val="00DD6FAD"/>
    <w:rsid w:val="00DE6134"/>
    <w:rsid w:val="00DE7162"/>
    <w:rsid w:val="00DF291B"/>
    <w:rsid w:val="00DF2CB8"/>
    <w:rsid w:val="00DF5668"/>
    <w:rsid w:val="00DF7884"/>
    <w:rsid w:val="00DF7E01"/>
    <w:rsid w:val="00E031B4"/>
    <w:rsid w:val="00E03668"/>
    <w:rsid w:val="00E208A2"/>
    <w:rsid w:val="00E23D7A"/>
    <w:rsid w:val="00E26365"/>
    <w:rsid w:val="00E30B45"/>
    <w:rsid w:val="00E30FE0"/>
    <w:rsid w:val="00E34C56"/>
    <w:rsid w:val="00E37569"/>
    <w:rsid w:val="00E4592C"/>
    <w:rsid w:val="00E47B9E"/>
    <w:rsid w:val="00E617A8"/>
    <w:rsid w:val="00E6248D"/>
    <w:rsid w:val="00E637EA"/>
    <w:rsid w:val="00E63868"/>
    <w:rsid w:val="00E70F2B"/>
    <w:rsid w:val="00E733C1"/>
    <w:rsid w:val="00E75D96"/>
    <w:rsid w:val="00E77C81"/>
    <w:rsid w:val="00E915B0"/>
    <w:rsid w:val="00E93BA4"/>
    <w:rsid w:val="00E94CB3"/>
    <w:rsid w:val="00E96F62"/>
    <w:rsid w:val="00EA0515"/>
    <w:rsid w:val="00EA2CB7"/>
    <w:rsid w:val="00EA5706"/>
    <w:rsid w:val="00EC1258"/>
    <w:rsid w:val="00EC22EE"/>
    <w:rsid w:val="00EC4518"/>
    <w:rsid w:val="00EC6FB9"/>
    <w:rsid w:val="00EC75A4"/>
    <w:rsid w:val="00ED35B6"/>
    <w:rsid w:val="00ED69B8"/>
    <w:rsid w:val="00EE0CA9"/>
    <w:rsid w:val="00EE25F2"/>
    <w:rsid w:val="00EE6D93"/>
    <w:rsid w:val="00EE7D61"/>
    <w:rsid w:val="00EF0011"/>
    <w:rsid w:val="00EF64C4"/>
    <w:rsid w:val="00F022FA"/>
    <w:rsid w:val="00F10EDE"/>
    <w:rsid w:val="00F135DD"/>
    <w:rsid w:val="00F13AB4"/>
    <w:rsid w:val="00F1788B"/>
    <w:rsid w:val="00F20ACC"/>
    <w:rsid w:val="00F2164D"/>
    <w:rsid w:val="00F279DF"/>
    <w:rsid w:val="00F31958"/>
    <w:rsid w:val="00F408C9"/>
    <w:rsid w:val="00F42B38"/>
    <w:rsid w:val="00F44B25"/>
    <w:rsid w:val="00F5501C"/>
    <w:rsid w:val="00F7093B"/>
    <w:rsid w:val="00F77DDB"/>
    <w:rsid w:val="00F8058A"/>
    <w:rsid w:val="00F8482E"/>
    <w:rsid w:val="00F878AF"/>
    <w:rsid w:val="00F93CEA"/>
    <w:rsid w:val="00F95EEF"/>
    <w:rsid w:val="00FA2C41"/>
    <w:rsid w:val="00FA49D0"/>
    <w:rsid w:val="00FA599D"/>
    <w:rsid w:val="00FA7938"/>
    <w:rsid w:val="00FB006A"/>
    <w:rsid w:val="00FB2243"/>
    <w:rsid w:val="00FB38C5"/>
    <w:rsid w:val="00FC5957"/>
    <w:rsid w:val="00FD1411"/>
    <w:rsid w:val="00FD362A"/>
    <w:rsid w:val="00FD588B"/>
    <w:rsid w:val="00FE06B7"/>
    <w:rsid w:val="00FF0160"/>
    <w:rsid w:val="00FF2EA8"/>
    <w:rsid w:val="00FF7450"/>
    <w:rsid w:val="01233A9E"/>
    <w:rsid w:val="01671BDD"/>
    <w:rsid w:val="01A55BBB"/>
    <w:rsid w:val="01B666C0"/>
    <w:rsid w:val="01E81803"/>
    <w:rsid w:val="01F217B3"/>
    <w:rsid w:val="020232D8"/>
    <w:rsid w:val="02170E99"/>
    <w:rsid w:val="03247659"/>
    <w:rsid w:val="034975F5"/>
    <w:rsid w:val="036A1510"/>
    <w:rsid w:val="03791753"/>
    <w:rsid w:val="03A569EC"/>
    <w:rsid w:val="045D0591"/>
    <w:rsid w:val="045F408F"/>
    <w:rsid w:val="04DD3F64"/>
    <w:rsid w:val="04DF4459"/>
    <w:rsid w:val="054D0FC7"/>
    <w:rsid w:val="05853E09"/>
    <w:rsid w:val="05A371CE"/>
    <w:rsid w:val="05DC5C53"/>
    <w:rsid w:val="05DD7716"/>
    <w:rsid w:val="060F2843"/>
    <w:rsid w:val="061C7455"/>
    <w:rsid w:val="06243DB6"/>
    <w:rsid w:val="06255B4D"/>
    <w:rsid w:val="067F27EE"/>
    <w:rsid w:val="068D5D7F"/>
    <w:rsid w:val="06C15725"/>
    <w:rsid w:val="074C3EA8"/>
    <w:rsid w:val="075C3866"/>
    <w:rsid w:val="07A33243"/>
    <w:rsid w:val="07C5140B"/>
    <w:rsid w:val="07E10E96"/>
    <w:rsid w:val="08056749"/>
    <w:rsid w:val="083946CF"/>
    <w:rsid w:val="08704ADA"/>
    <w:rsid w:val="087D767D"/>
    <w:rsid w:val="088840C4"/>
    <w:rsid w:val="08892439"/>
    <w:rsid w:val="08BF48EA"/>
    <w:rsid w:val="08C43471"/>
    <w:rsid w:val="092C37A0"/>
    <w:rsid w:val="096C3B2B"/>
    <w:rsid w:val="09A62F4C"/>
    <w:rsid w:val="09C04B94"/>
    <w:rsid w:val="09E22C94"/>
    <w:rsid w:val="09E87633"/>
    <w:rsid w:val="09FB7366"/>
    <w:rsid w:val="0A22344C"/>
    <w:rsid w:val="0A6E47F8"/>
    <w:rsid w:val="0A6F38B0"/>
    <w:rsid w:val="0A7C5DC6"/>
    <w:rsid w:val="0A8D7AF8"/>
    <w:rsid w:val="0AF92D0E"/>
    <w:rsid w:val="0B176EC4"/>
    <w:rsid w:val="0B303B94"/>
    <w:rsid w:val="0B6B051B"/>
    <w:rsid w:val="0B8611AF"/>
    <w:rsid w:val="0B861A29"/>
    <w:rsid w:val="0B8D0F28"/>
    <w:rsid w:val="0B9671F3"/>
    <w:rsid w:val="0BC814CA"/>
    <w:rsid w:val="0BDD4606"/>
    <w:rsid w:val="0C2F5FAE"/>
    <w:rsid w:val="0C434FF4"/>
    <w:rsid w:val="0C5407F9"/>
    <w:rsid w:val="0C632FA1"/>
    <w:rsid w:val="0CA11C2F"/>
    <w:rsid w:val="0CB21038"/>
    <w:rsid w:val="0CBA26D3"/>
    <w:rsid w:val="0D144C4E"/>
    <w:rsid w:val="0D2A3CBD"/>
    <w:rsid w:val="0D4647DF"/>
    <w:rsid w:val="0D847672"/>
    <w:rsid w:val="0E407A3D"/>
    <w:rsid w:val="0E68154C"/>
    <w:rsid w:val="0E9518A8"/>
    <w:rsid w:val="0EE14EFA"/>
    <w:rsid w:val="0F204303"/>
    <w:rsid w:val="0F5C5428"/>
    <w:rsid w:val="0F7F2AA6"/>
    <w:rsid w:val="0F8A404D"/>
    <w:rsid w:val="0FA97005"/>
    <w:rsid w:val="0FB11072"/>
    <w:rsid w:val="0FC52965"/>
    <w:rsid w:val="0FDF50DA"/>
    <w:rsid w:val="0FE663C2"/>
    <w:rsid w:val="100274B6"/>
    <w:rsid w:val="102C3E72"/>
    <w:rsid w:val="102F7D69"/>
    <w:rsid w:val="104448D7"/>
    <w:rsid w:val="10480E2B"/>
    <w:rsid w:val="10834BBE"/>
    <w:rsid w:val="114113F1"/>
    <w:rsid w:val="118063A3"/>
    <w:rsid w:val="11A03568"/>
    <w:rsid w:val="11C72224"/>
    <w:rsid w:val="11CF4E54"/>
    <w:rsid w:val="11D72467"/>
    <w:rsid w:val="12170AB5"/>
    <w:rsid w:val="124259E9"/>
    <w:rsid w:val="124A417A"/>
    <w:rsid w:val="12B91B6C"/>
    <w:rsid w:val="12CA534A"/>
    <w:rsid w:val="12DD44FB"/>
    <w:rsid w:val="12F928B1"/>
    <w:rsid w:val="13245A02"/>
    <w:rsid w:val="137B4CA1"/>
    <w:rsid w:val="13C209DE"/>
    <w:rsid w:val="13CF132E"/>
    <w:rsid w:val="13E56991"/>
    <w:rsid w:val="13FC61B5"/>
    <w:rsid w:val="13FD69EF"/>
    <w:rsid w:val="14136020"/>
    <w:rsid w:val="14157276"/>
    <w:rsid w:val="141E3986"/>
    <w:rsid w:val="144813FA"/>
    <w:rsid w:val="147E1D54"/>
    <w:rsid w:val="149822D0"/>
    <w:rsid w:val="149A777C"/>
    <w:rsid w:val="14A81788"/>
    <w:rsid w:val="14EB2147"/>
    <w:rsid w:val="15185283"/>
    <w:rsid w:val="1523451C"/>
    <w:rsid w:val="15347BD0"/>
    <w:rsid w:val="155846B8"/>
    <w:rsid w:val="156F39E2"/>
    <w:rsid w:val="1592660F"/>
    <w:rsid w:val="15D20E0E"/>
    <w:rsid w:val="15D97858"/>
    <w:rsid w:val="15FB2082"/>
    <w:rsid w:val="161F06B0"/>
    <w:rsid w:val="163C4F8E"/>
    <w:rsid w:val="163D0D06"/>
    <w:rsid w:val="164A78C0"/>
    <w:rsid w:val="165F1531"/>
    <w:rsid w:val="16944948"/>
    <w:rsid w:val="16C63B2C"/>
    <w:rsid w:val="171A491F"/>
    <w:rsid w:val="175A203A"/>
    <w:rsid w:val="17664FFF"/>
    <w:rsid w:val="17705BF0"/>
    <w:rsid w:val="17BE19D3"/>
    <w:rsid w:val="17EB591A"/>
    <w:rsid w:val="17F05254"/>
    <w:rsid w:val="184B14B9"/>
    <w:rsid w:val="185834B4"/>
    <w:rsid w:val="185A7C04"/>
    <w:rsid w:val="186E51A7"/>
    <w:rsid w:val="18BD3616"/>
    <w:rsid w:val="18D26C8E"/>
    <w:rsid w:val="195E16BF"/>
    <w:rsid w:val="19643F78"/>
    <w:rsid w:val="1A004525"/>
    <w:rsid w:val="1A361A27"/>
    <w:rsid w:val="1A5255B1"/>
    <w:rsid w:val="1A971825"/>
    <w:rsid w:val="1A977FDF"/>
    <w:rsid w:val="1AC11F06"/>
    <w:rsid w:val="1AD5150D"/>
    <w:rsid w:val="1B746F78"/>
    <w:rsid w:val="1B7A20B5"/>
    <w:rsid w:val="1BC670A8"/>
    <w:rsid w:val="1C187253"/>
    <w:rsid w:val="1C3643BA"/>
    <w:rsid w:val="1C390F6B"/>
    <w:rsid w:val="1C4F433B"/>
    <w:rsid w:val="1C961EEA"/>
    <w:rsid w:val="1CA869D9"/>
    <w:rsid w:val="1CE60227"/>
    <w:rsid w:val="1D0704B7"/>
    <w:rsid w:val="1D1207F7"/>
    <w:rsid w:val="1D1C78C7"/>
    <w:rsid w:val="1D320E28"/>
    <w:rsid w:val="1D491D3F"/>
    <w:rsid w:val="1D547061"/>
    <w:rsid w:val="1DD139F4"/>
    <w:rsid w:val="1DE47923"/>
    <w:rsid w:val="1E0F51D8"/>
    <w:rsid w:val="1E4C56AF"/>
    <w:rsid w:val="1EBA7398"/>
    <w:rsid w:val="1EDD7E1F"/>
    <w:rsid w:val="1EE75CB3"/>
    <w:rsid w:val="1F0B00AA"/>
    <w:rsid w:val="1F100DF1"/>
    <w:rsid w:val="1F211790"/>
    <w:rsid w:val="1F225E19"/>
    <w:rsid w:val="1F365434"/>
    <w:rsid w:val="1F3B081D"/>
    <w:rsid w:val="1F7C1794"/>
    <w:rsid w:val="1F8D41A2"/>
    <w:rsid w:val="1FA53B6D"/>
    <w:rsid w:val="1FB22568"/>
    <w:rsid w:val="1FB5190D"/>
    <w:rsid w:val="1FE10954"/>
    <w:rsid w:val="1FEC76D0"/>
    <w:rsid w:val="1FFC631A"/>
    <w:rsid w:val="20436A08"/>
    <w:rsid w:val="205559B8"/>
    <w:rsid w:val="20792220"/>
    <w:rsid w:val="2088133E"/>
    <w:rsid w:val="208F6602"/>
    <w:rsid w:val="20B036D3"/>
    <w:rsid w:val="20CB1746"/>
    <w:rsid w:val="20F94AB9"/>
    <w:rsid w:val="213155FF"/>
    <w:rsid w:val="214779C8"/>
    <w:rsid w:val="2149662E"/>
    <w:rsid w:val="21C41651"/>
    <w:rsid w:val="221A105A"/>
    <w:rsid w:val="22531398"/>
    <w:rsid w:val="227D4399"/>
    <w:rsid w:val="22AB1658"/>
    <w:rsid w:val="22B63C6E"/>
    <w:rsid w:val="22B91715"/>
    <w:rsid w:val="22B9533E"/>
    <w:rsid w:val="22D53AB4"/>
    <w:rsid w:val="22E845A7"/>
    <w:rsid w:val="23112C3C"/>
    <w:rsid w:val="233F30E4"/>
    <w:rsid w:val="23B23ECA"/>
    <w:rsid w:val="23EF5FF7"/>
    <w:rsid w:val="241A0B63"/>
    <w:rsid w:val="24213A59"/>
    <w:rsid w:val="246928EF"/>
    <w:rsid w:val="24A61A00"/>
    <w:rsid w:val="24D00CAF"/>
    <w:rsid w:val="25471C9A"/>
    <w:rsid w:val="259124D5"/>
    <w:rsid w:val="259E3146"/>
    <w:rsid w:val="259F7099"/>
    <w:rsid w:val="25C87B49"/>
    <w:rsid w:val="25F120B1"/>
    <w:rsid w:val="261310D6"/>
    <w:rsid w:val="262B0B7B"/>
    <w:rsid w:val="26703DB5"/>
    <w:rsid w:val="26747E2C"/>
    <w:rsid w:val="269E6495"/>
    <w:rsid w:val="270C5851"/>
    <w:rsid w:val="272829C1"/>
    <w:rsid w:val="27E606F5"/>
    <w:rsid w:val="27FD170F"/>
    <w:rsid w:val="284B3419"/>
    <w:rsid w:val="285A0931"/>
    <w:rsid w:val="287C56BE"/>
    <w:rsid w:val="28D3122F"/>
    <w:rsid w:val="28D831ED"/>
    <w:rsid w:val="28E55011"/>
    <w:rsid w:val="28F10802"/>
    <w:rsid w:val="294C5D90"/>
    <w:rsid w:val="297465DE"/>
    <w:rsid w:val="299C0129"/>
    <w:rsid w:val="29F97C59"/>
    <w:rsid w:val="2A1F6555"/>
    <w:rsid w:val="2AD7589E"/>
    <w:rsid w:val="2AEF3F25"/>
    <w:rsid w:val="2AF53E57"/>
    <w:rsid w:val="2AF7727E"/>
    <w:rsid w:val="2B2B2238"/>
    <w:rsid w:val="2B3109E2"/>
    <w:rsid w:val="2B497112"/>
    <w:rsid w:val="2B4C581C"/>
    <w:rsid w:val="2B7A33AE"/>
    <w:rsid w:val="2B8963F9"/>
    <w:rsid w:val="2BAA0794"/>
    <w:rsid w:val="2BE634D6"/>
    <w:rsid w:val="2BF612E4"/>
    <w:rsid w:val="2C133435"/>
    <w:rsid w:val="2C567FD4"/>
    <w:rsid w:val="2C5724E3"/>
    <w:rsid w:val="2C737CA1"/>
    <w:rsid w:val="2C8E776E"/>
    <w:rsid w:val="2CA97FCB"/>
    <w:rsid w:val="2CC12F38"/>
    <w:rsid w:val="2CC2749A"/>
    <w:rsid w:val="2CDE0824"/>
    <w:rsid w:val="2D3A7513"/>
    <w:rsid w:val="2D4114FA"/>
    <w:rsid w:val="2D4744ED"/>
    <w:rsid w:val="2D5A77C0"/>
    <w:rsid w:val="2D825525"/>
    <w:rsid w:val="2D9B1159"/>
    <w:rsid w:val="2DDA2406"/>
    <w:rsid w:val="2DF95201"/>
    <w:rsid w:val="2E482CFE"/>
    <w:rsid w:val="2E5073D1"/>
    <w:rsid w:val="2E511C48"/>
    <w:rsid w:val="2E6E7857"/>
    <w:rsid w:val="2E8122EE"/>
    <w:rsid w:val="2E8A13DC"/>
    <w:rsid w:val="2EAB3DD0"/>
    <w:rsid w:val="2ED718A0"/>
    <w:rsid w:val="2EEA3285"/>
    <w:rsid w:val="2F283402"/>
    <w:rsid w:val="2F3740ED"/>
    <w:rsid w:val="2F650C5A"/>
    <w:rsid w:val="2F692CFF"/>
    <w:rsid w:val="2F780082"/>
    <w:rsid w:val="2FD879EF"/>
    <w:rsid w:val="2FF45A71"/>
    <w:rsid w:val="2FF53D49"/>
    <w:rsid w:val="30106531"/>
    <w:rsid w:val="301B756B"/>
    <w:rsid w:val="30314FE0"/>
    <w:rsid w:val="304235BD"/>
    <w:rsid w:val="30A93918"/>
    <w:rsid w:val="30AD682C"/>
    <w:rsid w:val="30FD1551"/>
    <w:rsid w:val="31B03ADE"/>
    <w:rsid w:val="31CC4CF4"/>
    <w:rsid w:val="31DB7A6E"/>
    <w:rsid w:val="320F30FF"/>
    <w:rsid w:val="32174D36"/>
    <w:rsid w:val="3227669B"/>
    <w:rsid w:val="322F72FD"/>
    <w:rsid w:val="324043DE"/>
    <w:rsid w:val="32981347"/>
    <w:rsid w:val="32A63DD9"/>
    <w:rsid w:val="32A93554"/>
    <w:rsid w:val="32F43276"/>
    <w:rsid w:val="3345065B"/>
    <w:rsid w:val="336213E6"/>
    <w:rsid w:val="336230D7"/>
    <w:rsid w:val="33DA21A2"/>
    <w:rsid w:val="33DC39D1"/>
    <w:rsid w:val="33E5569C"/>
    <w:rsid w:val="33F44659"/>
    <w:rsid w:val="34060532"/>
    <w:rsid w:val="34586FDF"/>
    <w:rsid w:val="34775183"/>
    <w:rsid w:val="3480668F"/>
    <w:rsid w:val="34D00597"/>
    <w:rsid w:val="34FC64FF"/>
    <w:rsid w:val="35156C7E"/>
    <w:rsid w:val="353115DE"/>
    <w:rsid w:val="35311B9C"/>
    <w:rsid w:val="354744F6"/>
    <w:rsid w:val="3565562A"/>
    <w:rsid w:val="356B68CB"/>
    <w:rsid w:val="358B0797"/>
    <w:rsid w:val="35FC78A0"/>
    <w:rsid w:val="367C3113"/>
    <w:rsid w:val="36A209E6"/>
    <w:rsid w:val="36CD6735"/>
    <w:rsid w:val="36D91A3A"/>
    <w:rsid w:val="37092813"/>
    <w:rsid w:val="3711180A"/>
    <w:rsid w:val="374101FF"/>
    <w:rsid w:val="375A24B0"/>
    <w:rsid w:val="37735EDE"/>
    <w:rsid w:val="378325C5"/>
    <w:rsid w:val="37AB1B1C"/>
    <w:rsid w:val="37C83693"/>
    <w:rsid w:val="37CA01F4"/>
    <w:rsid w:val="380C333C"/>
    <w:rsid w:val="3821593A"/>
    <w:rsid w:val="38652FC3"/>
    <w:rsid w:val="38C4279D"/>
    <w:rsid w:val="38D3668F"/>
    <w:rsid w:val="38D63468"/>
    <w:rsid w:val="38E91B42"/>
    <w:rsid w:val="39534219"/>
    <w:rsid w:val="39582175"/>
    <w:rsid w:val="3A184B1B"/>
    <w:rsid w:val="3A287454"/>
    <w:rsid w:val="3A2B5216"/>
    <w:rsid w:val="3A2F0841"/>
    <w:rsid w:val="3A683CF4"/>
    <w:rsid w:val="3A9226A7"/>
    <w:rsid w:val="3AD82C28"/>
    <w:rsid w:val="3B073380"/>
    <w:rsid w:val="3B64626A"/>
    <w:rsid w:val="3B83108D"/>
    <w:rsid w:val="3B83798B"/>
    <w:rsid w:val="3B996796"/>
    <w:rsid w:val="3BE92B6C"/>
    <w:rsid w:val="3C033CD5"/>
    <w:rsid w:val="3C50186D"/>
    <w:rsid w:val="3CAE55D7"/>
    <w:rsid w:val="3CBE7BFC"/>
    <w:rsid w:val="3CC44726"/>
    <w:rsid w:val="3D09356D"/>
    <w:rsid w:val="3D0D7772"/>
    <w:rsid w:val="3D87623F"/>
    <w:rsid w:val="3D8C5F4C"/>
    <w:rsid w:val="3DC96858"/>
    <w:rsid w:val="3E7C38CA"/>
    <w:rsid w:val="3EA177D5"/>
    <w:rsid w:val="3EA9543C"/>
    <w:rsid w:val="3EFB6C19"/>
    <w:rsid w:val="3EFD560F"/>
    <w:rsid w:val="3F3C2E26"/>
    <w:rsid w:val="3F4C53EF"/>
    <w:rsid w:val="3F6B7402"/>
    <w:rsid w:val="3F701207"/>
    <w:rsid w:val="3F7B6278"/>
    <w:rsid w:val="3F8213B4"/>
    <w:rsid w:val="3FCA1921"/>
    <w:rsid w:val="3FCD463E"/>
    <w:rsid w:val="3FD7760C"/>
    <w:rsid w:val="40026051"/>
    <w:rsid w:val="400A7C63"/>
    <w:rsid w:val="40491B16"/>
    <w:rsid w:val="40546CD1"/>
    <w:rsid w:val="4057639D"/>
    <w:rsid w:val="4072249C"/>
    <w:rsid w:val="40984657"/>
    <w:rsid w:val="40AD7BC8"/>
    <w:rsid w:val="40B20949"/>
    <w:rsid w:val="40D93256"/>
    <w:rsid w:val="40E003CE"/>
    <w:rsid w:val="412C5169"/>
    <w:rsid w:val="414D0613"/>
    <w:rsid w:val="416627B9"/>
    <w:rsid w:val="41727324"/>
    <w:rsid w:val="417D20FA"/>
    <w:rsid w:val="418375E2"/>
    <w:rsid w:val="41974694"/>
    <w:rsid w:val="41CB656C"/>
    <w:rsid w:val="41EB55F2"/>
    <w:rsid w:val="41F608EA"/>
    <w:rsid w:val="420305F5"/>
    <w:rsid w:val="42051E29"/>
    <w:rsid w:val="422F56E1"/>
    <w:rsid w:val="42576B28"/>
    <w:rsid w:val="42733236"/>
    <w:rsid w:val="428653FE"/>
    <w:rsid w:val="42A01527"/>
    <w:rsid w:val="42D037E9"/>
    <w:rsid w:val="42E553FB"/>
    <w:rsid w:val="42F75C15"/>
    <w:rsid w:val="437B1ED8"/>
    <w:rsid w:val="4391480B"/>
    <w:rsid w:val="43B1094E"/>
    <w:rsid w:val="43D50165"/>
    <w:rsid w:val="43D62240"/>
    <w:rsid w:val="43DE3DE2"/>
    <w:rsid w:val="4407161E"/>
    <w:rsid w:val="443A04B0"/>
    <w:rsid w:val="445D5B01"/>
    <w:rsid w:val="44AE4524"/>
    <w:rsid w:val="44EE5DB8"/>
    <w:rsid w:val="44FA7C3F"/>
    <w:rsid w:val="45101210"/>
    <w:rsid w:val="451C5E07"/>
    <w:rsid w:val="45617CBE"/>
    <w:rsid w:val="457B2161"/>
    <w:rsid w:val="45B2637D"/>
    <w:rsid w:val="45BC4EF4"/>
    <w:rsid w:val="45FC3543"/>
    <w:rsid w:val="460E39A2"/>
    <w:rsid w:val="4618037D"/>
    <w:rsid w:val="46766F7B"/>
    <w:rsid w:val="46B96A77"/>
    <w:rsid w:val="46D829F1"/>
    <w:rsid w:val="46DE0FA3"/>
    <w:rsid w:val="47080C18"/>
    <w:rsid w:val="470C4CF5"/>
    <w:rsid w:val="47B52ABD"/>
    <w:rsid w:val="481B1DAF"/>
    <w:rsid w:val="485808E7"/>
    <w:rsid w:val="489F6B33"/>
    <w:rsid w:val="48D34A2F"/>
    <w:rsid w:val="48D77916"/>
    <w:rsid w:val="491D5F67"/>
    <w:rsid w:val="49553696"/>
    <w:rsid w:val="498777F6"/>
    <w:rsid w:val="498B355B"/>
    <w:rsid w:val="49D93B4E"/>
    <w:rsid w:val="49D97E23"/>
    <w:rsid w:val="49F2632F"/>
    <w:rsid w:val="4A0F5F3A"/>
    <w:rsid w:val="4A221F20"/>
    <w:rsid w:val="4AD5741C"/>
    <w:rsid w:val="4AE33B04"/>
    <w:rsid w:val="4AF273A5"/>
    <w:rsid w:val="4B484A28"/>
    <w:rsid w:val="4B495030"/>
    <w:rsid w:val="4BD16A6F"/>
    <w:rsid w:val="4C1D78CA"/>
    <w:rsid w:val="4C2061DD"/>
    <w:rsid w:val="4C384445"/>
    <w:rsid w:val="4C8A5D4C"/>
    <w:rsid w:val="4CB132D9"/>
    <w:rsid w:val="4CB53D99"/>
    <w:rsid w:val="4D370F7E"/>
    <w:rsid w:val="4D451A62"/>
    <w:rsid w:val="4D4F0973"/>
    <w:rsid w:val="4DB82445"/>
    <w:rsid w:val="4DDD7737"/>
    <w:rsid w:val="4DFA36A0"/>
    <w:rsid w:val="4E141D71"/>
    <w:rsid w:val="4E265BED"/>
    <w:rsid w:val="4E4A5C71"/>
    <w:rsid w:val="4E901442"/>
    <w:rsid w:val="4EC25548"/>
    <w:rsid w:val="4EDB4CB1"/>
    <w:rsid w:val="4EF43B42"/>
    <w:rsid w:val="4F11472C"/>
    <w:rsid w:val="4F181E62"/>
    <w:rsid w:val="4F436A0B"/>
    <w:rsid w:val="4F5F60B1"/>
    <w:rsid w:val="4FA62E9D"/>
    <w:rsid w:val="4FC01B2A"/>
    <w:rsid w:val="4FD87A55"/>
    <w:rsid w:val="50174CCB"/>
    <w:rsid w:val="50384FA9"/>
    <w:rsid w:val="503C735D"/>
    <w:rsid w:val="504B393E"/>
    <w:rsid w:val="50586EC8"/>
    <w:rsid w:val="509F0DB2"/>
    <w:rsid w:val="51010299"/>
    <w:rsid w:val="515310E8"/>
    <w:rsid w:val="5170016E"/>
    <w:rsid w:val="51A17E59"/>
    <w:rsid w:val="51CF0CB4"/>
    <w:rsid w:val="51E952C3"/>
    <w:rsid w:val="51FB1400"/>
    <w:rsid w:val="521A547C"/>
    <w:rsid w:val="5255385D"/>
    <w:rsid w:val="526A55A6"/>
    <w:rsid w:val="52BE4868"/>
    <w:rsid w:val="53005369"/>
    <w:rsid w:val="531D038F"/>
    <w:rsid w:val="5356533F"/>
    <w:rsid w:val="536A7396"/>
    <w:rsid w:val="536D782E"/>
    <w:rsid w:val="53937294"/>
    <w:rsid w:val="539F20DD"/>
    <w:rsid w:val="54107BDD"/>
    <w:rsid w:val="543F566E"/>
    <w:rsid w:val="54407E57"/>
    <w:rsid w:val="54422A68"/>
    <w:rsid w:val="548117E3"/>
    <w:rsid w:val="548F2152"/>
    <w:rsid w:val="548F464E"/>
    <w:rsid w:val="54DA14DB"/>
    <w:rsid w:val="54F0705B"/>
    <w:rsid w:val="54F93A6F"/>
    <w:rsid w:val="552F6C70"/>
    <w:rsid w:val="55776623"/>
    <w:rsid w:val="559028D4"/>
    <w:rsid w:val="55A40156"/>
    <w:rsid w:val="55A46898"/>
    <w:rsid w:val="55B10D10"/>
    <w:rsid w:val="55B3554B"/>
    <w:rsid w:val="55BA704D"/>
    <w:rsid w:val="55D04BF9"/>
    <w:rsid w:val="563A60ED"/>
    <w:rsid w:val="56513437"/>
    <w:rsid w:val="5681615C"/>
    <w:rsid w:val="56941CA1"/>
    <w:rsid w:val="56EF22C0"/>
    <w:rsid w:val="5726041F"/>
    <w:rsid w:val="57536629"/>
    <w:rsid w:val="578962FF"/>
    <w:rsid w:val="57A94C32"/>
    <w:rsid w:val="57B95737"/>
    <w:rsid w:val="57D008C6"/>
    <w:rsid w:val="58A14202"/>
    <w:rsid w:val="58B3435E"/>
    <w:rsid w:val="58BE2C94"/>
    <w:rsid w:val="590474C6"/>
    <w:rsid w:val="590571CD"/>
    <w:rsid w:val="590B7204"/>
    <w:rsid w:val="59664825"/>
    <w:rsid w:val="59CA7788"/>
    <w:rsid w:val="59E545C2"/>
    <w:rsid w:val="59E62D48"/>
    <w:rsid w:val="5A0C7DA1"/>
    <w:rsid w:val="5A1C1ADD"/>
    <w:rsid w:val="5A5335A1"/>
    <w:rsid w:val="5A6C3DF8"/>
    <w:rsid w:val="5A775CDC"/>
    <w:rsid w:val="5A951B44"/>
    <w:rsid w:val="5AB73B9B"/>
    <w:rsid w:val="5AE862AD"/>
    <w:rsid w:val="5AEB20AC"/>
    <w:rsid w:val="5AF251E8"/>
    <w:rsid w:val="5AF95AB6"/>
    <w:rsid w:val="5B4B6957"/>
    <w:rsid w:val="5B4C4533"/>
    <w:rsid w:val="5B85605C"/>
    <w:rsid w:val="5B865931"/>
    <w:rsid w:val="5BD24B2A"/>
    <w:rsid w:val="5BDB360F"/>
    <w:rsid w:val="5BEB63CA"/>
    <w:rsid w:val="5BEC60DC"/>
    <w:rsid w:val="5C07081F"/>
    <w:rsid w:val="5C3B7F45"/>
    <w:rsid w:val="5C763BF7"/>
    <w:rsid w:val="5CB00EB7"/>
    <w:rsid w:val="5CC8534F"/>
    <w:rsid w:val="5CE943C9"/>
    <w:rsid w:val="5D160AEE"/>
    <w:rsid w:val="5D170120"/>
    <w:rsid w:val="5D177C34"/>
    <w:rsid w:val="5DB7095E"/>
    <w:rsid w:val="5E0D40E7"/>
    <w:rsid w:val="5E374E03"/>
    <w:rsid w:val="5E5C554C"/>
    <w:rsid w:val="5E6F012D"/>
    <w:rsid w:val="5E916AC6"/>
    <w:rsid w:val="5E9614F0"/>
    <w:rsid w:val="5E96232F"/>
    <w:rsid w:val="5F10048A"/>
    <w:rsid w:val="5F3F29C6"/>
    <w:rsid w:val="5F997B4E"/>
    <w:rsid w:val="5F9A6A4E"/>
    <w:rsid w:val="5FD924B2"/>
    <w:rsid w:val="5FDC15A4"/>
    <w:rsid w:val="60007A4B"/>
    <w:rsid w:val="60067C70"/>
    <w:rsid w:val="606D0B9E"/>
    <w:rsid w:val="607D4680"/>
    <w:rsid w:val="6088632C"/>
    <w:rsid w:val="60C018E5"/>
    <w:rsid w:val="60C60281"/>
    <w:rsid w:val="60CE7B5E"/>
    <w:rsid w:val="60DF1D6B"/>
    <w:rsid w:val="60E43825"/>
    <w:rsid w:val="60FB0B6F"/>
    <w:rsid w:val="61721C9C"/>
    <w:rsid w:val="61842EC4"/>
    <w:rsid w:val="61A77BC1"/>
    <w:rsid w:val="61B56DA4"/>
    <w:rsid w:val="61BF3D46"/>
    <w:rsid w:val="625422E5"/>
    <w:rsid w:val="62C7396B"/>
    <w:rsid w:val="62FA5322"/>
    <w:rsid w:val="63575C46"/>
    <w:rsid w:val="63584057"/>
    <w:rsid w:val="635C5E18"/>
    <w:rsid w:val="637328AD"/>
    <w:rsid w:val="63773DE3"/>
    <w:rsid w:val="637C37F5"/>
    <w:rsid w:val="63DE27AE"/>
    <w:rsid w:val="640D23EC"/>
    <w:rsid w:val="645A6478"/>
    <w:rsid w:val="64630F05"/>
    <w:rsid w:val="646E5158"/>
    <w:rsid w:val="64A55079"/>
    <w:rsid w:val="64DC7C04"/>
    <w:rsid w:val="64FD4EB5"/>
    <w:rsid w:val="650F6997"/>
    <w:rsid w:val="653F22F9"/>
    <w:rsid w:val="6544748F"/>
    <w:rsid w:val="6556049D"/>
    <w:rsid w:val="65A20299"/>
    <w:rsid w:val="65EC6B7A"/>
    <w:rsid w:val="660918F9"/>
    <w:rsid w:val="662E5105"/>
    <w:rsid w:val="66395563"/>
    <w:rsid w:val="663D12E2"/>
    <w:rsid w:val="6645612C"/>
    <w:rsid w:val="6654696F"/>
    <w:rsid w:val="667B5625"/>
    <w:rsid w:val="668D2269"/>
    <w:rsid w:val="66B1571E"/>
    <w:rsid w:val="66C60318"/>
    <w:rsid w:val="66D25ECE"/>
    <w:rsid w:val="66D43737"/>
    <w:rsid w:val="66D613A7"/>
    <w:rsid w:val="67126497"/>
    <w:rsid w:val="67310E46"/>
    <w:rsid w:val="673426E5"/>
    <w:rsid w:val="67430B7A"/>
    <w:rsid w:val="679909C4"/>
    <w:rsid w:val="679D34B6"/>
    <w:rsid w:val="67A14064"/>
    <w:rsid w:val="67B0477F"/>
    <w:rsid w:val="67B630F7"/>
    <w:rsid w:val="67D55C78"/>
    <w:rsid w:val="67F71960"/>
    <w:rsid w:val="68232E85"/>
    <w:rsid w:val="68AA7DE7"/>
    <w:rsid w:val="68AB4C28"/>
    <w:rsid w:val="68B35267"/>
    <w:rsid w:val="68BA16F5"/>
    <w:rsid w:val="68F87BFA"/>
    <w:rsid w:val="68FE74B6"/>
    <w:rsid w:val="690B26E8"/>
    <w:rsid w:val="69127467"/>
    <w:rsid w:val="695452C0"/>
    <w:rsid w:val="69763488"/>
    <w:rsid w:val="69842984"/>
    <w:rsid w:val="69945F28"/>
    <w:rsid w:val="699851AD"/>
    <w:rsid w:val="69C744B4"/>
    <w:rsid w:val="69D66B71"/>
    <w:rsid w:val="69DD3507"/>
    <w:rsid w:val="69E22584"/>
    <w:rsid w:val="69E6714A"/>
    <w:rsid w:val="6A070584"/>
    <w:rsid w:val="6A2151A2"/>
    <w:rsid w:val="6A4C1A5C"/>
    <w:rsid w:val="6A7A65E7"/>
    <w:rsid w:val="6AB37DC4"/>
    <w:rsid w:val="6AB73D58"/>
    <w:rsid w:val="6AEC46FA"/>
    <w:rsid w:val="6AEF34F2"/>
    <w:rsid w:val="6B1B5180"/>
    <w:rsid w:val="6B5C6F19"/>
    <w:rsid w:val="6BBD0EFB"/>
    <w:rsid w:val="6BC10D12"/>
    <w:rsid w:val="6BD61E2E"/>
    <w:rsid w:val="6C782A90"/>
    <w:rsid w:val="6C7A3290"/>
    <w:rsid w:val="6CC56BFE"/>
    <w:rsid w:val="6CCF5389"/>
    <w:rsid w:val="6CD31C32"/>
    <w:rsid w:val="6CE60C14"/>
    <w:rsid w:val="6D73789E"/>
    <w:rsid w:val="6D795B3E"/>
    <w:rsid w:val="6DAC1172"/>
    <w:rsid w:val="6DCC3677"/>
    <w:rsid w:val="6DF66946"/>
    <w:rsid w:val="6E397FB2"/>
    <w:rsid w:val="6E600263"/>
    <w:rsid w:val="6EC16EEA"/>
    <w:rsid w:val="6EEA46FD"/>
    <w:rsid w:val="6EFA44A2"/>
    <w:rsid w:val="6F537383"/>
    <w:rsid w:val="6F834965"/>
    <w:rsid w:val="6F857F81"/>
    <w:rsid w:val="6F964B4B"/>
    <w:rsid w:val="6FB42615"/>
    <w:rsid w:val="6FF53255"/>
    <w:rsid w:val="6FFF3E54"/>
    <w:rsid w:val="70195B15"/>
    <w:rsid w:val="70553DF8"/>
    <w:rsid w:val="70727D69"/>
    <w:rsid w:val="708023E0"/>
    <w:rsid w:val="70974410"/>
    <w:rsid w:val="70D72A5F"/>
    <w:rsid w:val="7123505E"/>
    <w:rsid w:val="71836742"/>
    <w:rsid w:val="71883D59"/>
    <w:rsid w:val="71A566B9"/>
    <w:rsid w:val="720F12AB"/>
    <w:rsid w:val="72404633"/>
    <w:rsid w:val="724B478C"/>
    <w:rsid w:val="724B5865"/>
    <w:rsid w:val="734A0E03"/>
    <w:rsid w:val="73514E68"/>
    <w:rsid w:val="7423420D"/>
    <w:rsid w:val="74667702"/>
    <w:rsid w:val="74873851"/>
    <w:rsid w:val="74AC4CC2"/>
    <w:rsid w:val="751853F4"/>
    <w:rsid w:val="75247B86"/>
    <w:rsid w:val="752913AF"/>
    <w:rsid w:val="753C2DFC"/>
    <w:rsid w:val="758331B5"/>
    <w:rsid w:val="75A50641"/>
    <w:rsid w:val="75F93477"/>
    <w:rsid w:val="76027200"/>
    <w:rsid w:val="767B20DE"/>
    <w:rsid w:val="76E467EF"/>
    <w:rsid w:val="77086156"/>
    <w:rsid w:val="770C71DA"/>
    <w:rsid w:val="77147E88"/>
    <w:rsid w:val="773F4EBA"/>
    <w:rsid w:val="774D7768"/>
    <w:rsid w:val="77A46973"/>
    <w:rsid w:val="77CA3CBD"/>
    <w:rsid w:val="7815580B"/>
    <w:rsid w:val="7879089F"/>
    <w:rsid w:val="78845529"/>
    <w:rsid w:val="78C825CC"/>
    <w:rsid w:val="78EE2915"/>
    <w:rsid w:val="79165CF7"/>
    <w:rsid w:val="792F5AC6"/>
    <w:rsid w:val="795C4F18"/>
    <w:rsid w:val="795D3D1D"/>
    <w:rsid w:val="797F5A41"/>
    <w:rsid w:val="79936A79"/>
    <w:rsid w:val="79A40A2C"/>
    <w:rsid w:val="79A80A52"/>
    <w:rsid w:val="79D5010E"/>
    <w:rsid w:val="7A0163C1"/>
    <w:rsid w:val="7A453CB7"/>
    <w:rsid w:val="7A4D17B6"/>
    <w:rsid w:val="7AA66EF0"/>
    <w:rsid w:val="7AC6787E"/>
    <w:rsid w:val="7AD67148"/>
    <w:rsid w:val="7B1E749A"/>
    <w:rsid w:val="7B31720F"/>
    <w:rsid w:val="7B763CB2"/>
    <w:rsid w:val="7B835FAF"/>
    <w:rsid w:val="7B85087D"/>
    <w:rsid w:val="7BA45C33"/>
    <w:rsid w:val="7BC960ED"/>
    <w:rsid w:val="7BEC3033"/>
    <w:rsid w:val="7BFA6FAD"/>
    <w:rsid w:val="7C0B1CAA"/>
    <w:rsid w:val="7C3177C6"/>
    <w:rsid w:val="7C4B60C6"/>
    <w:rsid w:val="7CCB71F0"/>
    <w:rsid w:val="7CCD740C"/>
    <w:rsid w:val="7CE5317F"/>
    <w:rsid w:val="7D126BCC"/>
    <w:rsid w:val="7D137D56"/>
    <w:rsid w:val="7D5244AE"/>
    <w:rsid w:val="7D82402A"/>
    <w:rsid w:val="7D871897"/>
    <w:rsid w:val="7D9F2B56"/>
    <w:rsid w:val="7E215319"/>
    <w:rsid w:val="7E660A01"/>
    <w:rsid w:val="7E6E2528"/>
    <w:rsid w:val="7E8458A8"/>
    <w:rsid w:val="7E872171"/>
    <w:rsid w:val="7ED54355"/>
    <w:rsid w:val="7F1C4507"/>
    <w:rsid w:val="7F2E23FC"/>
    <w:rsid w:val="7F4C286A"/>
    <w:rsid w:val="7F5A38BA"/>
    <w:rsid w:val="7F65061C"/>
    <w:rsid w:val="7F9D30C5"/>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iPriority="99" w:semiHidden="0"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semiHidden="0"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jc w:val="both"/>
    </w:pPr>
    <w:rPr>
      <w:rFonts w:ascii="Calibri" w:hAnsi="Calibri" w:eastAsia="宋体" w:cs="Times New Roman"/>
      <w:kern w:val="2"/>
      <w:sz w:val="21"/>
      <w:szCs w:val="21"/>
      <w:lang w:val="en-US" w:eastAsia="zh-CN" w:bidi="ar-SA"/>
    </w:rPr>
  </w:style>
  <w:style w:type="paragraph" w:styleId="4">
    <w:name w:val="heading 1"/>
    <w:basedOn w:val="1"/>
    <w:next w:val="1"/>
    <w:link w:val="65"/>
    <w:autoRedefine/>
    <w:qFormat/>
    <w:uiPriority w:val="9"/>
    <w:pPr>
      <w:keepNext/>
      <w:keepLines/>
      <w:numPr>
        <w:ilvl w:val="0"/>
        <w:numId w:val="1"/>
      </w:numPr>
      <w:spacing w:line="360" w:lineRule="auto"/>
      <w:ind w:firstLine="0"/>
      <w:jc w:val="left"/>
      <w:outlineLvl w:val="0"/>
    </w:pPr>
    <w:rPr>
      <w:rFonts w:ascii="Times New Roman" w:hAnsi="Times New Roman" w:eastAsia="黑体"/>
      <w:bCs/>
      <w:kern w:val="44"/>
      <w:sz w:val="24"/>
      <w:szCs w:val="44"/>
    </w:rPr>
  </w:style>
  <w:style w:type="paragraph" w:styleId="5">
    <w:name w:val="heading 2"/>
    <w:basedOn w:val="1"/>
    <w:next w:val="1"/>
    <w:link w:val="66"/>
    <w:autoRedefine/>
    <w:qFormat/>
    <w:uiPriority w:val="9"/>
    <w:pPr>
      <w:keepNext/>
      <w:keepLines/>
      <w:numPr>
        <w:ilvl w:val="1"/>
        <w:numId w:val="1"/>
      </w:numPr>
      <w:spacing w:line="360" w:lineRule="auto"/>
      <w:jc w:val="left"/>
      <w:outlineLvl w:val="1"/>
    </w:pPr>
    <w:rPr>
      <w:rFonts w:ascii="Times New Roman" w:hAnsi="Times New Roman" w:eastAsia="黑体"/>
      <w:bCs/>
      <w:kern w:val="0"/>
      <w:sz w:val="24"/>
      <w:szCs w:val="32"/>
    </w:rPr>
  </w:style>
  <w:style w:type="paragraph" w:styleId="6">
    <w:name w:val="heading 3"/>
    <w:basedOn w:val="1"/>
    <w:next w:val="1"/>
    <w:link w:val="67"/>
    <w:autoRedefine/>
    <w:qFormat/>
    <w:uiPriority w:val="9"/>
    <w:pPr>
      <w:keepNext/>
      <w:keepLines/>
      <w:spacing w:line="360" w:lineRule="auto"/>
      <w:ind w:firstLine="420" w:firstLineChars="200"/>
      <w:outlineLvl w:val="2"/>
    </w:pPr>
    <w:rPr>
      <w:rFonts w:ascii="Times New Roman" w:hAnsi="Times New Roman"/>
      <w:bCs/>
      <w:kern w:val="0"/>
    </w:rPr>
  </w:style>
  <w:style w:type="paragraph" w:styleId="7">
    <w:name w:val="heading 4"/>
    <w:basedOn w:val="1"/>
    <w:next w:val="1"/>
    <w:link w:val="68"/>
    <w:autoRedefine/>
    <w:qFormat/>
    <w:uiPriority w:val="9"/>
    <w:pPr>
      <w:keepNext/>
      <w:keepLines/>
      <w:numPr>
        <w:ilvl w:val="3"/>
        <w:numId w:val="1"/>
      </w:numPr>
      <w:spacing w:line="360" w:lineRule="auto"/>
      <w:jc w:val="left"/>
      <w:outlineLvl w:val="3"/>
    </w:pPr>
    <w:rPr>
      <w:rFonts w:ascii="Times New Roman" w:hAnsi="Times New Roman"/>
      <w:bCs/>
      <w:kern w:val="0"/>
      <w:sz w:val="24"/>
      <w:szCs w:val="28"/>
    </w:rPr>
  </w:style>
  <w:style w:type="paragraph" w:styleId="8">
    <w:name w:val="heading 5"/>
    <w:basedOn w:val="1"/>
    <w:next w:val="1"/>
    <w:link w:val="69"/>
    <w:autoRedefine/>
    <w:qFormat/>
    <w:uiPriority w:val="9"/>
    <w:pPr>
      <w:keepNext/>
      <w:keepLines/>
      <w:numPr>
        <w:ilvl w:val="4"/>
        <w:numId w:val="1"/>
      </w:numPr>
      <w:spacing w:before="280" w:after="290" w:line="376" w:lineRule="auto"/>
      <w:outlineLvl w:val="4"/>
    </w:pPr>
    <w:rPr>
      <w:b/>
      <w:bCs/>
      <w:kern w:val="0"/>
      <w:sz w:val="28"/>
      <w:szCs w:val="28"/>
    </w:rPr>
  </w:style>
  <w:style w:type="paragraph" w:styleId="9">
    <w:name w:val="heading 6"/>
    <w:basedOn w:val="1"/>
    <w:next w:val="1"/>
    <w:link w:val="70"/>
    <w:autoRedefine/>
    <w:qFormat/>
    <w:uiPriority w:val="9"/>
    <w:pPr>
      <w:keepNext/>
      <w:keepLines/>
      <w:numPr>
        <w:ilvl w:val="5"/>
        <w:numId w:val="1"/>
      </w:numPr>
      <w:spacing w:before="240" w:after="64" w:line="320" w:lineRule="auto"/>
      <w:outlineLvl w:val="5"/>
    </w:pPr>
    <w:rPr>
      <w:rFonts w:ascii="Cambria" w:hAnsi="Cambria"/>
      <w:b/>
      <w:bCs/>
      <w:kern w:val="0"/>
      <w:sz w:val="24"/>
      <w:szCs w:val="24"/>
    </w:rPr>
  </w:style>
  <w:style w:type="paragraph" w:styleId="10">
    <w:name w:val="heading 7"/>
    <w:basedOn w:val="1"/>
    <w:next w:val="1"/>
    <w:link w:val="71"/>
    <w:autoRedefine/>
    <w:qFormat/>
    <w:uiPriority w:val="9"/>
    <w:pPr>
      <w:keepNext/>
      <w:keepLines/>
      <w:numPr>
        <w:ilvl w:val="6"/>
        <w:numId w:val="1"/>
      </w:numPr>
      <w:spacing w:before="240" w:after="64" w:line="320" w:lineRule="auto"/>
      <w:outlineLvl w:val="6"/>
    </w:pPr>
    <w:rPr>
      <w:b/>
      <w:bCs/>
      <w:kern w:val="0"/>
      <w:sz w:val="24"/>
      <w:szCs w:val="24"/>
    </w:rPr>
  </w:style>
  <w:style w:type="paragraph" w:styleId="11">
    <w:name w:val="heading 8"/>
    <w:basedOn w:val="1"/>
    <w:next w:val="1"/>
    <w:link w:val="72"/>
    <w:autoRedefine/>
    <w:qFormat/>
    <w:uiPriority w:val="9"/>
    <w:pPr>
      <w:keepNext/>
      <w:keepLines/>
      <w:numPr>
        <w:ilvl w:val="7"/>
        <w:numId w:val="1"/>
      </w:numPr>
      <w:spacing w:before="240" w:after="64" w:line="320" w:lineRule="auto"/>
      <w:outlineLvl w:val="7"/>
    </w:pPr>
    <w:rPr>
      <w:rFonts w:ascii="Cambria" w:hAnsi="Cambria"/>
      <w:kern w:val="0"/>
      <w:sz w:val="24"/>
      <w:szCs w:val="24"/>
    </w:rPr>
  </w:style>
  <w:style w:type="paragraph" w:styleId="12">
    <w:name w:val="heading 9"/>
    <w:basedOn w:val="1"/>
    <w:next w:val="1"/>
    <w:link w:val="73"/>
    <w:autoRedefine/>
    <w:qFormat/>
    <w:uiPriority w:val="9"/>
    <w:pPr>
      <w:keepNext/>
      <w:keepLines/>
      <w:spacing w:before="240" w:after="64" w:line="320" w:lineRule="auto"/>
      <w:ind w:left="1584" w:hanging="1584"/>
      <w:outlineLvl w:val="8"/>
    </w:pPr>
    <w:rPr>
      <w:rFonts w:ascii="Cambria" w:hAnsi="Cambria"/>
      <w:kern w:val="0"/>
      <w:sz w:val="20"/>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纯文本1"/>
    <w:basedOn w:val="1"/>
    <w:qFormat/>
    <w:uiPriority w:val="0"/>
    <w:pPr>
      <w:autoSpaceDE w:val="0"/>
      <w:autoSpaceDN w:val="0"/>
      <w:adjustRightInd w:val="0"/>
      <w:textAlignment w:val="baseline"/>
    </w:pPr>
    <w:rPr>
      <w:rFonts w:ascii="宋体"/>
      <w:szCs w:val="20"/>
    </w:rPr>
  </w:style>
  <w:style w:type="paragraph" w:styleId="13">
    <w:name w:val="index 8"/>
    <w:basedOn w:val="1"/>
    <w:next w:val="1"/>
    <w:autoRedefine/>
    <w:qFormat/>
    <w:uiPriority w:val="0"/>
    <w:pPr>
      <w:widowControl w:val="0"/>
      <w:adjustRightInd/>
      <w:snapToGrid/>
      <w:ind w:left="2940"/>
    </w:pPr>
    <w:rPr>
      <w:rFonts w:ascii="Times New Roman" w:hAnsi="Times New Roman"/>
      <w:szCs w:val="20"/>
    </w:rPr>
  </w:style>
  <w:style w:type="paragraph" w:styleId="14">
    <w:name w:val="List Number"/>
    <w:basedOn w:val="15"/>
    <w:autoRedefine/>
    <w:unhideWhenUsed/>
    <w:qFormat/>
    <w:uiPriority w:val="99"/>
    <w:pPr>
      <w:numPr>
        <w:ilvl w:val="0"/>
        <w:numId w:val="2"/>
      </w:numPr>
      <w:spacing w:line="360" w:lineRule="auto"/>
      <w:ind w:firstLine="0" w:firstLineChars="0"/>
    </w:pPr>
    <w:rPr>
      <w:kern w:val="0"/>
      <w:sz w:val="24"/>
      <w:szCs w:val="20"/>
    </w:rPr>
  </w:style>
  <w:style w:type="paragraph" w:styleId="15">
    <w:name w:val="Body Text First Indent"/>
    <w:basedOn w:val="16"/>
    <w:link w:val="123"/>
    <w:autoRedefine/>
    <w:unhideWhenUsed/>
    <w:qFormat/>
    <w:uiPriority w:val="99"/>
    <w:pPr>
      <w:ind w:firstLine="360" w:firstLineChars="200"/>
    </w:pPr>
    <w:rPr>
      <w:rFonts w:ascii="Times New Roman" w:hAnsi="Times New Roman"/>
      <w:color w:val="000000" w:themeColor="text1"/>
      <w:sz w:val="18"/>
      <w:szCs w:val="18"/>
      <w14:textFill>
        <w14:solidFill>
          <w14:schemeClr w14:val="tx1"/>
        </w14:solidFill>
      </w14:textFill>
    </w:rPr>
  </w:style>
  <w:style w:type="paragraph" w:styleId="16">
    <w:name w:val="Body Text"/>
    <w:basedOn w:val="1"/>
    <w:next w:val="17"/>
    <w:link w:val="63"/>
    <w:autoRedefine/>
    <w:unhideWhenUsed/>
    <w:qFormat/>
    <w:uiPriority w:val="99"/>
    <w:pPr>
      <w:spacing w:after="120"/>
    </w:pPr>
  </w:style>
  <w:style w:type="paragraph" w:customStyle="1" w:styleId="17">
    <w:name w:val="xl27"/>
    <w:basedOn w:val="1"/>
    <w:next w:val="18"/>
    <w:qFormat/>
    <w:uiPriority w:val="0"/>
    <w:pPr>
      <w:widowControl/>
      <w:spacing w:before="100" w:beforeAutospacing="1" w:after="100" w:afterAutospacing="1"/>
      <w:jc w:val="center"/>
    </w:pPr>
    <w:rPr>
      <w:rFonts w:ascii="新宋体-18030" w:hAnsi="新宋体-18030" w:eastAsia="新宋体-18030" w:cs="新宋体-18030"/>
      <w:kern w:val="0"/>
    </w:rPr>
  </w:style>
  <w:style w:type="paragraph" w:styleId="18">
    <w:name w:val="Body Text Indent 2"/>
    <w:basedOn w:val="1"/>
    <w:next w:val="1"/>
    <w:link w:val="79"/>
    <w:autoRedefine/>
    <w:qFormat/>
    <w:uiPriority w:val="0"/>
    <w:pPr>
      <w:spacing w:line="360" w:lineRule="auto"/>
      <w:ind w:firstLine="480" w:firstLineChars="200"/>
    </w:pPr>
    <w:rPr>
      <w:sz w:val="24"/>
    </w:rPr>
  </w:style>
  <w:style w:type="paragraph" w:styleId="19">
    <w:name w:val="Normal Indent"/>
    <w:basedOn w:val="1"/>
    <w:next w:val="1"/>
    <w:autoRedefine/>
    <w:qFormat/>
    <w:uiPriority w:val="0"/>
    <w:pPr>
      <w:widowControl w:val="0"/>
      <w:adjustRightInd/>
      <w:snapToGrid/>
      <w:ind w:firstLine="420" w:firstLineChars="200"/>
    </w:pPr>
    <w:rPr>
      <w:rFonts w:ascii="Times New Roman" w:hAnsi="Times New Roman"/>
      <w:sz w:val="20"/>
      <w:szCs w:val="20"/>
    </w:rPr>
  </w:style>
  <w:style w:type="paragraph" w:styleId="20">
    <w:name w:val="caption"/>
    <w:basedOn w:val="1"/>
    <w:next w:val="1"/>
    <w:link w:val="74"/>
    <w:autoRedefine/>
    <w:qFormat/>
    <w:uiPriority w:val="35"/>
    <w:pPr>
      <w:jc w:val="center"/>
    </w:pPr>
    <w:rPr>
      <w:rFonts w:ascii="Times New Roman" w:hAnsi="Times New Roman" w:eastAsia="黑体"/>
      <w:kern w:val="0"/>
      <w:sz w:val="24"/>
      <w:szCs w:val="20"/>
    </w:rPr>
  </w:style>
  <w:style w:type="paragraph" w:styleId="21">
    <w:name w:val="List Bullet"/>
    <w:basedOn w:val="1"/>
    <w:autoRedefine/>
    <w:unhideWhenUsed/>
    <w:qFormat/>
    <w:uiPriority w:val="99"/>
    <w:pPr>
      <w:numPr>
        <w:ilvl w:val="0"/>
        <w:numId w:val="3"/>
      </w:numPr>
      <w:contextualSpacing/>
    </w:pPr>
  </w:style>
  <w:style w:type="paragraph" w:styleId="22">
    <w:name w:val="annotation text"/>
    <w:basedOn w:val="1"/>
    <w:link w:val="76"/>
    <w:autoRedefine/>
    <w:semiHidden/>
    <w:qFormat/>
    <w:uiPriority w:val="0"/>
    <w:pPr>
      <w:jc w:val="left"/>
    </w:pPr>
    <w:rPr>
      <w:kern w:val="0"/>
      <w:sz w:val="24"/>
      <w:szCs w:val="20"/>
    </w:rPr>
  </w:style>
  <w:style w:type="paragraph" w:styleId="23">
    <w:name w:val="Body Text Indent"/>
    <w:basedOn w:val="1"/>
    <w:next w:val="24"/>
    <w:link w:val="61"/>
    <w:autoRedefine/>
    <w:qFormat/>
    <w:uiPriority w:val="0"/>
    <w:pPr>
      <w:spacing w:after="120"/>
      <w:ind w:left="420" w:leftChars="200"/>
    </w:pPr>
    <w:rPr>
      <w:kern w:val="0"/>
      <w:sz w:val="24"/>
      <w:szCs w:val="20"/>
    </w:rPr>
  </w:style>
  <w:style w:type="paragraph" w:customStyle="1" w:styleId="24">
    <w:name w:val="样式 正文文本缩进 + 行距: 1.5 倍行距"/>
    <w:basedOn w:val="23"/>
    <w:qFormat/>
    <w:uiPriority w:val="0"/>
    <w:pPr>
      <w:ind w:left="90" w:leftChars="32" w:firstLine="560" w:firstLineChars="200"/>
    </w:pPr>
    <w:rPr>
      <w:rFonts w:cs="宋体"/>
    </w:rPr>
  </w:style>
  <w:style w:type="paragraph" w:styleId="25">
    <w:name w:val="Plain Text"/>
    <w:basedOn w:val="1"/>
    <w:next w:val="1"/>
    <w:link w:val="142"/>
    <w:autoRedefine/>
    <w:qFormat/>
    <w:uiPriority w:val="0"/>
    <w:pPr>
      <w:widowControl w:val="0"/>
      <w:adjustRightInd/>
      <w:snapToGrid/>
    </w:pPr>
    <w:rPr>
      <w:rFonts w:ascii="宋体" w:hAnsi="Courier New" w:cs="Courier New"/>
      <w:kern w:val="0"/>
      <w:sz w:val="20"/>
    </w:rPr>
  </w:style>
  <w:style w:type="paragraph" w:styleId="26">
    <w:name w:val="List Bullet 5"/>
    <w:basedOn w:val="1"/>
    <w:autoRedefine/>
    <w:semiHidden/>
    <w:unhideWhenUsed/>
    <w:qFormat/>
    <w:uiPriority w:val="99"/>
    <w:pPr>
      <w:numPr>
        <w:ilvl w:val="0"/>
        <w:numId w:val="4"/>
      </w:numPr>
    </w:pPr>
  </w:style>
  <w:style w:type="paragraph" w:styleId="27">
    <w:name w:val="Date"/>
    <w:basedOn w:val="1"/>
    <w:next w:val="1"/>
    <w:link w:val="78"/>
    <w:autoRedefine/>
    <w:qFormat/>
    <w:uiPriority w:val="0"/>
    <w:pPr>
      <w:ind w:left="100" w:leftChars="2500"/>
    </w:pPr>
    <w:rPr>
      <w:kern w:val="0"/>
      <w:sz w:val="24"/>
      <w:szCs w:val="20"/>
    </w:rPr>
  </w:style>
  <w:style w:type="paragraph" w:styleId="28">
    <w:name w:val="Balloon Text"/>
    <w:basedOn w:val="1"/>
    <w:link w:val="81"/>
    <w:autoRedefine/>
    <w:unhideWhenUsed/>
    <w:qFormat/>
    <w:uiPriority w:val="99"/>
    <w:rPr>
      <w:sz w:val="18"/>
      <w:szCs w:val="18"/>
    </w:rPr>
  </w:style>
  <w:style w:type="paragraph" w:styleId="29">
    <w:name w:val="footer"/>
    <w:basedOn w:val="1"/>
    <w:link w:val="48"/>
    <w:autoRedefine/>
    <w:unhideWhenUsed/>
    <w:qFormat/>
    <w:uiPriority w:val="99"/>
    <w:pPr>
      <w:tabs>
        <w:tab w:val="center" w:pos="4153"/>
        <w:tab w:val="right" w:pos="8306"/>
      </w:tabs>
      <w:jc w:val="left"/>
    </w:pPr>
    <w:rPr>
      <w:sz w:val="18"/>
      <w:szCs w:val="18"/>
    </w:rPr>
  </w:style>
  <w:style w:type="paragraph" w:styleId="30">
    <w:name w:val="header"/>
    <w:basedOn w:val="1"/>
    <w:link w:val="47"/>
    <w:autoRedefine/>
    <w:unhideWhenUsed/>
    <w:qFormat/>
    <w:uiPriority w:val="99"/>
    <w:pPr>
      <w:pBdr>
        <w:bottom w:val="single" w:color="auto" w:sz="6" w:space="1"/>
      </w:pBdr>
      <w:tabs>
        <w:tab w:val="center" w:pos="4153"/>
        <w:tab w:val="right" w:pos="8306"/>
      </w:tabs>
      <w:jc w:val="center"/>
    </w:pPr>
    <w:rPr>
      <w:sz w:val="18"/>
      <w:szCs w:val="18"/>
    </w:rPr>
  </w:style>
  <w:style w:type="paragraph" w:styleId="31">
    <w:name w:val="toc 1"/>
    <w:basedOn w:val="1"/>
    <w:next w:val="1"/>
    <w:autoRedefine/>
    <w:semiHidden/>
    <w:unhideWhenUsed/>
    <w:qFormat/>
    <w:uiPriority w:val="39"/>
  </w:style>
  <w:style w:type="paragraph" w:styleId="32">
    <w:name w:val="Subtitle"/>
    <w:basedOn w:val="1"/>
    <w:next w:val="1"/>
    <w:qFormat/>
    <w:uiPriority w:val="0"/>
    <w:pPr>
      <w:spacing w:line="340" w:lineRule="exact"/>
      <w:jc w:val="center"/>
    </w:pPr>
    <w:rPr>
      <w:bCs/>
      <w:kern w:val="28"/>
      <w:szCs w:val="32"/>
    </w:rPr>
  </w:style>
  <w:style w:type="paragraph" w:styleId="33">
    <w:name w:val="List"/>
    <w:basedOn w:val="1"/>
    <w:qFormat/>
    <w:uiPriority w:val="0"/>
    <w:pPr>
      <w:numPr>
        <w:ilvl w:val="0"/>
        <w:numId w:val="5"/>
      </w:numPr>
      <w:tabs>
        <w:tab w:val="left" w:pos="634"/>
        <w:tab w:val="left" w:pos="840"/>
      </w:tabs>
      <w:spacing w:before="50" w:after="50" w:line="360" w:lineRule="auto"/>
    </w:pPr>
    <w:rPr>
      <w:sz w:val="28"/>
      <w:szCs w:val="20"/>
    </w:rPr>
  </w:style>
  <w:style w:type="paragraph" w:styleId="34">
    <w:name w:val="toc 2"/>
    <w:basedOn w:val="1"/>
    <w:next w:val="1"/>
    <w:unhideWhenUsed/>
    <w:qFormat/>
    <w:uiPriority w:val="39"/>
    <w:pPr>
      <w:tabs>
        <w:tab w:val="right" w:leader="dot" w:pos="8949"/>
      </w:tabs>
      <w:ind w:left="420" w:leftChars="200"/>
    </w:pPr>
  </w:style>
  <w:style w:type="paragraph" w:styleId="35">
    <w:name w:val="Normal (Web)"/>
    <w:basedOn w:val="1"/>
    <w:link w:val="84"/>
    <w:autoRedefine/>
    <w:qFormat/>
    <w:uiPriority w:val="0"/>
    <w:pPr>
      <w:spacing w:before="100" w:beforeAutospacing="1" w:after="100" w:afterAutospacing="1"/>
      <w:jc w:val="left"/>
    </w:pPr>
    <w:rPr>
      <w:rFonts w:ascii="宋体" w:hAnsi="宋体"/>
      <w:kern w:val="0"/>
      <w:sz w:val="24"/>
      <w:szCs w:val="20"/>
    </w:rPr>
  </w:style>
  <w:style w:type="paragraph" w:styleId="36">
    <w:name w:val="Title"/>
    <w:basedOn w:val="1"/>
    <w:next w:val="1"/>
    <w:link w:val="86"/>
    <w:autoRedefine/>
    <w:qFormat/>
    <w:uiPriority w:val="0"/>
    <w:pPr>
      <w:spacing w:line="360" w:lineRule="auto"/>
      <w:jc w:val="center"/>
    </w:pPr>
    <w:rPr>
      <w:rFonts w:ascii="Times New Roman" w:hAnsi="Times New Roman" w:eastAsia="华文中宋"/>
      <w:b/>
      <w:bCs/>
      <w:kern w:val="0"/>
      <w:sz w:val="36"/>
      <w:szCs w:val="32"/>
    </w:rPr>
  </w:style>
  <w:style w:type="paragraph" w:styleId="37">
    <w:name w:val="annotation subject"/>
    <w:basedOn w:val="22"/>
    <w:next w:val="22"/>
    <w:link w:val="88"/>
    <w:autoRedefine/>
    <w:semiHidden/>
    <w:qFormat/>
    <w:uiPriority w:val="0"/>
    <w:rPr>
      <w:b/>
    </w:rPr>
  </w:style>
  <w:style w:type="paragraph" w:styleId="38">
    <w:name w:val="Body Text First Indent 2"/>
    <w:basedOn w:val="23"/>
    <w:next w:val="1"/>
    <w:link w:val="122"/>
    <w:autoRedefine/>
    <w:unhideWhenUsed/>
    <w:qFormat/>
    <w:uiPriority w:val="99"/>
    <w:pPr>
      <w:ind w:firstLine="420" w:firstLineChars="200"/>
    </w:pPr>
    <w:rPr>
      <w:kern w:val="2"/>
      <w:sz w:val="21"/>
      <w:szCs w:val="21"/>
    </w:rPr>
  </w:style>
  <w:style w:type="table" w:styleId="40">
    <w:name w:val="Table Grid"/>
    <w:basedOn w:val="39"/>
    <w:autoRedefine/>
    <w:qFormat/>
    <w:uiPriority w:val="59"/>
    <w:pPr>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character" w:styleId="42">
    <w:name w:val="Strong"/>
    <w:autoRedefine/>
    <w:qFormat/>
    <w:uiPriority w:val="0"/>
    <w:rPr>
      <w:b/>
    </w:rPr>
  </w:style>
  <w:style w:type="character" w:styleId="43">
    <w:name w:val="page number"/>
    <w:autoRedefine/>
    <w:unhideWhenUsed/>
    <w:qFormat/>
    <w:uiPriority w:val="99"/>
    <w:rPr>
      <w:rFonts w:ascii="Times New Roman" w:hAnsi="Times New Roman" w:eastAsia="Times New Roman"/>
      <w:sz w:val="18"/>
    </w:rPr>
  </w:style>
  <w:style w:type="character" w:styleId="44">
    <w:name w:val="Emphasis"/>
    <w:autoRedefine/>
    <w:qFormat/>
    <w:uiPriority w:val="20"/>
    <w:rPr>
      <w:i/>
      <w:iCs/>
    </w:rPr>
  </w:style>
  <w:style w:type="character" w:styleId="45">
    <w:name w:val="Hyperlink"/>
    <w:autoRedefine/>
    <w:qFormat/>
    <w:uiPriority w:val="0"/>
    <w:rPr>
      <w:color w:val="0000FF"/>
      <w:u w:val="single"/>
    </w:rPr>
  </w:style>
  <w:style w:type="character" w:styleId="46">
    <w:name w:val="annotation reference"/>
    <w:autoRedefine/>
    <w:semiHidden/>
    <w:qFormat/>
    <w:uiPriority w:val="0"/>
    <w:rPr>
      <w:sz w:val="21"/>
    </w:rPr>
  </w:style>
  <w:style w:type="character" w:customStyle="1" w:styleId="47">
    <w:name w:val="页眉 字符"/>
    <w:basedOn w:val="41"/>
    <w:link w:val="30"/>
    <w:autoRedefine/>
    <w:qFormat/>
    <w:uiPriority w:val="99"/>
    <w:rPr>
      <w:sz w:val="18"/>
      <w:szCs w:val="18"/>
    </w:rPr>
  </w:style>
  <w:style w:type="character" w:customStyle="1" w:styleId="48">
    <w:name w:val="页脚 字符"/>
    <w:basedOn w:val="41"/>
    <w:link w:val="29"/>
    <w:autoRedefine/>
    <w:qFormat/>
    <w:uiPriority w:val="99"/>
    <w:rPr>
      <w:sz w:val="18"/>
      <w:szCs w:val="18"/>
    </w:rPr>
  </w:style>
  <w:style w:type="character" w:customStyle="1" w:styleId="49">
    <w:name w:val="标题 1 字符"/>
    <w:basedOn w:val="41"/>
    <w:autoRedefine/>
    <w:qFormat/>
    <w:uiPriority w:val="9"/>
    <w:rPr>
      <w:rFonts w:ascii="Calibri" w:hAnsi="Calibri" w:eastAsia="宋体" w:cs="Times New Roman"/>
      <w:b/>
      <w:bCs/>
      <w:kern w:val="44"/>
      <w:sz w:val="44"/>
      <w:szCs w:val="44"/>
    </w:rPr>
  </w:style>
  <w:style w:type="character" w:customStyle="1" w:styleId="50">
    <w:name w:val="标题 2 字符"/>
    <w:basedOn w:val="41"/>
    <w:autoRedefine/>
    <w:qFormat/>
    <w:uiPriority w:val="9"/>
    <w:rPr>
      <w:rFonts w:asciiTheme="majorHAnsi" w:hAnsiTheme="majorHAnsi" w:eastAsiaTheme="majorEastAsia" w:cstheme="majorBidi"/>
      <w:b/>
      <w:bCs/>
      <w:sz w:val="32"/>
      <w:szCs w:val="32"/>
    </w:rPr>
  </w:style>
  <w:style w:type="character" w:customStyle="1" w:styleId="51">
    <w:name w:val="标题 3 字符"/>
    <w:basedOn w:val="41"/>
    <w:autoRedefine/>
    <w:semiHidden/>
    <w:qFormat/>
    <w:uiPriority w:val="9"/>
    <w:rPr>
      <w:rFonts w:ascii="Calibri" w:hAnsi="Calibri" w:eastAsia="宋体" w:cs="Times New Roman"/>
      <w:b/>
      <w:bCs/>
      <w:sz w:val="32"/>
      <w:szCs w:val="32"/>
    </w:rPr>
  </w:style>
  <w:style w:type="character" w:customStyle="1" w:styleId="52">
    <w:name w:val="标题 4 字符"/>
    <w:basedOn w:val="41"/>
    <w:autoRedefine/>
    <w:semiHidden/>
    <w:qFormat/>
    <w:uiPriority w:val="9"/>
    <w:rPr>
      <w:rFonts w:asciiTheme="majorHAnsi" w:hAnsiTheme="majorHAnsi" w:eastAsiaTheme="majorEastAsia" w:cstheme="majorBidi"/>
      <w:b/>
      <w:bCs/>
      <w:sz w:val="28"/>
      <w:szCs w:val="28"/>
    </w:rPr>
  </w:style>
  <w:style w:type="character" w:customStyle="1" w:styleId="53">
    <w:name w:val="标题 5 字符"/>
    <w:basedOn w:val="41"/>
    <w:autoRedefine/>
    <w:semiHidden/>
    <w:qFormat/>
    <w:uiPriority w:val="9"/>
    <w:rPr>
      <w:rFonts w:ascii="Calibri" w:hAnsi="Calibri" w:eastAsia="宋体" w:cs="Times New Roman"/>
      <w:b/>
      <w:bCs/>
      <w:sz w:val="28"/>
      <w:szCs w:val="28"/>
    </w:rPr>
  </w:style>
  <w:style w:type="character" w:customStyle="1" w:styleId="54">
    <w:name w:val="标题 6 字符"/>
    <w:basedOn w:val="41"/>
    <w:autoRedefine/>
    <w:semiHidden/>
    <w:qFormat/>
    <w:uiPriority w:val="9"/>
    <w:rPr>
      <w:rFonts w:asciiTheme="majorHAnsi" w:hAnsiTheme="majorHAnsi" w:eastAsiaTheme="majorEastAsia" w:cstheme="majorBidi"/>
      <w:b/>
      <w:bCs/>
      <w:sz w:val="24"/>
      <w:szCs w:val="24"/>
    </w:rPr>
  </w:style>
  <w:style w:type="character" w:customStyle="1" w:styleId="55">
    <w:name w:val="标题 7 字符"/>
    <w:basedOn w:val="41"/>
    <w:autoRedefine/>
    <w:semiHidden/>
    <w:qFormat/>
    <w:uiPriority w:val="9"/>
    <w:rPr>
      <w:rFonts w:ascii="Calibri" w:hAnsi="Calibri" w:eastAsia="宋体" w:cs="Times New Roman"/>
      <w:b/>
      <w:bCs/>
      <w:sz w:val="24"/>
      <w:szCs w:val="24"/>
    </w:rPr>
  </w:style>
  <w:style w:type="character" w:customStyle="1" w:styleId="56">
    <w:name w:val="标题 8 字符"/>
    <w:basedOn w:val="41"/>
    <w:autoRedefine/>
    <w:semiHidden/>
    <w:qFormat/>
    <w:uiPriority w:val="9"/>
    <w:rPr>
      <w:rFonts w:asciiTheme="majorHAnsi" w:hAnsiTheme="majorHAnsi" w:eastAsiaTheme="majorEastAsia" w:cstheme="majorBidi"/>
      <w:sz w:val="24"/>
      <w:szCs w:val="24"/>
    </w:rPr>
  </w:style>
  <w:style w:type="character" w:customStyle="1" w:styleId="57">
    <w:name w:val="标题 9 字符"/>
    <w:basedOn w:val="41"/>
    <w:autoRedefine/>
    <w:semiHidden/>
    <w:qFormat/>
    <w:uiPriority w:val="9"/>
    <w:rPr>
      <w:rFonts w:asciiTheme="majorHAnsi" w:hAnsiTheme="majorHAnsi" w:eastAsiaTheme="majorEastAsia" w:cstheme="majorBidi"/>
      <w:szCs w:val="21"/>
    </w:rPr>
  </w:style>
  <w:style w:type="paragraph" w:customStyle="1" w:styleId="58">
    <w:name w:val="1"/>
    <w:basedOn w:val="1"/>
    <w:next w:val="59"/>
    <w:link w:val="64"/>
    <w:autoRedefine/>
    <w:qFormat/>
    <w:uiPriority w:val="99"/>
    <w:pPr>
      <w:spacing w:line="360" w:lineRule="auto"/>
      <w:ind w:firstLine="420" w:firstLineChars="200"/>
    </w:pPr>
    <w:rPr>
      <w:rFonts w:ascii="Times New Roman" w:hAnsi="Times New Roman"/>
      <w:u w:val="single"/>
    </w:rPr>
  </w:style>
  <w:style w:type="paragraph" w:styleId="59">
    <w:name w:val="List Paragraph"/>
    <w:basedOn w:val="1"/>
    <w:autoRedefine/>
    <w:qFormat/>
    <w:uiPriority w:val="34"/>
    <w:pPr>
      <w:ind w:firstLine="420" w:firstLineChars="200"/>
    </w:pPr>
  </w:style>
  <w:style w:type="character" w:customStyle="1" w:styleId="60">
    <w:name w:val="正文文本缩进 字符"/>
    <w:basedOn w:val="41"/>
    <w:autoRedefine/>
    <w:qFormat/>
    <w:uiPriority w:val="99"/>
    <w:rPr>
      <w:rFonts w:ascii="Calibri" w:hAnsi="Calibri" w:eastAsia="宋体" w:cs="Times New Roman"/>
      <w:szCs w:val="21"/>
    </w:rPr>
  </w:style>
  <w:style w:type="character" w:customStyle="1" w:styleId="61">
    <w:name w:val="正文文本缩进 字符1"/>
    <w:link w:val="23"/>
    <w:autoRedefine/>
    <w:qFormat/>
    <w:locked/>
    <w:uiPriority w:val="0"/>
    <w:rPr>
      <w:rFonts w:ascii="Calibri" w:hAnsi="Calibri" w:eastAsia="宋体" w:cs="Times New Roman"/>
      <w:kern w:val="0"/>
      <w:sz w:val="24"/>
      <w:szCs w:val="20"/>
    </w:rPr>
  </w:style>
  <w:style w:type="character" w:customStyle="1" w:styleId="62">
    <w:name w:val="正文文本 字符"/>
    <w:basedOn w:val="41"/>
    <w:autoRedefine/>
    <w:semiHidden/>
    <w:qFormat/>
    <w:uiPriority w:val="99"/>
    <w:rPr>
      <w:rFonts w:ascii="Calibri" w:hAnsi="Calibri" w:eastAsia="宋体" w:cs="Times New Roman"/>
      <w:szCs w:val="21"/>
    </w:rPr>
  </w:style>
  <w:style w:type="character" w:customStyle="1" w:styleId="63">
    <w:name w:val="正文文本 字符2"/>
    <w:link w:val="16"/>
    <w:autoRedefine/>
    <w:qFormat/>
    <w:locked/>
    <w:uiPriority w:val="99"/>
    <w:rPr>
      <w:rFonts w:ascii="Calibri" w:hAnsi="Calibri" w:eastAsia="宋体" w:cs="Times New Roman"/>
      <w:szCs w:val="21"/>
    </w:rPr>
  </w:style>
  <w:style w:type="character" w:customStyle="1" w:styleId="64">
    <w:name w:val="正文首行缩进 Char"/>
    <w:link w:val="58"/>
    <w:autoRedefine/>
    <w:qFormat/>
    <w:uiPriority w:val="99"/>
    <w:rPr>
      <w:kern w:val="2"/>
      <w:sz w:val="21"/>
      <w:szCs w:val="21"/>
      <w:u w:val="single"/>
    </w:rPr>
  </w:style>
  <w:style w:type="character" w:customStyle="1" w:styleId="65">
    <w:name w:val="标题 1 字符1"/>
    <w:link w:val="4"/>
    <w:autoRedefine/>
    <w:qFormat/>
    <w:uiPriority w:val="9"/>
    <w:rPr>
      <w:rFonts w:ascii="Times New Roman" w:hAnsi="Times New Roman" w:eastAsia="黑体" w:cs="Times New Roman"/>
      <w:bCs/>
      <w:kern w:val="44"/>
      <w:sz w:val="24"/>
      <w:szCs w:val="44"/>
    </w:rPr>
  </w:style>
  <w:style w:type="character" w:customStyle="1" w:styleId="66">
    <w:name w:val="标题 2 字符1"/>
    <w:link w:val="5"/>
    <w:autoRedefine/>
    <w:qFormat/>
    <w:uiPriority w:val="9"/>
    <w:rPr>
      <w:rFonts w:ascii="Times New Roman" w:hAnsi="Times New Roman" w:eastAsia="黑体" w:cs="Times New Roman"/>
      <w:bCs/>
      <w:kern w:val="0"/>
      <w:sz w:val="24"/>
      <w:szCs w:val="32"/>
    </w:rPr>
  </w:style>
  <w:style w:type="character" w:customStyle="1" w:styleId="67">
    <w:name w:val="标题 3 字符1"/>
    <w:link w:val="6"/>
    <w:autoRedefine/>
    <w:qFormat/>
    <w:uiPriority w:val="9"/>
    <w:rPr>
      <w:bCs/>
      <w:sz w:val="21"/>
      <w:szCs w:val="21"/>
    </w:rPr>
  </w:style>
  <w:style w:type="character" w:customStyle="1" w:styleId="68">
    <w:name w:val="标题 4 字符1"/>
    <w:link w:val="7"/>
    <w:autoRedefine/>
    <w:qFormat/>
    <w:uiPriority w:val="9"/>
    <w:rPr>
      <w:rFonts w:ascii="Times New Roman" w:hAnsi="Times New Roman" w:eastAsia="宋体" w:cs="Times New Roman"/>
      <w:bCs/>
      <w:kern w:val="0"/>
      <w:sz w:val="24"/>
      <w:szCs w:val="28"/>
    </w:rPr>
  </w:style>
  <w:style w:type="character" w:customStyle="1" w:styleId="69">
    <w:name w:val="标题 5 字符1"/>
    <w:link w:val="8"/>
    <w:autoRedefine/>
    <w:qFormat/>
    <w:uiPriority w:val="9"/>
    <w:rPr>
      <w:rFonts w:ascii="Calibri" w:hAnsi="Calibri" w:eastAsia="宋体" w:cs="Times New Roman"/>
      <w:b/>
      <w:bCs/>
      <w:kern w:val="0"/>
      <w:sz w:val="28"/>
      <w:szCs w:val="28"/>
    </w:rPr>
  </w:style>
  <w:style w:type="character" w:customStyle="1" w:styleId="70">
    <w:name w:val="标题 6 字符1"/>
    <w:link w:val="9"/>
    <w:autoRedefine/>
    <w:qFormat/>
    <w:uiPriority w:val="9"/>
    <w:rPr>
      <w:rFonts w:ascii="Cambria" w:hAnsi="Cambria" w:eastAsia="宋体" w:cs="Times New Roman"/>
      <w:b/>
      <w:bCs/>
      <w:kern w:val="0"/>
      <w:sz w:val="24"/>
      <w:szCs w:val="24"/>
    </w:rPr>
  </w:style>
  <w:style w:type="character" w:customStyle="1" w:styleId="71">
    <w:name w:val="标题 7 字符1"/>
    <w:link w:val="10"/>
    <w:autoRedefine/>
    <w:qFormat/>
    <w:uiPriority w:val="9"/>
    <w:rPr>
      <w:rFonts w:ascii="Calibri" w:hAnsi="Calibri" w:eastAsia="宋体" w:cs="Times New Roman"/>
      <w:b/>
      <w:bCs/>
      <w:kern w:val="0"/>
      <w:sz w:val="24"/>
      <w:szCs w:val="24"/>
    </w:rPr>
  </w:style>
  <w:style w:type="character" w:customStyle="1" w:styleId="72">
    <w:name w:val="标题 8 字符1"/>
    <w:link w:val="11"/>
    <w:autoRedefine/>
    <w:qFormat/>
    <w:uiPriority w:val="9"/>
    <w:rPr>
      <w:rFonts w:ascii="Cambria" w:hAnsi="Cambria" w:eastAsia="宋体" w:cs="Times New Roman"/>
      <w:kern w:val="0"/>
      <w:sz w:val="24"/>
      <w:szCs w:val="24"/>
    </w:rPr>
  </w:style>
  <w:style w:type="character" w:customStyle="1" w:styleId="73">
    <w:name w:val="标题 9 字符1"/>
    <w:link w:val="12"/>
    <w:autoRedefine/>
    <w:qFormat/>
    <w:uiPriority w:val="9"/>
    <w:rPr>
      <w:rFonts w:ascii="Cambria" w:hAnsi="Cambria" w:eastAsia="宋体" w:cs="Times New Roman"/>
      <w:kern w:val="0"/>
      <w:sz w:val="20"/>
      <w:szCs w:val="20"/>
    </w:rPr>
  </w:style>
  <w:style w:type="character" w:customStyle="1" w:styleId="74">
    <w:name w:val="题注 字符1"/>
    <w:link w:val="20"/>
    <w:autoRedefine/>
    <w:qFormat/>
    <w:uiPriority w:val="35"/>
    <w:rPr>
      <w:rFonts w:ascii="Times New Roman" w:hAnsi="Times New Roman" w:eastAsia="黑体" w:cs="Times New Roman"/>
      <w:kern w:val="0"/>
      <w:sz w:val="24"/>
      <w:szCs w:val="20"/>
    </w:rPr>
  </w:style>
  <w:style w:type="character" w:customStyle="1" w:styleId="75">
    <w:name w:val="批注文字 字符"/>
    <w:basedOn w:val="41"/>
    <w:autoRedefine/>
    <w:semiHidden/>
    <w:qFormat/>
    <w:uiPriority w:val="99"/>
    <w:rPr>
      <w:rFonts w:ascii="Calibri" w:hAnsi="Calibri" w:eastAsia="宋体" w:cs="Times New Roman"/>
      <w:szCs w:val="21"/>
    </w:rPr>
  </w:style>
  <w:style w:type="character" w:customStyle="1" w:styleId="76">
    <w:name w:val="批注文字 字符2"/>
    <w:link w:val="22"/>
    <w:autoRedefine/>
    <w:semiHidden/>
    <w:qFormat/>
    <w:locked/>
    <w:uiPriority w:val="0"/>
    <w:rPr>
      <w:rFonts w:ascii="Calibri" w:hAnsi="Calibri" w:eastAsia="宋体" w:cs="Times New Roman"/>
      <w:kern w:val="0"/>
      <w:sz w:val="24"/>
      <w:szCs w:val="20"/>
    </w:rPr>
  </w:style>
  <w:style w:type="character" w:customStyle="1" w:styleId="77">
    <w:name w:val="日期 字符"/>
    <w:basedOn w:val="41"/>
    <w:autoRedefine/>
    <w:semiHidden/>
    <w:qFormat/>
    <w:uiPriority w:val="0"/>
    <w:rPr>
      <w:rFonts w:ascii="Calibri" w:hAnsi="Calibri" w:eastAsia="宋体" w:cs="Times New Roman"/>
      <w:szCs w:val="21"/>
    </w:rPr>
  </w:style>
  <w:style w:type="character" w:customStyle="1" w:styleId="78">
    <w:name w:val="日期 字符1"/>
    <w:link w:val="27"/>
    <w:autoRedefine/>
    <w:qFormat/>
    <w:locked/>
    <w:uiPriority w:val="0"/>
    <w:rPr>
      <w:rFonts w:ascii="Calibri" w:hAnsi="Calibri" w:eastAsia="宋体" w:cs="Times New Roman"/>
      <w:kern w:val="0"/>
      <w:sz w:val="24"/>
      <w:szCs w:val="20"/>
    </w:rPr>
  </w:style>
  <w:style w:type="character" w:customStyle="1" w:styleId="79">
    <w:name w:val="正文文本缩进 2 字符"/>
    <w:basedOn w:val="41"/>
    <w:link w:val="18"/>
    <w:autoRedefine/>
    <w:qFormat/>
    <w:uiPriority w:val="0"/>
    <w:rPr>
      <w:rFonts w:ascii="Calibri" w:hAnsi="Calibri" w:eastAsia="宋体" w:cs="Times New Roman"/>
      <w:sz w:val="24"/>
      <w:szCs w:val="21"/>
    </w:rPr>
  </w:style>
  <w:style w:type="character" w:customStyle="1" w:styleId="80">
    <w:name w:val="批注框文本 字符"/>
    <w:basedOn w:val="41"/>
    <w:autoRedefine/>
    <w:semiHidden/>
    <w:qFormat/>
    <w:uiPriority w:val="99"/>
    <w:rPr>
      <w:rFonts w:ascii="Calibri" w:hAnsi="Calibri" w:eastAsia="宋体" w:cs="Times New Roman"/>
      <w:sz w:val="18"/>
      <w:szCs w:val="18"/>
    </w:rPr>
  </w:style>
  <w:style w:type="character" w:customStyle="1" w:styleId="81">
    <w:name w:val="批注框文本 字符1"/>
    <w:link w:val="28"/>
    <w:autoRedefine/>
    <w:qFormat/>
    <w:locked/>
    <w:uiPriority w:val="99"/>
    <w:rPr>
      <w:rFonts w:ascii="Calibri" w:hAnsi="Calibri" w:eastAsia="宋体" w:cs="Times New Roman"/>
      <w:sz w:val="18"/>
      <w:szCs w:val="18"/>
    </w:rPr>
  </w:style>
  <w:style w:type="character" w:customStyle="1" w:styleId="82">
    <w:name w:val="页脚 Char"/>
    <w:autoRedefine/>
    <w:qFormat/>
    <w:locked/>
    <w:uiPriority w:val="99"/>
    <w:rPr>
      <w:kern w:val="2"/>
      <w:sz w:val="18"/>
      <w:szCs w:val="18"/>
    </w:rPr>
  </w:style>
  <w:style w:type="character" w:customStyle="1" w:styleId="83">
    <w:name w:val="页眉 Char"/>
    <w:autoRedefine/>
    <w:qFormat/>
    <w:locked/>
    <w:uiPriority w:val="99"/>
    <w:rPr>
      <w:rFonts w:ascii="Calibri" w:hAnsi="Calibri"/>
      <w:kern w:val="2"/>
      <w:sz w:val="18"/>
      <w:szCs w:val="18"/>
    </w:rPr>
  </w:style>
  <w:style w:type="character" w:customStyle="1" w:styleId="84">
    <w:name w:val="普通(网站) 字符"/>
    <w:link w:val="35"/>
    <w:autoRedefine/>
    <w:qFormat/>
    <w:locked/>
    <w:uiPriority w:val="0"/>
    <w:rPr>
      <w:rFonts w:ascii="宋体" w:hAnsi="宋体" w:eastAsia="宋体" w:cs="Times New Roman"/>
      <w:kern w:val="0"/>
      <w:sz w:val="24"/>
      <w:szCs w:val="20"/>
    </w:rPr>
  </w:style>
  <w:style w:type="character" w:customStyle="1" w:styleId="85">
    <w:name w:val="标题 字符"/>
    <w:basedOn w:val="41"/>
    <w:autoRedefine/>
    <w:qFormat/>
    <w:uiPriority w:val="10"/>
    <w:rPr>
      <w:rFonts w:asciiTheme="majorHAnsi" w:hAnsiTheme="majorHAnsi" w:eastAsiaTheme="majorEastAsia" w:cstheme="majorBidi"/>
      <w:b/>
      <w:bCs/>
      <w:sz w:val="32"/>
      <w:szCs w:val="32"/>
    </w:rPr>
  </w:style>
  <w:style w:type="character" w:customStyle="1" w:styleId="86">
    <w:name w:val="标题 字符1"/>
    <w:link w:val="36"/>
    <w:autoRedefine/>
    <w:qFormat/>
    <w:uiPriority w:val="0"/>
    <w:rPr>
      <w:rFonts w:ascii="Times New Roman" w:hAnsi="Times New Roman" w:eastAsia="华文中宋" w:cs="Times New Roman"/>
      <w:b/>
      <w:bCs/>
      <w:kern w:val="0"/>
      <w:sz w:val="36"/>
      <w:szCs w:val="32"/>
    </w:rPr>
  </w:style>
  <w:style w:type="character" w:customStyle="1" w:styleId="87">
    <w:name w:val="批注主题 字符"/>
    <w:basedOn w:val="75"/>
    <w:autoRedefine/>
    <w:semiHidden/>
    <w:qFormat/>
    <w:uiPriority w:val="99"/>
    <w:rPr>
      <w:rFonts w:ascii="Calibri" w:hAnsi="Calibri" w:eastAsia="宋体" w:cs="Times New Roman"/>
      <w:b/>
      <w:bCs/>
      <w:szCs w:val="21"/>
    </w:rPr>
  </w:style>
  <w:style w:type="character" w:customStyle="1" w:styleId="88">
    <w:name w:val="批注主题 字符1"/>
    <w:link w:val="37"/>
    <w:autoRedefine/>
    <w:semiHidden/>
    <w:qFormat/>
    <w:locked/>
    <w:uiPriority w:val="0"/>
    <w:rPr>
      <w:rFonts w:ascii="Calibri" w:hAnsi="Calibri" w:eastAsia="宋体" w:cs="Times New Roman"/>
      <w:b/>
      <w:kern w:val="0"/>
      <w:sz w:val="24"/>
      <w:szCs w:val="20"/>
    </w:rPr>
  </w:style>
  <w:style w:type="character" w:customStyle="1" w:styleId="89">
    <w:name w:val="正文文本 字符1"/>
    <w:autoRedefine/>
    <w:semiHidden/>
    <w:qFormat/>
    <w:uiPriority w:val="0"/>
    <w:rPr>
      <w:rFonts w:ascii="Times New Roman" w:hAnsi="Times New Roman" w:eastAsia="宋体"/>
      <w:sz w:val="24"/>
    </w:rPr>
  </w:style>
  <w:style w:type="character" w:customStyle="1" w:styleId="90">
    <w:name w:val="表格 Char"/>
    <w:link w:val="91"/>
    <w:autoRedefine/>
    <w:qFormat/>
    <w:locked/>
    <w:uiPriority w:val="0"/>
    <w:rPr>
      <w:rFonts w:ascii="宋体" w:hAnsiTheme="minorHAnsi" w:eastAsiaTheme="minorEastAsia" w:cstheme="minorBidi"/>
      <w:kern w:val="2"/>
      <w:sz w:val="21"/>
      <w:szCs w:val="22"/>
    </w:rPr>
  </w:style>
  <w:style w:type="paragraph" w:customStyle="1" w:styleId="91">
    <w:name w:val="表格"/>
    <w:basedOn w:val="1"/>
    <w:next w:val="1"/>
    <w:link w:val="90"/>
    <w:autoRedefine/>
    <w:qFormat/>
    <w:uiPriority w:val="0"/>
    <w:pPr>
      <w:jc w:val="center"/>
    </w:pPr>
    <w:rPr>
      <w:rFonts w:ascii="宋体" w:hAnsiTheme="minorHAnsi" w:eastAsiaTheme="minorEastAsia" w:cstheme="minorBidi"/>
      <w:szCs w:val="22"/>
    </w:rPr>
  </w:style>
  <w:style w:type="character" w:customStyle="1" w:styleId="92">
    <w:name w:val="批注文字 字符1"/>
    <w:autoRedefine/>
    <w:semiHidden/>
    <w:qFormat/>
    <w:uiPriority w:val="0"/>
    <w:rPr>
      <w:rFonts w:ascii="Times New Roman" w:hAnsi="Times New Roman" w:eastAsia="宋体"/>
      <w:sz w:val="24"/>
    </w:rPr>
  </w:style>
  <w:style w:type="paragraph" w:customStyle="1" w:styleId="93">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普通(网站)2"/>
    <w:basedOn w:val="1"/>
    <w:autoRedefine/>
    <w:qFormat/>
    <w:uiPriority w:val="0"/>
    <w:pPr>
      <w:spacing w:before="100" w:beforeAutospacing="1" w:after="100" w:afterAutospacing="1"/>
      <w:jc w:val="left"/>
    </w:pPr>
    <w:rPr>
      <w:rFonts w:ascii="宋体" w:hAnsi="宋体"/>
      <w:sz w:val="24"/>
      <w:szCs w:val="20"/>
    </w:rPr>
  </w:style>
  <w:style w:type="paragraph" w:customStyle="1" w:styleId="95">
    <w:name w:val="Table Paragraph"/>
    <w:basedOn w:val="1"/>
    <w:autoRedefine/>
    <w:qFormat/>
    <w:uiPriority w:val="1"/>
    <w:pPr>
      <w:widowControl w:val="0"/>
      <w:adjustRightInd/>
      <w:snapToGrid/>
      <w:spacing w:line="360" w:lineRule="auto"/>
      <w:ind w:firstLine="420" w:firstLineChars="200"/>
    </w:pPr>
    <w:rPr>
      <w:rFonts w:ascii="Times New Roman" w:hAnsi="Times New Roman"/>
      <w:kern w:val="0"/>
      <w:u w:val="single"/>
    </w:rPr>
  </w:style>
  <w:style w:type="paragraph" w:customStyle="1" w:styleId="96">
    <w:name w:val="标准正文"/>
    <w:basedOn w:val="1"/>
    <w:link w:val="97"/>
    <w:autoRedefine/>
    <w:qFormat/>
    <w:uiPriority w:val="0"/>
    <w:pPr>
      <w:widowControl w:val="0"/>
      <w:adjustRightInd/>
      <w:snapToGrid/>
      <w:spacing w:line="360" w:lineRule="auto"/>
      <w:ind w:firstLine="480" w:firstLineChars="200"/>
      <w:jc w:val="left"/>
    </w:pPr>
    <w:rPr>
      <w:sz w:val="24"/>
      <w:szCs w:val="22"/>
    </w:rPr>
  </w:style>
  <w:style w:type="character" w:customStyle="1" w:styleId="97">
    <w:name w:val="标准正文 Char"/>
    <w:link w:val="96"/>
    <w:autoRedefine/>
    <w:qFormat/>
    <w:uiPriority w:val="0"/>
    <w:rPr>
      <w:rFonts w:ascii="Calibri" w:hAnsi="Calibri" w:eastAsia="宋体" w:cs="Times New Roman"/>
      <w:sz w:val="24"/>
    </w:rPr>
  </w:style>
  <w:style w:type="paragraph" w:customStyle="1" w:styleId="98">
    <w:name w:val="表格标题"/>
    <w:basedOn w:val="15"/>
    <w:link w:val="99"/>
    <w:autoRedefine/>
    <w:qFormat/>
    <w:uiPriority w:val="0"/>
    <w:pPr>
      <w:widowControl w:val="0"/>
      <w:spacing w:line="360" w:lineRule="auto"/>
      <w:ind w:firstLine="0" w:firstLineChars="0"/>
      <w:jc w:val="left"/>
    </w:pPr>
    <w:rPr>
      <w:rFonts w:eastAsia="黑体"/>
      <w:kern w:val="0"/>
      <w:sz w:val="24"/>
      <w:szCs w:val="20"/>
    </w:rPr>
  </w:style>
  <w:style w:type="character" w:customStyle="1" w:styleId="99">
    <w:name w:val="表格标题 Char"/>
    <w:link w:val="98"/>
    <w:autoRedefine/>
    <w:qFormat/>
    <w:locked/>
    <w:uiPriority w:val="0"/>
    <w:rPr>
      <w:rFonts w:ascii="Times New Roman" w:hAnsi="Times New Roman" w:eastAsia="黑体" w:cs="Times New Roman"/>
      <w:kern w:val="0"/>
      <w:sz w:val="24"/>
      <w:szCs w:val="20"/>
    </w:rPr>
  </w:style>
  <w:style w:type="paragraph" w:customStyle="1" w:styleId="100">
    <w:name w:val="表格文字"/>
    <w:basedOn w:val="15"/>
    <w:next w:val="1"/>
    <w:link w:val="101"/>
    <w:autoRedefine/>
    <w:qFormat/>
    <w:uiPriority w:val="0"/>
    <w:pPr>
      <w:spacing w:line="360" w:lineRule="auto"/>
      <w:ind w:firstLine="200"/>
      <w:jc w:val="center"/>
    </w:pPr>
    <w:rPr>
      <w:kern w:val="0"/>
      <w:sz w:val="20"/>
      <w:szCs w:val="20"/>
    </w:rPr>
  </w:style>
  <w:style w:type="character" w:customStyle="1" w:styleId="101">
    <w:name w:val="表格文字 Char"/>
    <w:link w:val="100"/>
    <w:autoRedefine/>
    <w:qFormat/>
    <w:uiPriority w:val="0"/>
    <w:rPr>
      <w:rFonts w:ascii="Times New Roman" w:hAnsi="Times New Roman" w:eastAsia="宋体" w:cs="Times New Roman"/>
      <w:kern w:val="0"/>
      <w:sz w:val="20"/>
      <w:szCs w:val="20"/>
    </w:rPr>
  </w:style>
  <w:style w:type="character" w:customStyle="1" w:styleId="102">
    <w:name w:val="不明显强调1"/>
    <w:autoRedefine/>
    <w:qFormat/>
    <w:uiPriority w:val="19"/>
    <w:rPr>
      <w:i/>
      <w:iCs/>
      <w:color w:val="808080"/>
    </w:rPr>
  </w:style>
  <w:style w:type="paragraph" w:customStyle="1" w:styleId="103">
    <w:name w:val="正文首行缩进1"/>
    <w:basedOn w:val="16"/>
    <w:autoRedefine/>
    <w:unhideWhenUsed/>
    <w:qFormat/>
    <w:uiPriority w:val="99"/>
    <w:pPr>
      <w:spacing w:after="0" w:line="360" w:lineRule="auto"/>
      <w:ind w:firstLine="420" w:firstLineChars="200"/>
      <w:jc w:val="left"/>
    </w:pPr>
    <w:rPr>
      <w:rFonts w:ascii="Times New Roman" w:hAnsi="Times New Roman"/>
      <w:u w:val="single"/>
    </w:rPr>
  </w:style>
  <w:style w:type="paragraph" w:customStyle="1" w:styleId="104">
    <w:name w:val="正文02"/>
    <w:basedOn w:val="1"/>
    <w:autoRedefine/>
    <w:qFormat/>
    <w:uiPriority w:val="0"/>
    <w:pPr>
      <w:spacing w:line="360" w:lineRule="auto"/>
      <w:ind w:firstLine="200" w:firstLineChars="200"/>
    </w:pPr>
    <w:rPr>
      <w:sz w:val="28"/>
    </w:rPr>
  </w:style>
  <w:style w:type="paragraph" w:customStyle="1" w:styleId="105">
    <w:name w:val="表文字"/>
    <w:basedOn w:val="1"/>
    <w:autoRedefine/>
    <w:qFormat/>
    <w:uiPriority w:val="0"/>
    <w:pPr>
      <w:overflowPunct w:val="0"/>
      <w:autoSpaceDE w:val="0"/>
      <w:autoSpaceDN w:val="0"/>
      <w:spacing w:line="240" w:lineRule="atLeast"/>
      <w:textAlignment w:val="baseline"/>
    </w:pPr>
    <w:rPr>
      <w:kern w:val="0"/>
      <w:sz w:val="24"/>
      <w:szCs w:val="20"/>
    </w:rPr>
  </w:style>
  <w:style w:type="paragraph" w:customStyle="1" w:styleId="106">
    <w:name w:val="表格内格式"/>
    <w:basedOn w:val="1"/>
    <w:next w:val="1"/>
    <w:autoRedefine/>
    <w:qFormat/>
    <w:uiPriority w:val="0"/>
    <w:pPr>
      <w:jc w:val="center"/>
    </w:pPr>
  </w:style>
  <w:style w:type="paragraph" w:customStyle="1" w:styleId="107">
    <w:name w:val="表格内文字"/>
    <w:basedOn w:val="1"/>
    <w:autoRedefine/>
    <w:qFormat/>
    <w:uiPriority w:val="0"/>
    <w:pPr>
      <w:jc w:val="center"/>
    </w:pPr>
    <w:rPr>
      <w:rFonts w:ascii="宋体" w:hAnsi="宋体"/>
    </w:rPr>
  </w:style>
  <w:style w:type="paragraph" w:customStyle="1" w:styleId="108">
    <w:name w:val="表名，图名"/>
    <w:next w:val="1"/>
    <w:autoRedefine/>
    <w:qFormat/>
    <w:uiPriority w:val="0"/>
    <w:pPr>
      <w:jc w:val="center"/>
    </w:pPr>
    <w:rPr>
      <w:rFonts w:ascii="宋体" w:hAnsi="宋体" w:eastAsia="宋体" w:cs="Times New Roman"/>
      <w:b/>
      <w:sz w:val="24"/>
      <w:lang w:val="en-US" w:eastAsia="zh-CN" w:bidi="ar-SA"/>
    </w:rPr>
  </w:style>
  <w:style w:type="paragraph" w:customStyle="1" w:styleId="109">
    <w:name w:val="正文_15"/>
    <w:autoRedefine/>
    <w:qFormat/>
    <w:uiPriority w:val="0"/>
    <w:pPr>
      <w:widowControl w:val="0"/>
      <w:jc w:val="both"/>
    </w:pPr>
    <w:rPr>
      <w:rFonts w:ascii="Calibri" w:hAnsi="Calibri" w:eastAsia="宋体" w:cs="Times New Roman"/>
      <w:kern w:val="2"/>
      <w:sz w:val="21"/>
      <w:lang w:val="en-US" w:eastAsia="zh-CN" w:bidi="ar-SA"/>
    </w:rPr>
  </w:style>
  <w:style w:type="paragraph" w:customStyle="1" w:styleId="110">
    <w:name w:val="正文_14"/>
    <w:autoRedefine/>
    <w:qFormat/>
    <w:uiPriority w:val="0"/>
    <w:pPr>
      <w:widowControl w:val="0"/>
      <w:jc w:val="both"/>
    </w:pPr>
    <w:rPr>
      <w:rFonts w:ascii="Calibri" w:hAnsi="Calibri" w:eastAsia="宋体" w:cs="Times New Roman"/>
      <w:kern w:val="2"/>
      <w:sz w:val="21"/>
      <w:lang w:val="en-US" w:eastAsia="zh-CN" w:bidi="ar-SA"/>
    </w:rPr>
  </w:style>
  <w:style w:type="paragraph" w:customStyle="1" w:styleId="111">
    <w:name w:val="表格正文"/>
    <w:basedOn w:val="112"/>
    <w:next w:val="1"/>
    <w:autoRedefine/>
    <w:qFormat/>
    <w:uiPriority w:val="0"/>
    <w:rPr>
      <w:b w:val="0"/>
    </w:rPr>
  </w:style>
  <w:style w:type="paragraph" w:customStyle="1" w:styleId="112">
    <w:name w:val="表格格式"/>
    <w:basedOn w:val="1"/>
    <w:autoRedefine/>
    <w:qFormat/>
    <w:uiPriority w:val="0"/>
    <w:pPr>
      <w:jc w:val="center"/>
    </w:pPr>
    <w:rPr>
      <w:b/>
      <w:kern w:val="0"/>
    </w:rPr>
  </w:style>
  <w:style w:type="paragraph" w:customStyle="1" w:styleId="113">
    <w:name w:val="表格样式"/>
    <w:basedOn w:val="1"/>
    <w:autoRedefine/>
    <w:qFormat/>
    <w:uiPriority w:val="0"/>
    <w:pPr>
      <w:jc w:val="center"/>
    </w:pPr>
    <w:rPr>
      <w:szCs w:val="24"/>
    </w:rPr>
  </w:style>
  <w:style w:type="paragraph" w:customStyle="1" w:styleId="114">
    <w:name w:val="报告正文"/>
    <w:basedOn w:val="1"/>
    <w:autoRedefine/>
    <w:qFormat/>
    <w:uiPriority w:val="0"/>
    <w:pPr>
      <w:autoSpaceDE w:val="0"/>
      <w:autoSpaceDN w:val="0"/>
      <w:spacing w:line="360" w:lineRule="auto"/>
      <w:ind w:firstLine="480" w:firstLineChars="200"/>
    </w:pPr>
    <w:rPr>
      <w:sz w:val="24"/>
      <w:szCs w:val="24"/>
    </w:rPr>
  </w:style>
  <w:style w:type="paragraph" w:customStyle="1" w:styleId="115">
    <w:name w:val="样式 样式 样式 小四 行距: 1.5 倍行距 + (符号) 宋体 首行缩进:  2 字符 + 首行缩进:  2 字符"/>
    <w:basedOn w:val="1"/>
    <w:autoRedefine/>
    <w:qFormat/>
    <w:uiPriority w:val="0"/>
    <w:pPr>
      <w:spacing w:line="360" w:lineRule="auto"/>
      <w:ind w:firstLine="200" w:firstLineChars="200"/>
    </w:pPr>
    <w:rPr>
      <w:rFonts w:cs="宋体"/>
      <w:sz w:val="24"/>
      <w:szCs w:val="20"/>
    </w:rPr>
  </w:style>
  <w:style w:type="paragraph" w:customStyle="1" w:styleId="116">
    <w:name w:val="样式 样式 小四 行距: 1.5 倍行距 + (符号) 宋体 首行缩进:  2 字符"/>
    <w:basedOn w:val="117"/>
    <w:autoRedefine/>
    <w:qFormat/>
    <w:uiPriority w:val="0"/>
    <w:pPr>
      <w:ind w:firstLine="200"/>
    </w:pPr>
    <w:rPr>
      <w:szCs w:val="20"/>
    </w:rPr>
  </w:style>
  <w:style w:type="paragraph" w:customStyle="1" w:styleId="117">
    <w:name w:val="样式 小四 行距: 1.5 倍行距"/>
    <w:basedOn w:val="1"/>
    <w:autoRedefine/>
    <w:qFormat/>
    <w:uiPriority w:val="0"/>
    <w:pPr>
      <w:spacing w:line="360" w:lineRule="auto"/>
      <w:ind w:firstLine="480" w:firstLineChars="200"/>
    </w:pPr>
    <w:rPr>
      <w:rFonts w:cs="宋体"/>
      <w:sz w:val="24"/>
      <w:szCs w:val="24"/>
    </w:rPr>
  </w:style>
  <w:style w:type="paragraph" w:customStyle="1" w:styleId="118">
    <w:name w:val="Char Char Char Char Char2 Char"/>
    <w:basedOn w:val="1"/>
    <w:autoRedefine/>
    <w:qFormat/>
    <w:uiPriority w:val="0"/>
    <w:pPr>
      <w:widowControl w:val="0"/>
      <w:spacing w:line="360" w:lineRule="auto"/>
      <w:ind w:firstLine="200" w:firstLineChars="200"/>
    </w:pPr>
    <w:rPr>
      <w:szCs w:val="24"/>
    </w:rPr>
  </w:style>
  <w:style w:type="paragraph" w:customStyle="1" w:styleId="119">
    <w:name w:val="正文w"/>
    <w:autoRedefine/>
    <w:qFormat/>
    <w:uiPriority w:val="0"/>
    <w:pPr>
      <w:widowControl w:val="0"/>
      <w:autoSpaceDE w:val="0"/>
      <w:autoSpaceDN w:val="0"/>
      <w:adjustRightInd w:val="0"/>
      <w:spacing w:line="360" w:lineRule="auto"/>
      <w:ind w:firstLine="480" w:firstLineChars="200"/>
      <w:jc w:val="both"/>
    </w:pPr>
    <w:rPr>
      <w:rFonts w:ascii="Times New Roman" w:hAnsi="Times New Roman" w:eastAsia="宋体" w:cs="Times New Roman"/>
      <w:sz w:val="24"/>
      <w:szCs w:val="24"/>
      <w:lang w:val="en-US" w:eastAsia="zh-CN" w:bidi="ar-SA"/>
    </w:rPr>
  </w:style>
  <w:style w:type="paragraph" w:customStyle="1" w:styleId="120">
    <w:name w:val="样式 样式 样式 样式 正文文本缩进正文文字缩进正文9 + (中文) 宋体 小四 首行缩进:  2 字符 段前: 1 行 段后:..."/>
    <w:basedOn w:val="121"/>
    <w:autoRedefine/>
    <w:qFormat/>
    <w:uiPriority w:val="0"/>
    <w:rPr>
      <w:sz w:val="24"/>
    </w:rPr>
  </w:style>
  <w:style w:type="paragraph" w:customStyle="1" w:styleId="121">
    <w:name w:val="样式 样式 样式 正文文本缩进正文文字缩进正文9 + (中文) 宋体 小四 首行缩进:  2 字符 段前: 1 行 段后: 1 ..."/>
    <w:basedOn w:val="1"/>
    <w:autoRedefine/>
    <w:qFormat/>
    <w:uiPriority w:val="0"/>
    <w:pPr>
      <w:spacing w:line="360" w:lineRule="auto"/>
      <w:ind w:firstLine="200" w:firstLineChars="200"/>
    </w:pPr>
    <w:rPr>
      <w:rFonts w:eastAsia="仿宋_GB2312" w:cs="宋体"/>
      <w:sz w:val="32"/>
      <w:szCs w:val="20"/>
    </w:rPr>
  </w:style>
  <w:style w:type="character" w:customStyle="1" w:styleId="122">
    <w:name w:val="正文文本首行缩进 2 字符"/>
    <w:basedOn w:val="60"/>
    <w:link w:val="38"/>
    <w:autoRedefine/>
    <w:qFormat/>
    <w:uiPriority w:val="99"/>
    <w:rPr>
      <w:rFonts w:ascii="Calibri" w:hAnsi="Calibri" w:eastAsia="宋体" w:cs="Times New Roman"/>
      <w:szCs w:val="21"/>
    </w:rPr>
  </w:style>
  <w:style w:type="character" w:customStyle="1" w:styleId="123">
    <w:name w:val="正文文本首行缩进 字符"/>
    <w:basedOn w:val="62"/>
    <w:link w:val="15"/>
    <w:autoRedefine/>
    <w:qFormat/>
    <w:uiPriority w:val="99"/>
    <w:rPr>
      <w:rFonts w:ascii="Calibri" w:hAnsi="Calibri" w:eastAsia="宋体" w:cs="Times New Roman"/>
      <w:color w:val="000000" w:themeColor="text1"/>
      <w:kern w:val="2"/>
      <w:sz w:val="18"/>
      <w:szCs w:val="18"/>
      <w14:textFill>
        <w14:solidFill>
          <w14:schemeClr w14:val="tx1"/>
        </w14:solidFill>
      </w14:textFill>
    </w:rPr>
  </w:style>
  <w:style w:type="paragraph" w:customStyle="1" w:styleId="124">
    <w:name w:val="！正文"/>
    <w:basedOn w:val="1"/>
    <w:autoRedefine/>
    <w:qFormat/>
    <w:uiPriority w:val="0"/>
    <w:pPr>
      <w:widowControl w:val="0"/>
      <w:autoSpaceDE w:val="0"/>
      <w:autoSpaceDN w:val="0"/>
      <w:adjustRightInd/>
      <w:snapToGrid/>
      <w:spacing w:line="360" w:lineRule="auto"/>
      <w:ind w:firstLine="200" w:firstLineChars="200"/>
      <w:jc w:val="left"/>
    </w:pPr>
    <w:rPr>
      <w:rFonts w:ascii="宋体" w:hAnsi="宋体" w:cs="宋体"/>
      <w:kern w:val="0"/>
      <w:sz w:val="24"/>
      <w:szCs w:val="22"/>
    </w:rPr>
  </w:style>
  <w:style w:type="paragraph" w:customStyle="1" w:styleId="125">
    <w:name w:val="正文1"/>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126">
    <w:name w:val="题注 字符"/>
    <w:autoRedefine/>
    <w:qFormat/>
    <w:uiPriority w:val="35"/>
    <w:rPr>
      <w:rFonts w:eastAsia="黑体"/>
      <w:sz w:val="24"/>
    </w:rPr>
  </w:style>
  <w:style w:type="paragraph" w:customStyle="1" w:styleId="127">
    <w:name w:val="_Style 116"/>
    <w:basedOn w:val="16"/>
    <w:next w:val="1"/>
    <w:autoRedefine/>
    <w:unhideWhenUsed/>
    <w:qFormat/>
    <w:uiPriority w:val="99"/>
    <w:pPr>
      <w:spacing w:after="0" w:line="360" w:lineRule="auto"/>
      <w:ind w:firstLine="200" w:firstLineChars="200"/>
    </w:pPr>
    <w:rPr>
      <w:rFonts w:ascii="Times New Roman" w:hAnsi="Times New Roman"/>
      <w:kern w:val="0"/>
      <w:sz w:val="24"/>
      <w:szCs w:val="20"/>
    </w:rPr>
  </w:style>
  <w:style w:type="paragraph" w:customStyle="1" w:styleId="128">
    <w:name w:val="_Style 117"/>
    <w:basedOn w:val="16"/>
    <w:next w:val="1"/>
    <w:autoRedefine/>
    <w:unhideWhenUsed/>
    <w:qFormat/>
    <w:uiPriority w:val="99"/>
    <w:pPr>
      <w:spacing w:after="0" w:line="360" w:lineRule="auto"/>
      <w:ind w:firstLine="200" w:firstLineChars="200"/>
    </w:pPr>
    <w:rPr>
      <w:rFonts w:ascii="Times New Roman" w:hAnsi="Times New Roman"/>
      <w:kern w:val="0"/>
      <w:sz w:val="24"/>
      <w:szCs w:val="20"/>
    </w:rPr>
  </w:style>
  <w:style w:type="character" w:customStyle="1" w:styleId="129">
    <w:name w:val="fontstyle01"/>
    <w:autoRedefine/>
    <w:qFormat/>
    <w:uiPriority w:val="0"/>
    <w:rPr>
      <w:rFonts w:ascii="宋体" w:hAnsi="宋体" w:eastAsia="宋体" w:cs="宋体"/>
      <w:color w:val="000000"/>
      <w:sz w:val="24"/>
      <w:szCs w:val="24"/>
    </w:rPr>
  </w:style>
  <w:style w:type="paragraph" w:customStyle="1" w:styleId="130">
    <w:name w:val="报告书正文 Char Char Char"/>
    <w:basedOn w:val="1"/>
    <w:autoRedefine/>
    <w:qFormat/>
    <w:uiPriority w:val="0"/>
    <w:pPr>
      <w:widowControl w:val="0"/>
      <w:adjustRightInd/>
      <w:snapToGrid/>
      <w:spacing w:line="300" w:lineRule="auto"/>
      <w:ind w:firstLine="480" w:firstLineChars="200"/>
    </w:pPr>
    <w:rPr>
      <w:rFonts w:ascii="Times New Roman" w:hAnsi="Times New Roman"/>
      <w:sz w:val="24"/>
      <w:szCs w:val="24"/>
    </w:rPr>
  </w:style>
  <w:style w:type="paragraph" w:customStyle="1" w:styleId="131">
    <w:name w:val="标题 3 New"/>
    <w:basedOn w:val="1"/>
    <w:next w:val="1"/>
    <w:autoRedefine/>
    <w:qFormat/>
    <w:uiPriority w:val="0"/>
    <w:pPr>
      <w:keepNext/>
      <w:keepLines/>
      <w:widowControl w:val="0"/>
      <w:snapToGrid/>
      <w:spacing w:before="120" w:after="120" w:line="360" w:lineRule="auto"/>
      <w:jc w:val="left"/>
      <w:textAlignment w:val="baseline"/>
      <w:outlineLvl w:val="2"/>
    </w:pPr>
    <w:rPr>
      <w:rFonts w:ascii="Times New Roman" w:hAnsi="Times New Roman" w:eastAsia="黑体"/>
      <w:b/>
      <w:kern w:val="0"/>
      <w:sz w:val="24"/>
      <w:szCs w:val="20"/>
    </w:rPr>
  </w:style>
  <w:style w:type="paragraph" w:customStyle="1" w:styleId="132">
    <w:name w:val="正文 New"/>
    <w:autoRedefine/>
    <w:qFormat/>
    <w:uiPriority w:val="0"/>
    <w:pPr>
      <w:widowControl w:val="0"/>
      <w:adjustRightInd w:val="0"/>
      <w:spacing w:line="360" w:lineRule="auto"/>
      <w:ind w:firstLine="200" w:firstLineChars="200"/>
      <w:textAlignment w:val="baseline"/>
    </w:pPr>
    <w:rPr>
      <w:rFonts w:ascii="Times New Roman" w:hAnsi="Times New Roman" w:eastAsia="宋体" w:cs="Times New Roman"/>
      <w:sz w:val="24"/>
      <w:lang w:val="en-US" w:eastAsia="zh-CN" w:bidi="ar-SA"/>
    </w:rPr>
  </w:style>
  <w:style w:type="paragraph" w:customStyle="1" w:styleId="133">
    <w:name w:val="正文样式"/>
    <w:basedOn w:val="1"/>
    <w:autoRedefine/>
    <w:qFormat/>
    <w:uiPriority w:val="0"/>
    <w:pPr>
      <w:widowControl w:val="0"/>
      <w:spacing w:beforeLines="50" w:afterLines="50" w:line="312" w:lineRule="auto"/>
      <w:ind w:firstLine="480" w:firstLineChars="200"/>
    </w:pPr>
    <w:rPr>
      <w:rFonts w:ascii="Times New Roman" w:hAnsi="Times New Roman" w:cs="宋体"/>
      <w:sz w:val="24"/>
      <w:szCs w:val="24"/>
    </w:rPr>
  </w:style>
  <w:style w:type="paragraph" w:customStyle="1" w:styleId="134">
    <w:name w:val="Char Char Char Char Char Char"/>
    <w:basedOn w:val="1"/>
    <w:autoRedefine/>
    <w:qFormat/>
    <w:uiPriority w:val="0"/>
    <w:pPr>
      <w:widowControl w:val="0"/>
      <w:adjustRightInd/>
      <w:snapToGrid/>
      <w:spacing w:line="500" w:lineRule="exact"/>
      <w:ind w:firstLine="880" w:firstLineChars="200"/>
    </w:pPr>
    <w:rPr>
      <w:rFonts w:ascii="Times New Roman" w:hAnsi="Times New Roman"/>
      <w:sz w:val="24"/>
      <w:szCs w:val="24"/>
    </w:rPr>
  </w:style>
  <w:style w:type="paragraph" w:customStyle="1" w:styleId="135">
    <w:name w:val="正文样式22"/>
    <w:basedOn w:val="1"/>
    <w:autoRedefine/>
    <w:qFormat/>
    <w:uiPriority w:val="0"/>
    <w:pPr>
      <w:widowControl w:val="0"/>
      <w:spacing w:line="360" w:lineRule="auto"/>
      <w:ind w:firstLine="200" w:firstLineChars="200"/>
    </w:pPr>
    <w:rPr>
      <w:rFonts w:ascii="Times New Roman" w:hAnsi="Times New Roman"/>
      <w:sz w:val="24"/>
      <w:szCs w:val="20"/>
    </w:rPr>
  </w:style>
  <w:style w:type="paragraph" w:customStyle="1" w:styleId="136">
    <w:name w:val="Char Char Char Char Char Char1"/>
    <w:basedOn w:val="1"/>
    <w:autoRedefine/>
    <w:qFormat/>
    <w:uiPriority w:val="0"/>
    <w:pPr>
      <w:widowControl w:val="0"/>
      <w:adjustRightInd/>
      <w:snapToGrid/>
      <w:spacing w:line="500" w:lineRule="exact"/>
      <w:ind w:firstLine="880" w:firstLineChars="200"/>
    </w:pPr>
    <w:rPr>
      <w:rFonts w:ascii="Times New Roman" w:hAnsi="Times New Roman"/>
      <w:sz w:val="24"/>
      <w:szCs w:val="24"/>
    </w:rPr>
  </w:style>
  <w:style w:type="paragraph" w:customStyle="1" w:styleId="137">
    <w:name w:val="内容"/>
    <w:basedOn w:val="1"/>
    <w:autoRedefine/>
    <w:qFormat/>
    <w:uiPriority w:val="0"/>
    <w:pPr>
      <w:spacing w:beforeLines="50" w:afterLines="50"/>
      <w:ind w:firstLine="200" w:firstLineChars="200"/>
    </w:pPr>
    <w:rPr>
      <w:color w:val="000000"/>
      <w:sz w:val="24"/>
      <w:szCs w:val="24"/>
    </w:rPr>
  </w:style>
  <w:style w:type="paragraph" w:customStyle="1" w:styleId="138">
    <w:name w:val="表内文字"/>
    <w:basedOn w:val="139"/>
    <w:next w:val="1"/>
    <w:autoRedefine/>
    <w:qFormat/>
    <w:uiPriority w:val="0"/>
    <w:pPr>
      <w:widowControl w:val="0"/>
      <w:ind w:left="-20" w:leftChars="-20" w:right="-20" w:rightChars="-20"/>
    </w:pPr>
    <w:rPr>
      <w:rFonts w:ascii="Times New Roman" w:hAnsi="Times New Roman"/>
    </w:rPr>
  </w:style>
  <w:style w:type="paragraph" w:customStyle="1" w:styleId="139">
    <w:name w:val="表头"/>
    <w:basedOn w:val="1"/>
    <w:next w:val="138"/>
    <w:autoRedefine/>
    <w:qFormat/>
    <w:uiPriority w:val="0"/>
    <w:pPr>
      <w:spacing w:line="500" w:lineRule="exact"/>
      <w:jc w:val="center"/>
    </w:pPr>
  </w:style>
  <w:style w:type="paragraph" w:customStyle="1" w:styleId="140">
    <w:name w:val="表格文字1"/>
    <w:basedOn w:val="1"/>
    <w:link w:val="151"/>
    <w:autoRedefine/>
    <w:qFormat/>
    <w:uiPriority w:val="0"/>
    <w:pPr>
      <w:jc w:val="center"/>
    </w:pPr>
    <w:rPr>
      <w:kern w:val="0"/>
    </w:rPr>
  </w:style>
  <w:style w:type="character" w:customStyle="1" w:styleId="141">
    <w:name w:val="toppdivcontent"/>
    <w:autoRedefine/>
    <w:qFormat/>
    <w:uiPriority w:val="0"/>
  </w:style>
  <w:style w:type="character" w:customStyle="1" w:styleId="142">
    <w:name w:val="纯文本 字符"/>
    <w:link w:val="25"/>
    <w:autoRedefine/>
    <w:qFormat/>
    <w:uiPriority w:val="0"/>
    <w:rPr>
      <w:rFonts w:ascii="宋体" w:hAnsi="Courier New" w:cs="Courier New"/>
      <w:szCs w:val="21"/>
    </w:rPr>
  </w:style>
  <w:style w:type="character" w:customStyle="1" w:styleId="143">
    <w:name w:val="纯文本 Char"/>
    <w:basedOn w:val="41"/>
    <w:autoRedefine/>
    <w:semiHidden/>
    <w:qFormat/>
    <w:uiPriority w:val="99"/>
    <w:rPr>
      <w:rFonts w:ascii="宋体" w:hAnsi="Courier New" w:cs="Courier New"/>
      <w:kern w:val="2"/>
      <w:sz w:val="21"/>
      <w:szCs w:val="21"/>
    </w:rPr>
  </w:style>
  <w:style w:type="paragraph" w:customStyle="1" w:styleId="144">
    <w:name w:val="Char Char Char Char Char Char2"/>
    <w:basedOn w:val="1"/>
    <w:autoRedefine/>
    <w:qFormat/>
    <w:uiPriority w:val="0"/>
    <w:pPr>
      <w:widowControl w:val="0"/>
      <w:adjustRightInd/>
      <w:snapToGrid/>
      <w:spacing w:line="500" w:lineRule="exact"/>
      <w:ind w:firstLine="880" w:firstLineChars="200"/>
    </w:pPr>
    <w:rPr>
      <w:rFonts w:ascii="Times New Roman" w:hAnsi="Times New Roman"/>
      <w:sz w:val="24"/>
      <w:szCs w:val="24"/>
    </w:rPr>
  </w:style>
  <w:style w:type="paragraph" w:customStyle="1" w:styleId="145">
    <w:name w:val="表格表头"/>
    <w:basedOn w:val="25"/>
    <w:autoRedefine/>
    <w:qFormat/>
    <w:uiPriority w:val="0"/>
    <w:pPr>
      <w:widowControl/>
      <w:adjustRightInd w:val="0"/>
      <w:snapToGrid w:val="0"/>
      <w:spacing w:before="100" w:beforeAutospacing="1"/>
      <w:jc w:val="center"/>
    </w:pPr>
    <w:rPr>
      <w:rFonts w:ascii="Times New Roman" w:hAnsi="Times New Roman" w:eastAsia="楷体_GB2312" w:cs="Times New Roman"/>
      <w:b/>
      <w:bCs/>
      <w:szCs w:val="20"/>
    </w:rPr>
  </w:style>
  <w:style w:type="table" w:customStyle="1" w:styleId="146">
    <w:name w:val="Table Normal"/>
    <w:autoRedefine/>
    <w:semiHidden/>
    <w:unhideWhenUsed/>
    <w:qFormat/>
    <w:uiPriority w:val="0"/>
    <w:rPr>
      <w:rFonts w:ascii="Arial" w:hAnsi="Arial" w:cs="Arial"/>
      <w:snapToGrid w:val="0"/>
      <w:color w:val="000000"/>
      <w:sz w:val="21"/>
      <w:szCs w:val="21"/>
    </w:rPr>
    <w:tblPr>
      <w:tblCellMar>
        <w:top w:w="0" w:type="dxa"/>
        <w:left w:w="0" w:type="dxa"/>
        <w:bottom w:w="0" w:type="dxa"/>
        <w:right w:w="0" w:type="dxa"/>
      </w:tblCellMar>
    </w:tblPr>
  </w:style>
  <w:style w:type="paragraph" w:customStyle="1" w:styleId="147">
    <w:name w:val="表头111"/>
    <w:basedOn w:val="1"/>
    <w:autoRedefine/>
    <w:qFormat/>
    <w:uiPriority w:val="0"/>
    <w:pPr>
      <w:widowControl w:val="0"/>
      <w:spacing w:before="120" w:after="120"/>
      <w:jc w:val="center"/>
    </w:pPr>
    <w:rPr>
      <w:rFonts w:ascii="Times New Roman" w:hAnsi="Times New Roman"/>
      <w:b/>
      <w:sz w:val="24"/>
      <w:szCs w:val="28"/>
    </w:rPr>
  </w:style>
  <w:style w:type="character" w:customStyle="1" w:styleId="148">
    <w:name w:val="样式 宋体 小四"/>
    <w:autoRedefine/>
    <w:qFormat/>
    <w:uiPriority w:val="0"/>
    <w:rPr>
      <w:rFonts w:ascii="Times New Roman" w:hAnsi="Times New Roman" w:eastAsia="宋体"/>
      <w:sz w:val="24"/>
      <w:vertAlign w:val="baseline"/>
    </w:rPr>
  </w:style>
  <w:style w:type="character" w:customStyle="1" w:styleId="149">
    <w:name w:val="正文文字 Char Char"/>
    <w:link w:val="150"/>
    <w:autoRedefine/>
    <w:qFormat/>
    <w:uiPriority w:val="0"/>
    <w:rPr>
      <w:sz w:val="24"/>
    </w:rPr>
  </w:style>
  <w:style w:type="paragraph" w:customStyle="1" w:styleId="150">
    <w:name w:val="正文文字"/>
    <w:basedOn w:val="19"/>
    <w:link w:val="149"/>
    <w:autoRedefine/>
    <w:qFormat/>
    <w:uiPriority w:val="0"/>
    <w:pPr>
      <w:adjustRightInd w:val="0"/>
      <w:snapToGrid w:val="0"/>
      <w:spacing w:line="480" w:lineRule="exact"/>
      <w:ind w:firstLine="200"/>
    </w:pPr>
    <w:rPr>
      <w:rFonts w:ascii="Calibri" w:hAnsi="Calibri"/>
      <w:kern w:val="0"/>
      <w:sz w:val="24"/>
    </w:rPr>
  </w:style>
  <w:style w:type="character" w:customStyle="1" w:styleId="151">
    <w:name w:val="表格文字1 Char"/>
    <w:link w:val="140"/>
    <w:autoRedefine/>
    <w:qFormat/>
    <w:uiPriority w:val="0"/>
    <w:rPr>
      <w:sz w:val="21"/>
      <w:szCs w:val="21"/>
    </w:rPr>
  </w:style>
  <w:style w:type="paragraph" w:customStyle="1" w:styleId="152">
    <w:name w:val="正文首行缩进 21"/>
    <w:basedOn w:val="23"/>
    <w:next w:val="1"/>
    <w:autoRedefine/>
    <w:qFormat/>
    <w:locked/>
    <w:uiPriority w:val="0"/>
    <w:pPr>
      <w:spacing w:line="360" w:lineRule="auto"/>
      <w:ind w:firstLine="420"/>
    </w:pPr>
  </w:style>
  <w:style w:type="paragraph" w:customStyle="1" w:styleId="153">
    <w:name w:val="WPSOffice手动目录 1"/>
    <w:autoRedefine/>
    <w:qFormat/>
    <w:uiPriority w:val="0"/>
    <w:rPr>
      <w:rFonts w:asciiTheme="minorHAnsi" w:hAnsiTheme="minorHAnsi" w:eastAsiaTheme="minorEastAsia" w:cstheme="minorBidi"/>
      <w:lang w:val="en-US" w:eastAsia="zh-CN" w:bidi="ar-SA"/>
    </w:rPr>
  </w:style>
  <w:style w:type="character" w:customStyle="1" w:styleId="154">
    <w:name w:val="font01"/>
    <w:basedOn w:val="41"/>
    <w:autoRedefine/>
    <w:qFormat/>
    <w:uiPriority w:val="0"/>
    <w:rPr>
      <w:rFonts w:hint="default" w:ascii="Times New Roman" w:hAnsi="Times New Roman" w:cs="Times New Roman"/>
      <w:color w:val="000000"/>
      <w:sz w:val="18"/>
      <w:szCs w:val="18"/>
      <w:u w:val="none"/>
      <w:vertAlign w:val="subscript"/>
    </w:rPr>
  </w:style>
  <w:style w:type="character" w:customStyle="1" w:styleId="155">
    <w:name w:val="font31"/>
    <w:basedOn w:val="41"/>
    <w:autoRedefine/>
    <w:qFormat/>
    <w:uiPriority w:val="0"/>
    <w:rPr>
      <w:rFonts w:hint="default" w:ascii="Times New Roman" w:hAnsi="Times New Roman" w:cs="Times New Roman"/>
      <w:color w:val="000000"/>
      <w:sz w:val="18"/>
      <w:szCs w:val="18"/>
      <w:u w:val="none"/>
    </w:rPr>
  </w:style>
  <w:style w:type="character" w:customStyle="1" w:styleId="156">
    <w:name w:val="font11"/>
    <w:basedOn w:val="41"/>
    <w:autoRedefine/>
    <w:qFormat/>
    <w:uiPriority w:val="0"/>
    <w:rPr>
      <w:rFonts w:hint="default" w:ascii="Times New Roman" w:hAnsi="Times New Roman" w:cs="Times New Roman"/>
      <w:color w:val="000000"/>
      <w:sz w:val="18"/>
      <w:szCs w:val="18"/>
      <w:u w:val="none"/>
      <w:vertAlign w:val="subscript"/>
    </w:rPr>
  </w:style>
  <w:style w:type="character" w:customStyle="1" w:styleId="157">
    <w:name w:val="font41"/>
    <w:basedOn w:val="41"/>
    <w:autoRedefine/>
    <w:qFormat/>
    <w:uiPriority w:val="0"/>
    <w:rPr>
      <w:rFonts w:hint="default" w:ascii="Times New Roman" w:hAnsi="Times New Roman" w:cs="Times New Roman"/>
      <w:color w:val="000000"/>
      <w:sz w:val="18"/>
      <w:szCs w:val="18"/>
      <w:u w:val="none"/>
    </w:rPr>
  </w:style>
  <w:style w:type="paragraph" w:customStyle="1" w:styleId="158">
    <w:name w:val="环科院正文"/>
    <w:basedOn w:val="1"/>
    <w:autoRedefine/>
    <w:qFormat/>
    <w:uiPriority w:val="0"/>
    <w:pPr>
      <w:spacing w:line="360" w:lineRule="auto"/>
      <w:ind w:firstLine="360" w:firstLineChars="150"/>
    </w:pPr>
    <w:rPr>
      <w:sz w:val="24"/>
    </w:rPr>
  </w:style>
  <w:style w:type="paragraph" w:customStyle="1" w:styleId="159">
    <w:name w:val="正文缩进1"/>
    <w:basedOn w:val="1"/>
    <w:next w:val="160"/>
    <w:qFormat/>
    <w:uiPriority w:val="0"/>
    <w:pPr>
      <w:widowControl/>
      <w:spacing w:beforeLines="0" w:afterLines="0" w:line="360" w:lineRule="auto"/>
      <w:ind w:firstLine="420"/>
      <w:jc w:val="left"/>
    </w:pPr>
    <w:rPr>
      <w:sz w:val="24"/>
      <w:szCs w:val="22"/>
    </w:rPr>
  </w:style>
  <w:style w:type="paragraph" w:customStyle="1" w:styleId="160">
    <w:name w:val="td1"/>
    <w:basedOn w:val="1"/>
    <w:next w:val="1"/>
    <w:qFormat/>
    <w:uiPriority w:val="0"/>
    <w:pPr>
      <w:widowControl/>
      <w:adjustRightInd/>
      <w:snapToGrid/>
      <w:spacing w:before="100" w:beforeAutospacing="1" w:after="100" w:afterAutospacing="1" w:line="240" w:lineRule="auto"/>
      <w:ind w:firstLine="0" w:firstLineChars="0"/>
      <w:jc w:val="center"/>
    </w:pPr>
    <w:rPr>
      <w:rFonts w:ascii="宋体" w:hAnsi="宋体"/>
      <w:b/>
      <w:bCs/>
      <w:snapToGrid/>
      <w:color w:val="0000FF"/>
      <w:spacing w:val="-2"/>
      <w:sz w:val="28"/>
      <w:szCs w:val="28"/>
      <w:u w:val="single"/>
    </w:rPr>
  </w:style>
  <w:style w:type="paragraph" w:customStyle="1" w:styleId="161">
    <w:name w:val="表头2"/>
    <w:basedOn w:val="162"/>
    <w:qFormat/>
    <w:uiPriority w:val="0"/>
    <w:pPr>
      <w:spacing w:before="100" w:beforeLines="100" w:after="50" w:afterLines="50" w:line="240" w:lineRule="auto"/>
      <w:ind w:firstLine="0" w:firstLineChars="0"/>
      <w:jc w:val="center"/>
    </w:pPr>
    <w:rPr>
      <w:rFonts w:ascii="Times New Roman" w:hAnsi="Times New Roman"/>
      <w:b/>
      <w:bCs/>
      <w:sz w:val="20"/>
      <w:szCs w:val="21"/>
    </w:rPr>
  </w:style>
  <w:style w:type="paragraph" w:customStyle="1" w:styleId="162">
    <w:name w:val="正文（用）"/>
    <w:basedOn w:val="1"/>
    <w:qFormat/>
    <w:uiPriority w:val="0"/>
    <w:pPr>
      <w:ind w:firstLine="480" w:firstLineChars="200"/>
      <w:jc w:val="left"/>
    </w:pPr>
    <w:rPr>
      <w:rFonts w:ascii="宋体" w:hAnsi="宋体"/>
      <w:kern w:val="0"/>
    </w:rPr>
  </w:style>
  <w:style w:type="paragraph" w:customStyle="1" w:styleId="163">
    <w:name w:val="Table Text"/>
    <w:basedOn w:val="1"/>
    <w:semiHidden/>
    <w:qFormat/>
    <w:uiPriority w:val="0"/>
    <w:rPr>
      <w:rFonts w:ascii="宋体" w:hAnsi="宋体" w:eastAsia="宋体" w:cs="宋体"/>
      <w:sz w:val="24"/>
      <w:szCs w:val="24"/>
      <w:lang w:val="en-US" w:eastAsia="en-US" w:bidi="ar-SA"/>
    </w:rPr>
  </w:style>
  <w:style w:type="paragraph" w:customStyle="1" w:styleId="164">
    <w:name w:val="正文文"/>
    <w:basedOn w:val="1"/>
    <w:qFormat/>
    <w:uiPriority w:val="0"/>
    <w:pPr>
      <w:ind w:firstLine="1441"/>
      <w:jc w:val="left"/>
    </w:pPr>
  </w:style>
  <w:style w:type="paragraph" w:customStyle="1" w:styleId="165">
    <w:name w:val="正文文字 6"/>
    <w:next w:val="1"/>
    <w:qFormat/>
    <w:uiPriority w:val="0"/>
    <w:pPr>
      <w:widowControl w:val="0"/>
      <w:ind w:left="240"/>
      <w:jc w:val="both"/>
    </w:pPr>
    <w:rPr>
      <w:rFonts w:ascii="宋体" w:hAnsi="宋体" w:eastAsia="等线" w:cs="等线"/>
      <w:b/>
      <w:bCs/>
      <w:kern w:val="2"/>
      <w:sz w:val="24"/>
      <w:szCs w:val="32"/>
      <w:lang w:val="en-US" w:eastAsia="zh-CN" w:bidi="ar-SA"/>
    </w:rPr>
  </w:style>
  <w:style w:type="paragraph" w:customStyle="1" w:styleId="166">
    <w:name w:val="正文000000"/>
    <w:basedOn w:val="1"/>
    <w:next w:val="1"/>
    <w:qFormat/>
    <w:uiPriority w:val="0"/>
    <w:pPr>
      <w:adjustRightInd w:val="0"/>
      <w:snapToGrid w:val="0"/>
      <w:spacing w:line="360" w:lineRule="auto"/>
      <w:ind w:firstLine="200" w:firstLineChars="200"/>
    </w:pPr>
    <w:rPr>
      <w:rFonts w:ascii="宋体" w:hAnsi="宋体" w:cs="宋体"/>
      <w:sz w:val="24"/>
    </w:rPr>
  </w:style>
  <w:style w:type="paragraph" w:customStyle="1" w:styleId="167">
    <w:name w:val="样式1"/>
    <w:basedOn w:val="1"/>
    <w:qFormat/>
    <w:uiPriority w:val="0"/>
    <w:pPr>
      <w:spacing w:after="40" w:afterLines="0" w:line="300" w:lineRule="atLeast"/>
      <w:jc w:val="center"/>
      <w:outlineLvl w:val="2"/>
    </w:pPr>
    <w:rPr>
      <w:rFonts w:eastAsia="楷体_GB2312"/>
      <w:szCs w:val="20"/>
    </w:rPr>
  </w:style>
  <w:style w:type="paragraph" w:customStyle="1" w:styleId="168">
    <w:name w:val="表格1"/>
    <w:basedOn w:val="1"/>
    <w:qFormat/>
    <w:uiPriority w:val="0"/>
    <w:pPr>
      <w:adjustRightInd w:val="0"/>
      <w:spacing w:line="360" w:lineRule="atLeast"/>
      <w:jc w:val="center"/>
      <w:textAlignment w:val="baseline"/>
    </w:pPr>
    <w:rPr>
      <w:rFonts w:ascii="CG Times (WN)" w:hAnsi="宋体"/>
      <w:kern w:val="0"/>
      <w:sz w:val="24"/>
      <w:szCs w:val="20"/>
    </w:rPr>
  </w:style>
  <w:style w:type="paragraph" w:customStyle="1" w:styleId="169">
    <w:name w:val="0正文"/>
    <w:unhideWhenUsed/>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170">
    <w:name w:val="xl7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Courier New" w:hAnsi="Courier New" w:eastAsia="Arial Unicode MS"/>
      <w:kern w:val="0"/>
      <w:sz w:val="24"/>
    </w:rPr>
  </w:style>
  <w:style w:type="paragraph" w:customStyle="1" w:styleId="171">
    <w:name w:val="Other|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172">
    <w:name w:val="lh-表题-报告书正文"/>
    <w:next w:val="1"/>
    <w:qFormat/>
    <w:uiPriority w:val="0"/>
    <w:pPr>
      <w:keepNext/>
      <w:jc w:val="center"/>
    </w:pPr>
    <w:rPr>
      <w:rFonts w:ascii="Times New Roman" w:hAnsi="Times New Roman" w:eastAsia="宋体" w:cs="黑体"/>
      <w:b/>
      <w:snapToGrid w:val="0"/>
      <w:sz w:val="21"/>
      <w:lang w:val="en-US" w:eastAsia="zh-CN" w:bidi="ar-SA"/>
    </w:rPr>
  </w:style>
  <w:style w:type="paragraph" w:customStyle="1" w:styleId="173">
    <w:name w:val="文本正文"/>
    <w:basedOn w:val="1"/>
    <w:qFormat/>
    <w:uiPriority w:val="0"/>
    <w:pPr>
      <w:adjustRightInd/>
      <w:snapToGrid/>
      <w:spacing w:after="2" w:line="360" w:lineRule="auto"/>
      <w:ind w:firstLine="420" w:firstLineChars="200"/>
    </w:pPr>
    <w:rPr>
      <w:rFonts w:ascii="Calibri" w:hAnsi="Calibri" w:eastAsia="宋体" w:cs="Times New Roman"/>
      <w:sz w:val="24"/>
      <w:szCs w:val="22"/>
    </w:rPr>
  </w:style>
  <w:style w:type="paragraph" w:customStyle="1" w:styleId="174">
    <w:name w:val="文本表格"/>
    <w:basedOn w:val="1"/>
    <w:qFormat/>
    <w:uiPriority w:val="0"/>
    <w:pPr>
      <w:adjustRightInd/>
      <w:snapToGrid/>
      <w:spacing w:line="240" w:lineRule="auto"/>
      <w:ind w:firstLine="0" w:firstLineChars="0"/>
      <w:jc w:val="center"/>
    </w:pPr>
    <w:rPr>
      <w:rFonts w:hint="eastAsia" w:ascii="宋体" w:hAnsi="宋体" w:eastAsia="宋体" w:cs="宋体"/>
      <w:sz w:val="21"/>
    </w:rPr>
  </w:style>
  <w:style w:type="paragraph" w:customStyle="1" w:styleId="175">
    <w:name w:val="列表段落1"/>
    <w:qFormat/>
    <w:uiPriority w:val="34"/>
    <w:pPr>
      <w:widowControl w:val="0"/>
      <w:ind w:firstLine="420" w:firstLineChars="200"/>
      <w:jc w:val="both"/>
    </w:pPr>
    <w:rPr>
      <w:rFonts w:ascii="Times New Roman" w:hAnsi="Times New Roman" w:eastAsia="宋体" w:cs="Times New Roman"/>
      <w:kern w:val="2"/>
      <w:sz w:val="21"/>
      <w:szCs w:val="22"/>
      <w:lang w:val="en-US" w:eastAsia="zh-CN" w:bidi="ar-SA"/>
    </w:rPr>
  </w:style>
  <w:style w:type="paragraph" w:customStyle="1" w:styleId="176">
    <w:name w:val="文本表头"/>
    <w:basedOn w:val="1"/>
    <w:qFormat/>
    <w:uiPriority w:val="0"/>
    <w:pPr>
      <w:autoSpaceDE/>
      <w:autoSpaceDN/>
      <w:adjustRightInd/>
      <w:snapToGrid/>
      <w:spacing w:before="50" w:beforeLines="50" w:line="240" w:lineRule="auto"/>
      <w:ind w:firstLine="0" w:firstLineChars="0"/>
      <w:jc w:val="center"/>
    </w:pPr>
    <w:rPr>
      <w:rFonts w:hint="eastAsia" w:ascii="宋体" w:hAnsi="宋体" w:eastAsia="宋体" w:cs="宋体"/>
      <w:b/>
      <w:sz w:val="21"/>
      <w:szCs w:val="22"/>
    </w:rPr>
  </w:style>
  <w:style w:type="paragraph" w:customStyle="1" w:styleId="177">
    <w:name w:val="表格五号"/>
    <w:basedOn w:val="1"/>
    <w:qFormat/>
    <w:uiPriority w:val="0"/>
    <w:pPr>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B3D4D9-8729-44A6-ABF1-4C0222096EA3}">
  <ds:schemaRefs/>
</ds:datastoreItem>
</file>

<file path=docProps/app.xml><?xml version="1.0" encoding="utf-8"?>
<Properties xmlns="http://schemas.openxmlformats.org/officeDocument/2006/extended-properties" xmlns:vt="http://schemas.openxmlformats.org/officeDocument/2006/docPropsVTypes">
  <Template>Normal.dotm</Template>
  <Pages>56</Pages>
  <Words>311</Words>
  <Characters>320</Characters>
  <Lines>223</Lines>
  <Paragraphs>62</Paragraphs>
  <TotalTime>4</TotalTime>
  <ScaleCrop>false</ScaleCrop>
  <LinksUpToDate>false</LinksUpToDate>
  <CharactersWithSpaces>344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2024-04-29T08:42:00Z</dcterms:created>
  <dc:creator>李 茜漫</dc:creator>
  <cp:lastModifiedBy>Administrator</cp:lastModifiedBy>
  <cp:lastPrinted>2023-03-08T03:59:00Z</cp:lastPrinted>
  <dcterms:modified xsi:type="dcterms:W3CDTF">2025-05-30T06:29:22Z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5058A65A3F4C49A0921FB457DB583294_13</vt:lpwstr>
  </property>
  <property fmtid="{D5CDD505-2E9C-101B-9397-08002B2CF9AE}" pid="4" name="KSOTemplateDocerSaveRecord">
    <vt:lpwstr>eyJoZGlkIjoiMDRhZmU4NTE0MWZhMjkzYzUxZDdmODBjMzhjZjhjZTUifQ==</vt:lpwstr>
  </property>
</Properties>
</file>