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FDCABF">
      <w:pPr>
        <w:adjustRightInd w:val="0"/>
        <w:snapToGrid w:val="0"/>
        <w:ind w:firstLine="0" w:firstLineChars="0"/>
        <w:jc w:val="center"/>
        <w:outlineLvl w:val="0"/>
        <w:rPr>
          <w:rFonts w:hint="eastAsia" w:ascii="方正小标宋_GBK" w:eastAsia="方正小标宋_GBK"/>
          <w:bCs/>
          <w:color w:val="auto"/>
          <w:sz w:val="72"/>
          <w:szCs w:val="72"/>
          <w:u w:val="none" w:color="auto"/>
        </w:rPr>
      </w:pPr>
      <w:bookmarkStart w:id="0" w:name="_Toc16199"/>
      <w:bookmarkStart w:id="1" w:name="_Toc207"/>
      <w:r>
        <w:rPr>
          <w:rFonts w:hint="eastAsia" w:ascii="方正小标宋_GBK" w:eastAsia="方正小标宋_GBK"/>
          <w:bCs/>
          <w:color w:val="auto"/>
          <w:sz w:val="72"/>
          <w:szCs w:val="72"/>
          <w:u w:val="none" w:color="auto"/>
        </w:rPr>
        <w:t>建设项目环境影响报告表</w:t>
      </w:r>
      <w:bookmarkEnd w:id="0"/>
      <w:bookmarkEnd w:id="1"/>
    </w:p>
    <w:p w14:paraId="24C0BD9A">
      <w:pPr>
        <w:adjustRightInd w:val="0"/>
        <w:snapToGrid w:val="0"/>
        <w:spacing w:before="192" w:beforeLines="80"/>
        <w:ind w:firstLine="0" w:firstLineChars="0"/>
        <w:jc w:val="center"/>
        <w:rPr>
          <w:rFonts w:hint="eastAsia" w:ascii="楷体_GB2312" w:eastAsia="楷体_GB2312"/>
          <w:bCs/>
          <w:color w:val="auto"/>
          <w:sz w:val="48"/>
          <w:szCs w:val="48"/>
          <w:u w:val="none" w:color="auto"/>
        </w:rPr>
      </w:pPr>
      <w:r>
        <w:rPr>
          <w:rFonts w:hint="eastAsia" w:ascii="楷体_GB2312" w:eastAsia="楷体_GB2312"/>
          <w:bCs/>
          <w:color w:val="auto"/>
          <w:sz w:val="48"/>
          <w:szCs w:val="48"/>
          <w:u w:val="none" w:color="auto"/>
        </w:rPr>
        <w:t>（污染影响类）</w:t>
      </w:r>
    </w:p>
    <w:p w14:paraId="666F27DC">
      <w:pPr>
        <w:adjustRightInd w:val="0"/>
        <w:snapToGrid w:val="0"/>
        <w:spacing w:line="288" w:lineRule="auto"/>
        <w:rPr>
          <w:rFonts w:hint="eastAsia" w:ascii="仿宋_GB2312" w:eastAsia="仿宋_GB2312"/>
          <w:color w:val="auto"/>
          <w:sz w:val="36"/>
          <w:szCs w:val="36"/>
          <w:u w:val="none" w:color="auto"/>
        </w:rPr>
      </w:pPr>
    </w:p>
    <w:p w14:paraId="45A7C62E">
      <w:pPr>
        <w:adjustRightInd w:val="0"/>
        <w:snapToGrid w:val="0"/>
        <w:spacing w:line="288" w:lineRule="auto"/>
        <w:rPr>
          <w:rFonts w:hint="eastAsia" w:ascii="仿宋_GB2312" w:eastAsia="仿宋_GB2312"/>
          <w:color w:val="auto"/>
          <w:sz w:val="36"/>
          <w:szCs w:val="36"/>
          <w:u w:val="none" w:color="auto"/>
        </w:rPr>
      </w:pPr>
    </w:p>
    <w:p w14:paraId="2638CCFA">
      <w:pPr>
        <w:adjustRightInd w:val="0"/>
        <w:snapToGrid w:val="0"/>
        <w:spacing w:line="288" w:lineRule="auto"/>
        <w:rPr>
          <w:rFonts w:hint="eastAsia" w:ascii="仿宋_GB2312" w:eastAsia="仿宋_GB2312"/>
          <w:color w:val="auto"/>
          <w:sz w:val="36"/>
          <w:szCs w:val="36"/>
          <w:u w:val="none" w:color="auto"/>
        </w:rPr>
      </w:pPr>
    </w:p>
    <w:p w14:paraId="24C66F56">
      <w:pPr>
        <w:adjustRightInd w:val="0"/>
        <w:snapToGrid w:val="0"/>
        <w:spacing w:line="288" w:lineRule="auto"/>
        <w:rPr>
          <w:rFonts w:hint="eastAsia" w:ascii="仿宋_GB2312" w:eastAsia="仿宋_GB2312"/>
          <w:color w:val="auto"/>
          <w:sz w:val="36"/>
          <w:szCs w:val="36"/>
          <w:u w:val="none" w:color="auto"/>
        </w:rPr>
      </w:pPr>
    </w:p>
    <w:p w14:paraId="409D200E">
      <w:pPr>
        <w:adjustRightInd w:val="0"/>
        <w:snapToGrid w:val="0"/>
        <w:spacing w:line="288" w:lineRule="auto"/>
        <w:rPr>
          <w:rFonts w:hint="eastAsia" w:ascii="仿宋_GB2312" w:eastAsia="仿宋_GB2312"/>
          <w:color w:val="auto"/>
          <w:sz w:val="36"/>
          <w:szCs w:val="36"/>
          <w:u w:val="none" w:color="auto"/>
        </w:rPr>
      </w:pPr>
    </w:p>
    <w:p w14:paraId="7EA5BE02">
      <w:pPr>
        <w:adjustRightInd w:val="0"/>
        <w:snapToGrid w:val="0"/>
        <w:spacing w:line="288" w:lineRule="auto"/>
        <w:rPr>
          <w:rFonts w:hint="eastAsia" w:ascii="仿宋_GB2312" w:eastAsia="仿宋_GB2312"/>
          <w:color w:val="auto"/>
          <w:sz w:val="36"/>
          <w:szCs w:val="36"/>
          <w:u w:val="none" w:color="auto"/>
        </w:rPr>
      </w:pPr>
    </w:p>
    <w:p w14:paraId="0FE16C03">
      <w:pPr>
        <w:adjustRightInd w:val="0"/>
        <w:snapToGrid w:val="0"/>
        <w:spacing w:line="288" w:lineRule="auto"/>
        <w:rPr>
          <w:rFonts w:hint="eastAsia" w:ascii="仿宋_GB2312" w:eastAsia="仿宋_GB2312"/>
          <w:color w:val="auto"/>
          <w:sz w:val="36"/>
          <w:szCs w:val="36"/>
          <w:u w:val="single" w:color="auto"/>
          <w:lang w:eastAsia="zh-CN"/>
        </w:rPr>
      </w:pPr>
      <w:r>
        <w:rPr>
          <w:rFonts w:hint="eastAsia" w:ascii="仿宋_GB2312" w:eastAsia="仿宋_GB2312"/>
          <w:color w:val="auto"/>
          <w:sz w:val="36"/>
          <w:szCs w:val="36"/>
          <w:u w:val="none" w:color="auto"/>
        </w:rPr>
        <w:t>项目名称：</w:t>
      </w:r>
      <w:r>
        <w:rPr>
          <w:rFonts w:hint="eastAsia" w:ascii="仿宋_GB2312" w:eastAsia="仿宋_GB2312"/>
          <w:color w:val="auto"/>
          <w:sz w:val="36"/>
          <w:szCs w:val="36"/>
          <w:u w:val="single" w:color="auto"/>
          <w:lang w:eastAsia="zh-CN"/>
        </w:rPr>
        <w:t>新田县信继善新能源锂离子电池产业化项目</w:t>
      </w:r>
    </w:p>
    <w:p w14:paraId="04DD8499">
      <w:pPr>
        <w:adjustRightInd w:val="0"/>
        <w:snapToGrid w:val="0"/>
        <w:spacing w:line="288" w:lineRule="auto"/>
        <w:rPr>
          <w:rFonts w:hint="eastAsia" w:ascii="仿宋_GB2312" w:eastAsia="仿宋_GB2312"/>
          <w:color w:val="auto"/>
          <w:sz w:val="36"/>
          <w:szCs w:val="36"/>
          <w:u w:val="single" w:color="auto"/>
          <w:lang w:eastAsia="zh-CN"/>
        </w:rPr>
      </w:pPr>
      <w:r>
        <w:rPr>
          <w:rFonts w:hint="eastAsia" w:ascii="仿宋_GB2312" w:eastAsia="仿宋_GB2312"/>
          <w:color w:val="auto"/>
          <w:sz w:val="36"/>
          <w:szCs w:val="36"/>
          <w:u w:val="none" w:color="auto"/>
        </w:rPr>
        <w:t>建设单位（盖章）：</w:t>
      </w:r>
      <w:r>
        <w:rPr>
          <w:rFonts w:hint="eastAsia" w:ascii="仿宋_GB2312" w:eastAsia="仿宋_GB2312"/>
          <w:color w:val="auto"/>
          <w:sz w:val="36"/>
          <w:szCs w:val="36"/>
          <w:u w:val="single" w:color="auto"/>
          <w:lang w:eastAsia="zh-CN"/>
        </w:rPr>
        <w:t>湖南信继善新能源科技有限公司</w:t>
      </w:r>
    </w:p>
    <w:p w14:paraId="08BD3419">
      <w:pPr>
        <w:adjustRightInd w:val="0"/>
        <w:snapToGrid w:val="0"/>
        <w:spacing w:line="288" w:lineRule="auto"/>
        <w:rPr>
          <w:rFonts w:hint="eastAsia" w:ascii="仿宋_GB2312" w:eastAsia="仿宋_GB2312"/>
          <w:color w:val="auto"/>
          <w:sz w:val="36"/>
          <w:szCs w:val="36"/>
          <w:u w:val="none" w:color="auto"/>
          <w:lang w:eastAsia="zh-CN"/>
        </w:rPr>
      </w:pPr>
      <w:r>
        <w:rPr>
          <w:rFonts w:hint="eastAsia" w:ascii="仿宋_GB2312" w:eastAsia="仿宋_GB2312"/>
          <w:color w:val="auto"/>
          <w:sz w:val="36"/>
          <w:szCs w:val="36"/>
          <w:u w:val="none" w:color="auto"/>
        </w:rPr>
        <w:t>编制日期：</w:t>
      </w:r>
      <w:r>
        <w:rPr>
          <w:rFonts w:hint="eastAsia" w:ascii="仿宋_GB2312" w:eastAsia="仿宋_GB2312"/>
          <w:color w:val="auto"/>
          <w:sz w:val="36"/>
          <w:szCs w:val="36"/>
          <w:u w:val="single" w:color="auto"/>
        </w:rPr>
        <w:t>202</w:t>
      </w:r>
      <w:r>
        <w:rPr>
          <w:rFonts w:hint="eastAsia" w:ascii="仿宋_GB2312" w:eastAsia="仿宋_GB2312"/>
          <w:color w:val="auto"/>
          <w:sz w:val="36"/>
          <w:szCs w:val="36"/>
          <w:u w:val="single" w:color="auto"/>
          <w:lang w:val="en-US" w:eastAsia="zh-CN"/>
        </w:rPr>
        <w:t>5</w:t>
      </w:r>
      <w:r>
        <w:rPr>
          <w:rFonts w:hint="eastAsia" w:ascii="仿宋_GB2312" w:eastAsia="仿宋_GB2312"/>
          <w:color w:val="auto"/>
          <w:sz w:val="36"/>
          <w:szCs w:val="36"/>
          <w:u w:val="single" w:color="auto"/>
        </w:rPr>
        <w:t>年</w:t>
      </w:r>
      <w:r>
        <w:rPr>
          <w:rFonts w:hint="eastAsia" w:ascii="仿宋_GB2312" w:eastAsia="仿宋_GB2312"/>
          <w:color w:val="auto"/>
          <w:sz w:val="36"/>
          <w:szCs w:val="36"/>
          <w:u w:val="single" w:color="auto"/>
          <w:lang w:val="en-US" w:eastAsia="zh-CN"/>
        </w:rPr>
        <w:t>3</w:t>
      </w:r>
      <w:r>
        <w:rPr>
          <w:rFonts w:hint="eastAsia" w:ascii="仿宋_GB2312" w:eastAsia="仿宋_GB2312"/>
          <w:color w:val="auto"/>
          <w:sz w:val="36"/>
          <w:szCs w:val="36"/>
          <w:u w:val="single" w:color="auto"/>
        </w:rPr>
        <w:t>月</w:t>
      </w:r>
      <w:bookmarkStart w:id="2" w:name="_Hlk57884087"/>
    </w:p>
    <w:p w14:paraId="28B00957">
      <w:pPr>
        <w:adjustRightInd w:val="0"/>
        <w:snapToGrid w:val="0"/>
        <w:spacing w:line="288" w:lineRule="auto"/>
        <w:rPr>
          <w:rFonts w:ascii="仿宋_GB2312" w:eastAsia="仿宋_GB2312"/>
          <w:color w:val="auto"/>
          <w:sz w:val="36"/>
          <w:szCs w:val="36"/>
          <w:u w:val="none" w:color="auto"/>
        </w:rPr>
      </w:pPr>
    </w:p>
    <w:p w14:paraId="6A145D02">
      <w:pPr>
        <w:adjustRightInd w:val="0"/>
        <w:snapToGrid w:val="0"/>
        <w:spacing w:line="288" w:lineRule="auto"/>
        <w:rPr>
          <w:rFonts w:ascii="仿宋_GB2312" w:eastAsia="仿宋_GB2312"/>
          <w:color w:val="auto"/>
          <w:sz w:val="36"/>
          <w:szCs w:val="36"/>
          <w:u w:val="none" w:color="auto"/>
        </w:rPr>
      </w:pPr>
    </w:p>
    <w:p w14:paraId="0628E05D">
      <w:pPr>
        <w:adjustRightInd w:val="0"/>
        <w:snapToGrid w:val="0"/>
        <w:spacing w:line="288" w:lineRule="auto"/>
        <w:rPr>
          <w:rFonts w:hint="eastAsia" w:ascii="仿宋_GB2312" w:eastAsia="仿宋_GB2312"/>
          <w:color w:val="auto"/>
          <w:sz w:val="36"/>
          <w:szCs w:val="36"/>
          <w:u w:val="none" w:color="auto"/>
        </w:rPr>
      </w:pPr>
    </w:p>
    <w:p w14:paraId="32613D83">
      <w:pPr>
        <w:pStyle w:val="38"/>
        <w:rPr>
          <w:rFonts w:hint="eastAsia" w:ascii="仿宋_GB2312" w:eastAsia="仿宋_GB2312"/>
          <w:color w:val="auto"/>
          <w:sz w:val="36"/>
          <w:szCs w:val="36"/>
          <w:u w:val="none" w:color="auto"/>
        </w:rPr>
      </w:pPr>
    </w:p>
    <w:p w14:paraId="6E2568C9">
      <w:pPr>
        <w:pStyle w:val="38"/>
        <w:rPr>
          <w:rFonts w:hint="eastAsia" w:ascii="仿宋_GB2312" w:eastAsia="仿宋_GB2312"/>
          <w:color w:val="auto"/>
          <w:sz w:val="36"/>
          <w:szCs w:val="36"/>
          <w:u w:val="none" w:color="auto"/>
        </w:rPr>
      </w:pPr>
    </w:p>
    <w:p w14:paraId="3075D05F">
      <w:pPr>
        <w:adjustRightInd w:val="0"/>
        <w:snapToGrid w:val="0"/>
        <w:spacing w:line="288" w:lineRule="auto"/>
        <w:rPr>
          <w:rFonts w:hint="eastAsia" w:ascii="仿宋_GB2312" w:eastAsia="仿宋_GB2312"/>
          <w:color w:val="auto"/>
          <w:sz w:val="36"/>
          <w:szCs w:val="36"/>
          <w:u w:val="none" w:color="auto"/>
        </w:rPr>
      </w:pPr>
    </w:p>
    <w:p w14:paraId="55759C65">
      <w:pPr>
        <w:pStyle w:val="38"/>
        <w:rPr>
          <w:rFonts w:hint="eastAsia"/>
          <w:color w:val="auto"/>
          <w:u w:val="none" w:color="auto"/>
        </w:rPr>
      </w:pPr>
    </w:p>
    <w:bookmarkEnd w:id="2"/>
    <w:p w14:paraId="410AF42B">
      <w:pPr>
        <w:adjustRightInd w:val="0"/>
        <w:snapToGrid w:val="0"/>
        <w:spacing w:line="288" w:lineRule="auto"/>
        <w:jc w:val="center"/>
        <w:rPr>
          <w:rFonts w:hint="eastAsia" w:ascii="楷体_GB2312" w:eastAsia="楷体_GB2312"/>
          <w:color w:val="auto"/>
          <w:sz w:val="36"/>
          <w:szCs w:val="36"/>
          <w:u w:val="none" w:color="auto"/>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r>
        <w:rPr>
          <w:rFonts w:hint="eastAsia" w:ascii="楷体_GB2312" w:eastAsia="楷体_GB2312"/>
          <w:color w:val="auto"/>
          <w:sz w:val="36"/>
          <w:szCs w:val="36"/>
          <w:u w:val="none" w:color="auto"/>
        </w:rPr>
        <w:t>中华人民共和国生态环境部制</w:t>
      </w:r>
    </w:p>
    <w:p w14:paraId="2F350C28">
      <w:pPr>
        <w:ind w:firstLine="482"/>
        <w:rPr>
          <w:rFonts w:hint="eastAsia" w:eastAsia="宋体"/>
          <w:b/>
          <w:color w:val="auto"/>
          <w:u w:val="none" w:color="auto"/>
          <w:lang w:eastAsia="zh-CN"/>
        </w:rPr>
      </w:pPr>
      <w:r>
        <w:rPr>
          <w:rFonts w:hint="eastAsia"/>
          <w:b/>
          <w:color w:val="auto"/>
          <w:u w:val="none" w:color="auto"/>
        </w:rPr>
        <w:t>附件</w:t>
      </w:r>
      <w:r>
        <w:rPr>
          <w:rFonts w:hint="eastAsia"/>
          <w:b/>
          <w:color w:val="auto"/>
          <w:u w:val="none" w:color="auto"/>
          <w:lang w:eastAsia="zh-CN"/>
        </w:rPr>
        <w:t>：</w:t>
      </w:r>
    </w:p>
    <w:p w14:paraId="48FF8F78">
      <w:pPr>
        <w:ind w:firstLine="480"/>
        <w:rPr>
          <w:rFonts w:hint="eastAsia" w:ascii="Times New Roman" w:hAnsi="Times New Roman" w:eastAsia="宋体" w:cs="Times New Roman"/>
          <w:color w:val="auto"/>
          <w:u w:val="none" w:color="auto"/>
        </w:rPr>
      </w:pPr>
      <w:bookmarkStart w:id="3" w:name="_Toc13590"/>
      <w:bookmarkStart w:id="4" w:name="_Toc26076"/>
      <w:r>
        <w:rPr>
          <w:rFonts w:hint="eastAsia" w:ascii="Times New Roman" w:hAnsi="Times New Roman" w:eastAsia="宋体" w:cs="Times New Roman"/>
          <w:color w:val="auto"/>
          <w:u w:val="none" w:color="auto"/>
        </w:rPr>
        <w:t>附件1环评委托书</w:t>
      </w:r>
    </w:p>
    <w:p w14:paraId="16BA159B">
      <w:pPr>
        <w:pStyle w:val="2"/>
        <w:rPr>
          <w:rFonts w:hint="default" w:eastAsia="宋体"/>
          <w:color w:val="auto"/>
          <w:u w:val="none" w:color="auto"/>
          <w:lang w:val="en-US" w:eastAsia="zh-CN"/>
        </w:rPr>
      </w:pPr>
      <w:r>
        <w:rPr>
          <w:rFonts w:hint="eastAsia" w:cs="Times New Roman"/>
          <w:color w:val="auto"/>
          <w:u w:val="none" w:color="auto"/>
          <w:lang w:eastAsia="zh-CN"/>
        </w:rPr>
        <w:t>附件</w:t>
      </w:r>
      <w:r>
        <w:rPr>
          <w:rFonts w:hint="eastAsia" w:cs="Times New Roman"/>
          <w:color w:val="auto"/>
          <w:u w:val="none" w:color="auto"/>
          <w:lang w:val="en-US" w:eastAsia="zh-CN"/>
        </w:rPr>
        <w:t>2企业营业执照</w:t>
      </w:r>
    </w:p>
    <w:p w14:paraId="68F54527">
      <w:pPr>
        <w:ind w:firstLine="480"/>
        <w:rPr>
          <w:rFonts w:hint="eastAsia" w:cs="Times New Roman"/>
          <w:color w:val="auto"/>
          <w:u w:val="none" w:color="auto"/>
          <w:lang w:val="en-US" w:eastAsia="zh-CN"/>
        </w:rPr>
      </w:pPr>
      <w:r>
        <w:rPr>
          <w:rFonts w:hint="eastAsia" w:ascii="Times New Roman" w:hAnsi="Times New Roman" w:eastAsia="宋体" w:cs="Times New Roman"/>
          <w:color w:val="auto"/>
          <w:u w:val="none" w:color="auto"/>
        </w:rPr>
        <w:t>附件</w:t>
      </w:r>
      <w:r>
        <w:rPr>
          <w:rFonts w:hint="eastAsia" w:cs="Times New Roman"/>
          <w:color w:val="auto"/>
          <w:u w:val="none" w:color="auto"/>
          <w:lang w:val="en-US" w:eastAsia="zh-CN"/>
        </w:rPr>
        <w:t>3发改备案文件</w:t>
      </w:r>
    </w:p>
    <w:p w14:paraId="4EAB86F9">
      <w:pPr>
        <w:ind w:firstLine="480"/>
        <w:rPr>
          <w:rFonts w:hint="eastAsia"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附件</w:t>
      </w:r>
      <w:r>
        <w:rPr>
          <w:rFonts w:hint="eastAsia" w:cs="Times New Roman"/>
          <w:color w:val="auto"/>
          <w:u w:val="none" w:color="auto"/>
          <w:lang w:val="en-US" w:eastAsia="zh-CN"/>
        </w:rPr>
        <w:t>4厂房租赁合同</w:t>
      </w:r>
    </w:p>
    <w:p w14:paraId="51CB37CC">
      <w:pPr>
        <w:ind w:firstLine="480"/>
        <w:rPr>
          <w:rFonts w:hint="default" w:ascii="Times New Roman" w:hAnsi="Times New Roman" w:eastAsia="宋体" w:cs="Times New Roman"/>
          <w:color w:val="auto"/>
          <w:u w:val="none" w:color="auto"/>
          <w:lang w:val="en-US" w:eastAsia="zh-CN"/>
        </w:rPr>
      </w:pPr>
      <w:r>
        <w:rPr>
          <w:rFonts w:hint="eastAsia" w:cs="Times New Roman"/>
          <w:color w:val="auto"/>
          <w:u w:val="none" w:color="auto"/>
          <w:lang w:eastAsia="zh-CN"/>
        </w:rPr>
        <w:t>附件</w:t>
      </w:r>
      <w:r>
        <w:rPr>
          <w:rFonts w:hint="eastAsia" w:cs="Times New Roman"/>
          <w:color w:val="auto"/>
          <w:u w:val="none" w:color="auto"/>
          <w:lang w:val="en-US" w:eastAsia="zh-CN"/>
        </w:rPr>
        <w:t>5</w:t>
      </w:r>
      <w:r>
        <w:rPr>
          <w:rFonts w:hint="eastAsia" w:ascii="Times New Roman" w:hAnsi="Times New Roman" w:eastAsia="宋体" w:cs="Times New Roman"/>
          <w:color w:val="auto"/>
          <w:u w:val="none" w:color="auto"/>
        </w:rPr>
        <w:t>工业园</w:t>
      </w:r>
      <w:r>
        <w:rPr>
          <w:rFonts w:hint="eastAsia" w:cs="Times New Roman"/>
          <w:color w:val="auto"/>
          <w:u w:val="none" w:color="auto"/>
          <w:lang w:eastAsia="zh-CN"/>
        </w:rPr>
        <w:t>跟踪</w:t>
      </w:r>
      <w:r>
        <w:rPr>
          <w:rFonts w:hint="eastAsia" w:ascii="Times New Roman" w:hAnsi="Times New Roman" w:eastAsia="宋体" w:cs="Times New Roman"/>
          <w:color w:val="auto"/>
          <w:u w:val="none" w:color="auto"/>
          <w:lang w:eastAsia="zh-CN"/>
        </w:rPr>
        <w:t>评价</w:t>
      </w:r>
      <w:r>
        <w:rPr>
          <w:rFonts w:hint="eastAsia" w:cs="Times New Roman"/>
          <w:color w:val="auto"/>
          <w:u w:val="none" w:color="auto"/>
          <w:lang w:eastAsia="zh-CN"/>
        </w:rPr>
        <w:t>意见函</w:t>
      </w:r>
    </w:p>
    <w:p w14:paraId="1D78B34B">
      <w:pPr>
        <w:ind w:firstLine="48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附件</w:t>
      </w:r>
      <w:r>
        <w:rPr>
          <w:rFonts w:hint="eastAsia" w:cs="Times New Roman"/>
          <w:color w:val="auto"/>
          <w:u w:val="none" w:color="auto"/>
          <w:lang w:val="en-US" w:eastAsia="zh-CN"/>
        </w:rPr>
        <w:t>6检测</w:t>
      </w:r>
      <w:r>
        <w:rPr>
          <w:rFonts w:hint="eastAsia" w:ascii="Times New Roman" w:hAnsi="Times New Roman" w:eastAsia="宋体" w:cs="Times New Roman"/>
          <w:color w:val="auto"/>
          <w:u w:val="none" w:color="auto"/>
          <w:lang w:val="en-US" w:eastAsia="zh-CN"/>
        </w:rPr>
        <w:t>报告</w:t>
      </w:r>
    </w:p>
    <w:p w14:paraId="4C30E5C1">
      <w:pPr>
        <w:ind w:firstLine="482"/>
        <w:rPr>
          <w:rFonts w:hint="eastAsia" w:eastAsia="宋体"/>
          <w:b/>
          <w:bCs/>
          <w:color w:val="auto"/>
          <w:u w:val="none" w:color="auto"/>
          <w:lang w:eastAsia="zh-CN"/>
        </w:rPr>
      </w:pPr>
      <w:r>
        <w:rPr>
          <w:rFonts w:hint="eastAsia"/>
          <w:b/>
          <w:bCs/>
          <w:color w:val="auto"/>
          <w:u w:val="none" w:color="auto"/>
          <w:lang w:val="zh-CN"/>
        </w:rPr>
        <w:t>附图</w:t>
      </w:r>
      <w:r>
        <w:rPr>
          <w:rFonts w:hint="eastAsia"/>
          <w:b/>
          <w:bCs/>
          <w:color w:val="auto"/>
          <w:u w:val="none" w:color="auto"/>
          <w:lang w:eastAsia="zh-CN"/>
        </w:rPr>
        <w:t>：</w:t>
      </w:r>
    </w:p>
    <w:p w14:paraId="29272DB8">
      <w:pPr>
        <w:ind w:firstLine="480"/>
        <w:rPr>
          <w:rFonts w:hint="eastAsia"/>
          <w:color w:val="auto"/>
          <w:u w:val="none" w:color="auto"/>
        </w:rPr>
      </w:pPr>
      <w:r>
        <w:rPr>
          <w:rFonts w:hint="eastAsia"/>
          <w:color w:val="auto"/>
          <w:u w:val="none" w:color="auto"/>
        </w:rPr>
        <w:t>附图1项目地理位置图</w:t>
      </w:r>
    </w:p>
    <w:p w14:paraId="20C16DD4">
      <w:pPr>
        <w:ind w:firstLine="480"/>
        <w:rPr>
          <w:rFonts w:hint="default" w:eastAsia="宋体"/>
          <w:color w:val="auto"/>
          <w:u w:val="none" w:color="auto"/>
          <w:lang w:val="en-US" w:eastAsia="zh-CN"/>
        </w:rPr>
      </w:pPr>
      <w:r>
        <w:rPr>
          <w:rFonts w:hint="eastAsia"/>
          <w:color w:val="auto"/>
          <w:u w:val="none" w:color="auto"/>
          <w:lang w:eastAsia="zh-CN"/>
        </w:rPr>
        <w:t>附图</w:t>
      </w:r>
      <w:r>
        <w:rPr>
          <w:rFonts w:hint="eastAsia"/>
          <w:color w:val="auto"/>
          <w:u w:val="none" w:color="auto"/>
          <w:lang w:val="en-US" w:eastAsia="zh-CN"/>
        </w:rPr>
        <w:t>2环保设施位置图</w:t>
      </w:r>
    </w:p>
    <w:p w14:paraId="0F7B3BA4">
      <w:pPr>
        <w:ind w:firstLine="480"/>
        <w:rPr>
          <w:rFonts w:hint="eastAsia"/>
          <w:color w:val="auto"/>
          <w:u w:val="none" w:color="auto"/>
        </w:rPr>
      </w:pPr>
      <w:r>
        <w:rPr>
          <w:rFonts w:hint="eastAsia"/>
          <w:color w:val="auto"/>
          <w:u w:val="none" w:color="auto"/>
        </w:rPr>
        <w:t>附图</w:t>
      </w:r>
      <w:r>
        <w:rPr>
          <w:rFonts w:hint="eastAsia"/>
          <w:color w:val="auto"/>
          <w:u w:val="none" w:color="auto"/>
          <w:lang w:val="en-US" w:eastAsia="zh-CN"/>
        </w:rPr>
        <w:t>3一至四层</w:t>
      </w:r>
      <w:r>
        <w:rPr>
          <w:rFonts w:hint="eastAsia"/>
          <w:color w:val="auto"/>
          <w:u w:val="none" w:color="auto"/>
        </w:rPr>
        <w:t>平面布置图</w:t>
      </w:r>
    </w:p>
    <w:p w14:paraId="25385B5E">
      <w:pPr>
        <w:ind w:firstLine="480"/>
        <w:rPr>
          <w:rFonts w:hint="default" w:eastAsia="宋体"/>
          <w:color w:val="auto"/>
          <w:u w:val="none" w:color="auto"/>
          <w:lang w:val="en-US" w:eastAsia="zh-CN"/>
        </w:rPr>
      </w:pPr>
      <w:r>
        <w:rPr>
          <w:rFonts w:hint="eastAsia"/>
          <w:color w:val="auto"/>
          <w:u w:val="none" w:color="auto"/>
        </w:rPr>
        <w:t>附图</w:t>
      </w:r>
      <w:r>
        <w:rPr>
          <w:rFonts w:hint="eastAsia"/>
          <w:color w:val="auto"/>
          <w:u w:val="none" w:color="auto"/>
          <w:lang w:val="en-US" w:eastAsia="zh-CN"/>
        </w:rPr>
        <w:t>4 项目周边环境概况图</w:t>
      </w:r>
    </w:p>
    <w:p w14:paraId="748E415F">
      <w:pPr>
        <w:ind w:firstLine="480"/>
        <w:rPr>
          <w:rFonts w:hint="eastAsia" w:eastAsia="宋体"/>
          <w:color w:val="auto"/>
          <w:u w:val="none" w:color="auto"/>
          <w:lang w:eastAsia="zh-CN"/>
        </w:rPr>
      </w:pPr>
      <w:r>
        <w:rPr>
          <w:rFonts w:hint="eastAsia"/>
          <w:color w:val="auto"/>
          <w:u w:val="none" w:color="auto"/>
          <w:lang w:val="en-US" w:eastAsia="zh-CN"/>
        </w:rPr>
        <w:t>附图5 园区</w:t>
      </w:r>
      <w:r>
        <w:rPr>
          <w:rFonts w:hint="eastAsia"/>
          <w:color w:val="auto"/>
          <w:u w:val="none" w:color="auto"/>
        </w:rPr>
        <w:t>土地利用规划</w:t>
      </w:r>
      <w:r>
        <w:rPr>
          <w:rFonts w:hint="eastAsia"/>
          <w:color w:val="auto"/>
          <w:u w:val="none" w:color="auto"/>
          <w:lang w:eastAsia="zh-CN"/>
        </w:rPr>
        <w:t>图</w:t>
      </w:r>
    </w:p>
    <w:p w14:paraId="757D987F">
      <w:pPr>
        <w:ind w:firstLine="480"/>
        <w:rPr>
          <w:color w:val="auto"/>
          <w:u w:val="none" w:color="auto"/>
        </w:rPr>
      </w:pPr>
      <w:r>
        <w:rPr>
          <w:rFonts w:hint="eastAsia"/>
          <w:color w:val="auto"/>
          <w:u w:val="none" w:color="auto"/>
          <w:lang w:eastAsia="zh-CN"/>
        </w:rPr>
        <w:t>附图</w:t>
      </w:r>
      <w:r>
        <w:rPr>
          <w:rFonts w:hint="eastAsia"/>
          <w:color w:val="auto"/>
          <w:u w:val="none" w:color="auto"/>
          <w:lang w:val="en-US" w:eastAsia="zh-CN"/>
        </w:rPr>
        <w:t>6 园区排水管网图</w:t>
      </w:r>
    </w:p>
    <w:p w14:paraId="695962D5">
      <w:pPr>
        <w:ind w:firstLine="480"/>
        <w:rPr>
          <w:rFonts w:hint="eastAsia"/>
          <w:color w:val="auto"/>
          <w:u w:val="none" w:color="auto"/>
          <w:lang w:eastAsia="zh-CN"/>
        </w:rPr>
      </w:pPr>
      <w:r>
        <w:rPr>
          <w:rFonts w:hint="eastAsia"/>
          <w:color w:val="auto"/>
          <w:u w:val="none" w:color="auto"/>
          <w:lang w:eastAsia="zh-CN"/>
        </w:rPr>
        <w:t>附图</w:t>
      </w:r>
      <w:r>
        <w:rPr>
          <w:rFonts w:hint="eastAsia"/>
          <w:color w:val="auto"/>
          <w:u w:val="none" w:color="auto"/>
          <w:lang w:val="en-US" w:eastAsia="zh-CN"/>
        </w:rPr>
        <w:t>7</w:t>
      </w:r>
      <w:r>
        <w:rPr>
          <w:rFonts w:hint="eastAsia" w:ascii="Times New Roman" w:hAnsi="Times New Roman" w:eastAsia="宋体" w:cs="Times New Roman"/>
          <w:color w:val="auto"/>
          <w:u w:val="none" w:color="auto"/>
          <w:lang w:val="en-US" w:eastAsia="zh-CN"/>
        </w:rPr>
        <w:t>污染源检测布点图</w:t>
      </w:r>
    </w:p>
    <w:p w14:paraId="56812785">
      <w:pPr>
        <w:ind w:firstLine="480"/>
        <w:rPr>
          <w:rFonts w:hint="default"/>
          <w:color w:val="auto"/>
          <w:u w:val="none" w:color="auto"/>
          <w:lang w:val="en-US" w:eastAsia="zh-CN"/>
        </w:rPr>
      </w:pPr>
      <w:r>
        <w:rPr>
          <w:rFonts w:hint="eastAsia"/>
          <w:color w:val="auto"/>
          <w:u w:val="none" w:color="auto"/>
          <w:lang w:eastAsia="zh-CN"/>
        </w:rPr>
        <w:t>附图</w:t>
      </w:r>
      <w:r>
        <w:rPr>
          <w:rFonts w:hint="eastAsia"/>
          <w:color w:val="auto"/>
          <w:u w:val="none" w:color="auto"/>
          <w:lang w:val="en-US" w:eastAsia="zh-CN"/>
        </w:rPr>
        <w:t>8引用检测数据监测点位图</w:t>
      </w:r>
    </w:p>
    <w:p w14:paraId="3776BD01">
      <w:pPr>
        <w:ind w:firstLine="480"/>
        <w:rPr>
          <w:rFonts w:hint="eastAsia"/>
          <w:color w:val="auto"/>
          <w:u w:val="none" w:color="auto"/>
          <w:lang w:val="en-US" w:eastAsia="zh-CN"/>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r>
        <w:rPr>
          <w:rFonts w:hint="eastAsia"/>
          <w:color w:val="auto"/>
          <w:u w:val="none" w:color="auto"/>
          <w:lang w:val="en-US" w:eastAsia="zh-CN"/>
        </w:rPr>
        <w:t>附图9项目周边</w:t>
      </w:r>
      <w:r>
        <w:rPr>
          <w:rFonts w:hint="eastAsia" w:ascii="Times New Roman" w:hAnsi="Times New Roman" w:eastAsia="宋体" w:cs="Times New Roman"/>
          <w:color w:val="auto"/>
          <w:u w:val="none" w:color="auto"/>
          <w:lang w:val="en-US" w:eastAsia="zh-CN"/>
        </w:rPr>
        <w:t>及主要设施现状照片</w:t>
      </w:r>
    </w:p>
    <w:p w14:paraId="3B64B103">
      <w:pPr>
        <w:pStyle w:val="26"/>
        <w:ind w:firstLine="600"/>
        <w:jc w:val="center"/>
        <w:outlineLvl w:val="0"/>
        <w:rPr>
          <w:rFonts w:hint="eastAsia" w:ascii="黑体" w:hAnsi="黑体" w:eastAsia="黑体"/>
          <w:snapToGrid w:val="0"/>
          <w:color w:val="auto"/>
          <w:sz w:val="30"/>
          <w:szCs w:val="30"/>
          <w:u w:val="none" w:color="auto"/>
        </w:rPr>
      </w:pPr>
      <w:r>
        <w:rPr>
          <w:rFonts w:hint="eastAsia" w:ascii="黑体" w:hAnsi="黑体" w:eastAsia="黑体"/>
          <w:snapToGrid w:val="0"/>
          <w:color w:val="auto"/>
          <w:sz w:val="30"/>
          <w:szCs w:val="30"/>
          <w:u w:val="none" w:color="auto"/>
        </w:rPr>
        <w:t>一、建设项目基本情况</w:t>
      </w:r>
      <w:bookmarkEnd w:id="3"/>
      <w:bookmarkEnd w:id="4"/>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62"/>
        <w:gridCol w:w="1226"/>
        <w:gridCol w:w="1788"/>
        <w:gridCol w:w="2257"/>
        <w:gridCol w:w="3037"/>
      </w:tblGrid>
      <w:tr w14:paraId="144A54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88" w:type="dxa"/>
            <w:gridSpan w:val="2"/>
            <w:noWrap w:val="0"/>
            <w:tcMar>
              <w:top w:w="16" w:type="dxa"/>
              <w:left w:w="16" w:type="dxa"/>
              <w:right w:w="16" w:type="dxa"/>
            </w:tcMar>
            <w:vAlign w:val="center"/>
          </w:tcPr>
          <w:p w14:paraId="6A7901F3">
            <w:pPr>
              <w:pStyle w:val="11"/>
              <w:rPr>
                <w:color w:val="auto"/>
                <w:u w:val="none" w:color="auto"/>
              </w:rPr>
            </w:pPr>
            <w:r>
              <w:rPr>
                <w:color w:val="auto"/>
                <w:u w:val="none" w:color="auto"/>
              </w:rPr>
              <w:t>建设项目名称</w:t>
            </w:r>
          </w:p>
        </w:tc>
        <w:tc>
          <w:tcPr>
            <w:tcW w:w="7082" w:type="dxa"/>
            <w:gridSpan w:val="3"/>
            <w:noWrap w:val="0"/>
            <w:vAlign w:val="center"/>
          </w:tcPr>
          <w:p w14:paraId="6AC6C79A">
            <w:pPr>
              <w:pStyle w:val="11"/>
              <w:rPr>
                <w:rFonts w:hint="eastAsia" w:ascii="Times New Roman" w:hAnsi="Times New Roman" w:eastAsia="宋体" w:cs="Times New Roman"/>
                <w:color w:val="auto"/>
                <w:u w:val="none" w:color="auto"/>
                <w:lang w:eastAsia="zh-CN"/>
              </w:rPr>
            </w:pPr>
            <w:r>
              <w:rPr>
                <w:rFonts w:hint="eastAsia" w:ascii="Times New Roman" w:hAnsi="Times New Roman" w:eastAsia="宋体" w:cs="Times New Roman"/>
                <w:color w:val="auto"/>
                <w:u w:val="none" w:color="auto"/>
                <w:lang w:eastAsia="zh-CN"/>
              </w:rPr>
              <w:t>新田县信继善新能源锂离子电池产业化项目</w:t>
            </w:r>
          </w:p>
        </w:tc>
      </w:tr>
      <w:tr w14:paraId="4ED3D7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88" w:type="dxa"/>
            <w:gridSpan w:val="2"/>
            <w:noWrap w:val="0"/>
            <w:tcMar>
              <w:top w:w="16" w:type="dxa"/>
              <w:left w:w="16" w:type="dxa"/>
              <w:right w:w="16" w:type="dxa"/>
            </w:tcMar>
            <w:vAlign w:val="center"/>
          </w:tcPr>
          <w:p w14:paraId="04222D81">
            <w:pPr>
              <w:pStyle w:val="11"/>
              <w:rPr>
                <w:color w:val="auto"/>
                <w:u w:val="none" w:color="auto"/>
              </w:rPr>
            </w:pPr>
            <w:r>
              <w:rPr>
                <w:color w:val="auto"/>
                <w:u w:val="none" w:color="auto"/>
              </w:rPr>
              <w:t>项目代码</w:t>
            </w:r>
          </w:p>
        </w:tc>
        <w:tc>
          <w:tcPr>
            <w:tcW w:w="7082" w:type="dxa"/>
            <w:gridSpan w:val="3"/>
            <w:noWrap w:val="0"/>
            <w:vAlign w:val="center"/>
          </w:tcPr>
          <w:p w14:paraId="7A89C1B1">
            <w:pPr>
              <w:pStyle w:val="11"/>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2209-431128-04-05-548234</w:t>
            </w:r>
          </w:p>
        </w:tc>
      </w:tr>
      <w:tr w14:paraId="43EEF0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88" w:type="dxa"/>
            <w:gridSpan w:val="2"/>
            <w:noWrap w:val="0"/>
            <w:tcMar>
              <w:top w:w="16" w:type="dxa"/>
              <w:left w:w="16" w:type="dxa"/>
              <w:right w:w="16" w:type="dxa"/>
            </w:tcMar>
            <w:vAlign w:val="center"/>
          </w:tcPr>
          <w:p w14:paraId="194F5492">
            <w:pPr>
              <w:pStyle w:val="11"/>
              <w:rPr>
                <w:color w:val="auto"/>
                <w:u w:val="none" w:color="auto"/>
              </w:rPr>
            </w:pPr>
            <w:r>
              <w:rPr>
                <w:color w:val="auto"/>
                <w:u w:val="none" w:color="auto"/>
              </w:rPr>
              <w:t>建设单位联系人</w:t>
            </w:r>
          </w:p>
        </w:tc>
        <w:tc>
          <w:tcPr>
            <w:tcW w:w="1788" w:type="dxa"/>
            <w:noWrap w:val="0"/>
            <w:vAlign w:val="center"/>
          </w:tcPr>
          <w:p w14:paraId="52B5C1DD">
            <w:pPr>
              <w:pStyle w:val="11"/>
              <w:rPr>
                <w:rFonts w:hint="eastAsia"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熊开立</w:t>
            </w:r>
          </w:p>
        </w:tc>
        <w:tc>
          <w:tcPr>
            <w:tcW w:w="2257" w:type="dxa"/>
            <w:noWrap w:val="0"/>
            <w:vAlign w:val="center"/>
          </w:tcPr>
          <w:p w14:paraId="6F5C3510">
            <w:pPr>
              <w:pStyle w:val="11"/>
              <w:rPr>
                <w:rFonts w:hint="eastAsia"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联系方式</w:t>
            </w:r>
          </w:p>
        </w:tc>
        <w:tc>
          <w:tcPr>
            <w:tcW w:w="3037" w:type="dxa"/>
            <w:noWrap w:val="0"/>
            <w:vAlign w:val="center"/>
          </w:tcPr>
          <w:p w14:paraId="067F89D0">
            <w:pPr>
              <w:pStyle w:val="11"/>
              <w:rPr>
                <w:rFonts w:hint="eastAsia"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18924666795</w:t>
            </w:r>
          </w:p>
        </w:tc>
      </w:tr>
      <w:tr w14:paraId="39476B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88" w:type="dxa"/>
            <w:gridSpan w:val="2"/>
            <w:noWrap w:val="0"/>
            <w:tcMar>
              <w:top w:w="16" w:type="dxa"/>
              <w:left w:w="16" w:type="dxa"/>
              <w:right w:w="16" w:type="dxa"/>
            </w:tcMar>
            <w:vAlign w:val="center"/>
          </w:tcPr>
          <w:p w14:paraId="6880B8EA">
            <w:pPr>
              <w:pStyle w:val="11"/>
              <w:rPr>
                <w:rFonts w:hint="eastAsia"/>
                <w:color w:val="auto"/>
                <w:u w:val="none" w:color="auto"/>
              </w:rPr>
            </w:pPr>
            <w:r>
              <w:rPr>
                <w:rFonts w:hint="eastAsia"/>
                <w:color w:val="auto"/>
                <w:u w:val="none" w:color="auto"/>
              </w:rPr>
              <w:t>建设地点</w:t>
            </w:r>
          </w:p>
        </w:tc>
        <w:tc>
          <w:tcPr>
            <w:tcW w:w="7082" w:type="dxa"/>
            <w:gridSpan w:val="3"/>
            <w:noWrap w:val="0"/>
            <w:vAlign w:val="center"/>
          </w:tcPr>
          <w:p w14:paraId="1E02EA82">
            <w:pPr>
              <w:pStyle w:val="11"/>
              <w:rPr>
                <w:rFonts w:hint="default"/>
                <w:color w:val="auto"/>
                <w:u w:val="none" w:color="auto"/>
                <w:lang w:val="en-US" w:eastAsia="zh-CN"/>
              </w:rPr>
            </w:pPr>
            <w:r>
              <w:rPr>
                <w:rFonts w:hint="default"/>
                <w:color w:val="auto"/>
                <w:u w:val="none" w:color="auto"/>
                <w:lang w:val="en-US" w:eastAsia="zh-CN"/>
              </w:rPr>
              <w:t>湖南省永州市新田县龙泉街道工业园南园新能源科技产业园内</w:t>
            </w:r>
            <w:r>
              <w:rPr>
                <w:rFonts w:hint="eastAsia"/>
                <w:color w:val="auto"/>
                <w:u w:val="none" w:color="auto"/>
                <w:lang w:val="en-US" w:eastAsia="zh-CN"/>
              </w:rPr>
              <w:t>17号栋</w:t>
            </w:r>
            <w:r>
              <w:rPr>
                <w:rFonts w:hint="default"/>
                <w:color w:val="auto"/>
                <w:u w:val="none" w:color="auto"/>
                <w:lang w:val="en-US" w:eastAsia="zh-CN"/>
              </w:rPr>
              <w:t>标准厂房</w:t>
            </w:r>
          </w:p>
        </w:tc>
      </w:tr>
      <w:tr w14:paraId="078E21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88" w:type="dxa"/>
            <w:gridSpan w:val="2"/>
            <w:noWrap w:val="0"/>
            <w:tcMar>
              <w:top w:w="16" w:type="dxa"/>
              <w:left w:w="16" w:type="dxa"/>
              <w:right w:w="16" w:type="dxa"/>
            </w:tcMar>
            <w:vAlign w:val="center"/>
          </w:tcPr>
          <w:p w14:paraId="7C66BEF3">
            <w:pPr>
              <w:pStyle w:val="11"/>
              <w:rPr>
                <w:color w:val="auto"/>
                <w:u w:val="none" w:color="auto"/>
              </w:rPr>
            </w:pPr>
            <w:r>
              <w:rPr>
                <w:color w:val="auto"/>
                <w:u w:val="none" w:color="auto"/>
              </w:rPr>
              <w:t>地理坐标</w:t>
            </w:r>
          </w:p>
        </w:tc>
        <w:tc>
          <w:tcPr>
            <w:tcW w:w="7082" w:type="dxa"/>
            <w:gridSpan w:val="3"/>
            <w:noWrap w:val="0"/>
            <w:vAlign w:val="center"/>
          </w:tcPr>
          <w:p w14:paraId="5F77E99C">
            <w:pPr>
              <w:pStyle w:val="11"/>
              <w:rPr>
                <w:rFonts w:hint="default" w:eastAsia="宋体"/>
                <w:color w:val="auto"/>
                <w:u w:val="none" w:color="auto"/>
                <w:lang w:val="en-US" w:eastAsia="zh-CN"/>
              </w:rPr>
            </w:pPr>
            <w:r>
              <w:rPr>
                <w:rFonts w:hint="eastAsia"/>
                <w:color w:val="auto"/>
                <w:u w:val="none" w:color="auto"/>
                <w:lang w:val="en-US" w:eastAsia="zh-CN"/>
              </w:rPr>
              <w:t>东经111°32′27.675″，北纬25°10′6.485″</w:t>
            </w:r>
          </w:p>
        </w:tc>
      </w:tr>
      <w:tr w14:paraId="5AC166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88" w:type="dxa"/>
            <w:gridSpan w:val="2"/>
            <w:noWrap w:val="0"/>
            <w:tcMar>
              <w:top w:w="16" w:type="dxa"/>
              <w:left w:w="16" w:type="dxa"/>
              <w:right w:w="16" w:type="dxa"/>
            </w:tcMar>
            <w:vAlign w:val="center"/>
          </w:tcPr>
          <w:p w14:paraId="37EBF2C6">
            <w:pPr>
              <w:pStyle w:val="11"/>
              <w:rPr>
                <w:color w:val="auto"/>
                <w:u w:val="none" w:color="auto"/>
              </w:rPr>
            </w:pPr>
            <w:r>
              <w:rPr>
                <w:color w:val="auto"/>
                <w:u w:val="none" w:color="auto"/>
              </w:rPr>
              <w:t>国民经济</w:t>
            </w:r>
          </w:p>
          <w:p w14:paraId="3B8E9093">
            <w:pPr>
              <w:pStyle w:val="11"/>
              <w:rPr>
                <w:color w:val="auto"/>
                <w:u w:val="none" w:color="auto"/>
              </w:rPr>
            </w:pPr>
            <w:r>
              <w:rPr>
                <w:color w:val="auto"/>
                <w:u w:val="none" w:color="auto"/>
              </w:rPr>
              <w:t>行业类别</w:t>
            </w:r>
          </w:p>
        </w:tc>
        <w:tc>
          <w:tcPr>
            <w:tcW w:w="1788" w:type="dxa"/>
            <w:noWrap w:val="0"/>
            <w:vAlign w:val="center"/>
          </w:tcPr>
          <w:p w14:paraId="401146D8">
            <w:pPr>
              <w:pStyle w:val="11"/>
              <w:rPr>
                <w:color w:val="auto"/>
                <w:u w:val="none" w:color="auto"/>
              </w:rPr>
            </w:pPr>
            <w:r>
              <w:rPr>
                <w:color w:val="auto"/>
                <w:u w:val="none" w:color="auto"/>
              </w:rPr>
              <w:t>C3841锂离子电池制造</w:t>
            </w:r>
          </w:p>
        </w:tc>
        <w:tc>
          <w:tcPr>
            <w:tcW w:w="2257" w:type="dxa"/>
            <w:noWrap w:val="0"/>
            <w:vAlign w:val="center"/>
          </w:tcPr>
          <w:p w14:paraId="350C4241">
            <w:pPr>
              <w:pStyle w:val="11"/>
              <w:rPr>
                <w:color w:val="auto"/>
                <w:u w:val="none" w:color="auto"/>
              </w:rPr>
            </w:pPr>
            <w:r>
              <w:rPr>
                <w:color w:val="auto"/>
                <w:u w:val="none" w:color="auto"/>
              </w:rPr>
              <w:t>建设项目</w:t>
            </w:r>
          </w:p>
          <w:p w14:paraId="3F3EE917">
            <w:pPr>
              <w:pStyle w:val="11"/>
              <w:rPr>
                <w:color w:val="auto"/>
                <w:u w:val="none" w:color="auto"/>
              </w:rPr>
            </w:pPr>
            <w:r>
              <w:rPr>
                <w:color w:val="auto"/>
                <w:u w:val="none" w:color="auto"/>
              </w:rPr>
              <w:t>行业类别</w:t>
            </w:r>
          </w:p>
        </w:tc>
        <w:tc>
          <w:tcPr>
            <w:tcW w:w="3037" w:type="dxa"/>
            <w:noWrap w:val="0"/>
            <w:vAlign w:val="center"/>
          </w:tcPr>
          <w:p w14:paraId="44F9A549">
            <w:pPr>
              <w:pStyle w:val="11"/>
              <w:rPr>
                <w:color w:val="auto"/>
                <w:u w:val="none" w:color="auto"/>
              </w:rPr>
            </w:pPr>
            <w:r>
              <w:rPr>
                <w:color w:val="auto"/>
                <w:u w:val="none" w:color="auto"/>
              </w:rPr>
              <w:t>三十五、电气机械和器材制造业38-电池制造384</w:t>
            </w:r>
          </w:p>
        </w:tc>
      </w:tr>
      <w:tr w14:paraId="7A768A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88" w:type="dxa"/>
            <w:gridSpan w:val="2"/>
            <w:noWrap w:val="0"/>
            <w:tcMar>
              <w:top w:w="16" w:type="dxa"/>
              <w:left w:w="16" w:type="dxa"/>
              <w:right w:w="16" w:type="dxa"/>
            </w:tcMar>
            <w:vAlign w:val="center"/>
          </w:tcPr>
          <w:p w14:paraId="5F97E806">
            <w:pPr>
              <w:pStyle w:val="11"/>
              <w:rPr>
                <w:color w:val="auto"/>
                <w:u w:val="none" w:color="auto"/>
              </w:rPr>
            </w:pPr>
            <w:r>
              <w:rPr>
                <w:color w:val="auto"/>
                <w:u w:val="none" w:color="auto"/>
              </w:rPr>
              <w:t>建设性质</w:t>
            </w:r>
          </w:p>
        </w:tc>
        <w:tc>
          <w:tcPr>
            <w:tcW w:w="1788" w:type="dxa"/>
            <w:noWrap w:val="0"/>
            <w:vAlign w:val="center"/>
          </w:tcPr>
          <w:p w14:paraId="0965D96A">
            <w:pPr>
              <w:pStyle w:val="11"/>
              <w:jc w:val="both"/>
              <w:rPr>
                <w:color w:val="auto"/>
                <w:u w:val="none" w:color="auto"/>
              </w:rPr>
            </w:pPr>
            <w:r>
              <w:rPr>
                <w:color w:val="auto"/>
                <w:u w:val="none" w:color="auto"/>
              </w:rPr>
              <w:sym w:font="Wingdings 2" w:char="0052"/>
            </w:r>
            <w:r>
              <w:rPr>
                <w:color w:val="auto"/>
                <w:u w:val="none" w:color="auto"/>
              </w:rPr>
              <w:t>新建（迁建）</w:t>
            </w:r>
          </w:p>
          <w:p w14:paraId="24C38230">
            <w:pPr>
              <w:pStyle w:val="11"/>
              <w:jc w:val="both"/>
              <w:rPr>
                <w:color w:val="auto"/>
                <w:u w:val="none" w:color="auto"/>
              </w:rPr>
            </w:pPr>
            <w:r>
              <w:rPr>
                <w:color w:val="auto"/>
                <w:u w:val="none" w:color="auto"/>
              </w:rPr>
              <w:sym w:font="Wingdings 2" w:char="00A3"/>
            </w:r>
            <w:r>
              <w:rPr>
                <w:color w:val="auto"/>
                <w:u w:val="none" w:color="auto"/>
              </w:rPr>
              <w:t>改建</w:t>
            </w:r>
          </w:p>
          <w:p w14:paraId="166F29AC">
            <w:pPr>
              <w:pStyle w:val="11"/>
              <w:jc w:val="both"/>
              <w:rPr>
                <w:color w:val="auto"/>
                <w:u w:val="none" w:color="auto"/>
              </w:rPr>
            </w:pPr>
            <w:r>
              <w:rPr>
                <w:color w:val="auto"/>
                <w:u w:val="none" w:color="auto"/>
              </w:rPr>
              <w:sym w:font="Wingdings 2" w:char="00A3"/>
            </w:r>
            <w:r>
              <w:rPr>
                <w:color w:val="auto"/>
                <w:u w:val="none" w:color="auto"/>
              </w:rPr>
              <w:t>扩建</w:t>
            </w:r>
          </w:p>
          <w:p w14:paraId="6C9EA026">
            <w:pPr>
              <w:pStyle w:val="11"/>
              <w:jc w:val="both"/>
              <w:rPr>
                <w:color w:val="auto"/>
                <w:u w:val="none" w:color="auto"/>
              </w:rPr>
            </w:pPr>
            <w:r>
              <w:rPr>
                <w:color w:val="auto"/>
                <w:u w:val="none" w:color="auto"/>
              </w:rPr>
              <w:sym w:font="Wingdings 2" w:char="00A3"/>
            </w:r>
            <w:r>
              <w:rPr>
                <w:color w:val="auto"/>
                <w:u w:val="none" w:color="auto"/>
              </w:rPr>
              <w:t>技术改造</w:t>
            </w:r>
          </w:p>
        </w:tc>
        <w:tc>
          <w:tcPr>
            <w:tcW w:w="2257" w:type="dxa"/>
            <w:noWrap w:val="0"/>
            <w:vAlign w:val="center"/>
          </w:tcPr>
          <w:p w14:paraId="736D4C8A">
            <w:pPr>
              <w:pStyle w:val="11"/>
              <w:rPr>
                <w:color w:val="auto"/>
                <w:u w:val="none" w:color="auto"/>
              </w:rPr>
            </w:pPr>
            <w:r>
              <w:rPr>
                <w:color w:val="auto"/>
                <w:u w:val="none" w:color="auto"/>
              </w:rPr>
              <w:t>建设项目</w:t>
            </w:r>
          </w:p>
          <w:p w14:paraId="7C30F1E1">
            <w:pPr>
              <w:pStyle w:val="11"/>
              <w:rPr>
                <w:color w:val="auto"/>
                <w:u w:val="none" w:color="auto"/>
              </w:rPr>
            </w:pPr>
            <w:r>
              <w:rPr>
                <w:color w:val="auto"/>
                <w:u w:val="none" w:color="auto"/>
              </w:rPr>
              <w:t>申报情形</w:t>
            </w:r>
          </w:p>
        </w:tc>
        <w:tc>
          <w:tcPr>
            <w:tcW w:w="3037" w:type="dxa"/>
            <w:noWrap w:val="0"/>
            <w:vAlign w:val="center"/>
          </w:tcPr>
          <w:p w14:paraId="043915D9">
            <w:pPr>
              <w:pStyle w:val="11"/>
              <w:jc w:val="both"/>
              <w:rPr>
                <w:color w:val="auto"/>
                <w:u w:val="none" w:color="auto"/>
              </w:rPr>
            </w:pPr>
            <w:r>
              <w:rPr>
                <w:color w:val="auto"/>
                <w:u w:val="none" w:color="auto"/>
              </w:rPr>
              <w:sym w:font="Wingdings 2" w:char="0052"/>
            </w:r>
            <w:r>
              <w:rPr>
                <w:color w:val="auto"/>
                <w:u w:val="none" w:color="auto"/>
              </w:rPr>
              <w:t>首次申报项目</w:t>
            </w:r>
          </w:p>
          <w:p w14:paraId="3E596009">
            <w:pPr>
              <w:pStyle w:val="11"/>
              <w:jc w:val="both"/>
              <w:rPr>
                <w:color w:val="auto"/>
                <w:u w:val="none" w:color="auto"/>
              </w:rPr>
            </w:pPr>
            <w:r>
              <w:rPr>
                <w:color w:val="auto"/>
                <w:u w:val="none" w:color="auto"/>
              </w:rPr>
              <w:sym w:font="Wingdings 2" w:char="00A3"/>
            </w:r>
            <w:r>
              <w:rPr>
                <w:color w:val="auto"/>
                <w:u w:val="none" w:color="auto"/>
              </w:rPr>
              <w:t>不予批准后再次申报项目</w:t>
            </w:r>
          </w:p>
          <w:p w14:paraId="7A6495FE">
            <w:pPr>
              <w:pStyle w:val="11"/>
              <w:jc w:val="both"/>
              <w:rPr>
                <w:rFonts w:hint="eastAsia" w:eastAsia="宋体"/>
                <w:color w:val="auto"/>
                <w:u w:val="none" w:color="auto"/>
                <w:lang w:eastAsia="zh-CN"/>
              </w:rPr>
            </w:pPr>
            <w:r>
              <w:rPr>
                <w:color w:val="auto"/>
                <w:u w:val="none" w:color="auto"/>
              </w:rPr>
              <w:sym w:font="Wingdings 2" w:char="00A3"/>
            </w:r>
            <w:r>
              <w:rPr>
                <w:color w:val="auto"/>
                <w:u w:val="none" w:color="auto"/>
              </w:rPr>
              <w:t>超五年重新审核项目</w:t>
            </w:r>
          </w:p>
          <w:p w14:paraId="329A83C7">
            <w:pPr>
              <w:pStyle w:val="11"/>
              <w:jc w:val="both"/>
              <w:rPr>
                <w:color w:val="auto"/>
                <w:u w:val="none" w:color="auto"/>
              </w:rPr>
            </w:pPr>
            <w:r>
              <w:rPr>
                <w:color w:val="auto"/>
                <w:u w:val="none" w:color="auto"/>
              </w:rPr>
              <w:sym w:font="Wingdings 2" w:char="00A3"/>
            </w:r>
            <w:r>
              <w:rPr>
                <w:color w:val="auto"/>
                <w:u w:val="none" w:color="auto"/>
              </w:rPr>
              <w:t>重大变动重新报批项目</w:t>
            </w:r>
          </w:p>
        </w:tc>
      </w:tr>
      <w:tr w14:paraId="3EDBEE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88" w:type="dxa"/>
            <w:gridSpan w:val="2"/>
            <w:noWrap w:val="0"/>
            <w:tcMar>
              <w:top w:w="16" w:type="dxa"/>
              <w:left w:w="16" w:type="dxa"/>
              <w:right w:w="16" w:type="dxa"/>
            </w:tcMar>
            <w:vAlign w:val="center"/>
          </w:tcPr>
          <w:p w14:paraId="2CBA06BC">
            <w:pPr>
              <w:pStyle w:val="11"/>
              <w:rPr>
                <w:color w:val="auto"/>
                <w:u w:val="none" w:color="auto"/>
              </w:rPr>
            </w:pPr>
            <w:r>
              <w:rPr>
                <w:color w:val="auto"/>
                <w:u w:val="none" w:color="auto"/>
              </w:rPr>
              <w:t>项目审批（核准/</w:t>
            </w:r>
          </w:p>
          <w:p w14:paraId="53C5CC3A">
            <w:pPr>
              <w:pStyle w:val="11"/>
              <w:rPr>
                <w:color w:val="auto"/>
                <w:u w:val="none" w:color="auto"/>
              </w:rPr>
            </w:pPr>
            <w:r>
              <w:rPr>
                <w:color w:val="auto"/>
                <w:u w:val="none" w:color="auto"/>
              </w:rPr>
              <w:t>备案）部门（选填）</w:t>
            </w:r>
          </w:p>
        </w:tc>
        <w:tc>
          <w:tcPr>
            <w:tcW w:w="1788" w:type="dxa"/>
            <w:noWrap w:val="0"/>
            <w:vAlign w:val="center"/>
          </w:tcPr>
          <w:p w14:paraId="5821D73F">
            <w:pPr>
              <w:pStyle w:val="11"/>
              <w:rPr>
                <w:rFonts w:hint="default" w:eastAsia="宋体"/>
                <w:color w:val="auto"/>
                <w:u w:val="none" w:color="auto"/>
                <w:lang w:val="en-US" w:eastAsia="zh-CN"/>
              </w:rPr>
            </w:pPr>
            <w:r>
              <w:rPr>
                <w:rFonts w:hint="eastAsia"/>
                <w:color w:val="auto"/>
                <w:u w:val="none" w:color="auto"/>
                <w:lang w:val="en-US" w:eastAsia="zh-CN"/>
              </w:rPr>
              <w:t>新田县发展和改革局</w:t>
            </w:r>
          </w:p>
        </w:tc>
        <w:tc>
          <w:tcPr>
            <w:tcW w:w="2257" w:type="dxa"/>
            <w:noWrap w:val="0"/>
            <w:vAlign w:val="center"/>
          </w:tcPr>
          <w:p w14:paraId="16702B75">
            <w:pPr>
              <w:pStyle w:val="11"/>
              <w:rPr>
                <w:color w:val="auto"/>
                <w:u w:val="none" w:color="auto"/>
              </w:rPr>
            </w:pPr>
            <w:r>
              <w:rPr>
                <w:color w:val="auto"/>
                <w:u w:val="none" w:color="auto"/>
              </w:rPr>
              <w:t>项目审批（核准/</w:t>
            </w:r>
          </w:p>
          <w:p w14:paraId="11244FB0">
            <w:pPr>
              <w:pStyle w:val="11"/>
              <w:rPr>
                <w:color w:val="auto"/>
                <w:u w:val="none" w:color="auto"/>
              </w:rPr>
            </w:pPr>
            <w:r>
              <w:rPr>
                <w:color w:val="auto"/>
                <w:u w:val="none" w:color="auto"/>
              </w:rPr>
              <w:t>备案）文号（选填）</w:t>
            </w:r>
          </w:p>
        </w:tc>
        <w:tc>
          <w:tcPr>
            <w:tcW w:w="3037" w:type="dxa"/>
            <w:noWrap w:val="0"/>
            <w:vAlign w:val="center"/>
          </w:tcPr>
          <w:p w14:paraId="5097CBB8">
            <w:pPr>
              <w:pStyle w:val="11"/>
              <w:rPr>
                <w:rFonts w:hint="default" w:eastAsia="宋体"/>
                <w:color w:val="auto"/>
                <w:u w:val="none" w:color="auto"/>
                <w:lang w:val="en-US" w:eastAsia="zh-CN"/>
              </w:rPr>
            </w:pPr>
            <w:r>
              <w:rPr>
                <w:rFonts w:hint="eastAsia"/>
                <w:color w:val="auto"/>
                <w:u w:val="none" w:color="auto"/>
                <w:lang w:val="en-US" w:eastAsia="zh-CN"/>
              </w:rPr>
              <w:t>新发改备案[2022]92号</w:t>
            </w:r>
          </w:p>
        </w:tc>
      </w:tr>
      <w:tr w14:paraId="210F6E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88" w:type="dxa"/>
            <w:gridSpan w:val="2"/>
            <w:noWrap w:val="0"/>
            <w:tcMar>
              <w:top w:w="16" w:type="dxa"/>
              <w:left w:w="16" w:type="dxa"/>
              <w:right w:w="16" w:type="dxa"/>
            </w:tcMar>
            <w:vAlign w:val="center"/>
          </w:tcPr>
          <w:p w14:paraId="5CCBFCBC">
            <w:pPr>
              <w:pStyle w:val="11"/>
              <w:rPr>
                <w:color w:val="auto"/>
                <w:u w:val="none" w:color="auto"/>
              </w:rPr>
            </w:pPr>
            <w:r>
              <w:rPr>
                <w:color w:val="auto"/>
                <w:u w:val="none" w:color="auto"/>
              </w:rPr>
              <w:t>总投资（万元）</w:t>
            </w:r>
          </w:p>
        </w:tc>
        <w:tc>
          <w:tcPr>
            <w:tcW w:w="1788" w:type="dxa"/>
            <w:noWrap w:val="0"/>
            <w:vAlign w:val="center"/>
          </w:tcPr>
          <w:p w14:paraId="60D7F4A9">
            <w:pPr>
              <w:pStyle w:val="11"/>
              <w:rPr>
                <w:color w:val="auto"/>
                <w:u w:val="none" w:color="auto"/>
              </w:rPr>
            </w:pPr>
            <w:r>
              <w:rPr>
                <w:rFonts w:hint="eastAsia"/>
                <w:color w:val="auto"/>
                <w:u w:val="none" w:color="auto"/>
                <w:lang w:val="en-US" w:eastAsia="zh-CN"/>
              </w:rPr>
              <w:t>20</w:t>
            </w:r>
            <w:r>
              <w:rPr>
                <w:rFonts w:hint="eastAsia"/>
                <w:color w:val="auto"/>
                <w:u w:val="none" w:color="auto"/>
              </w:rPr>
              <w:t>000</w:t>
            </w:r>
          </w:p>
        </w:tc>
        <w:tc>
          <w:tcPr>
            <w:tcW w:w="2257" w:type="dxa"/>
            <w:noWrap w:val="0"/>
            <w:tcMar>
              <w:top w:w="16" w:type="dxa"/>
              <w:left w:w="16" w:type="dxa"/>
              <w:right w:w="16" w:type="dxa"/>
            </w:tcMar>
            <w:vAlign w:val="center"/>
          </w:tcPr>
          <w:p w14:paraId="4FCA1CD7">
            <w:pPr>
              <w:pStyle w:val="11"/>
              <w:rPr>
                <w:color w:val="auto"/>
                <w:u w:val="none" w:color="auto"/>
              </w:rPr>
            </w:pPr>
            <w:r>
              <w:rPr>
                <w:color w:val="auto"/>
                <w:u w:val="none" w:color="auto"/>
              </w:rPr>
              <w:t>环保投资（万元）</w:t>
            </w:r>
          </w:p>
        </w:tc>
        <w:tc>
          <w:tcPr>
            <w:tcW w:w="3037" w:type="dxa"/>
            <w:noWrap w:val="0"/>
            <w:vAlign w:val="center"/>
          </w:tcPr>
          <w:p w14:paraId="11A432D3">
            <w:pPr>
              <w:pStyle w:val="11"/>
              <w:rPr>
                <w:rFonts w:hint="default" w:eastAsia="宋体"/>
                <w:color w:val="auto"/>
                <w:u w:val="none" w:color="auto"/>
                <w:lang w:val="en-US" w:eastAsia="zh-CN"/>
              </w:rPr>
            </w:pPr>
            <w:r>
              <w:rPr>
                <w:rFonts w:hint="eastAsia"/>
                <w:color w:val="auto"/>
                <w:u w:val="none" w:color="auto"/>
                <w:lang w:val="en-US" w:eastAsia="zh-CN"/>
              </w:rPr>
              <w:t>91</w:t>
            </w:r>
          </w:p>
        </w:tc>
      </w:tr>
      <w:tr w14:paraId="51CD3D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88" w:type="dxa"/>
            <w:gridSpan w:val="2"/>
            <w:noWrap w:val="0"/>
            <w:tcMar>
              <w:top w:w="16" w:type="dxa"/>
              <w:left w:w="16" w:type="dxa"/>
              <w:right w:w="16" w:type="dxa"/>
            </w:tcMar>
            <w:vAlign w:val="center"/>
          </w:tcPr>
          <w:p w14:paraId="21FD2051">
            <w:pPr>
              <w:pStyle w:val="11"/>
              <w:rPr>
                <w:color w:val="auto"/>
                <w:u w:val="none" w:color="auto"/>
              </w:rPr>
            </w:pPr>
            <w:r>
              <w:rPr>
                <w:color w:val="auto"/>
                <w:u w:val="none" w:color="auto"/>
              </w:rPr>
              <w:t>环保投资占比（%）</w:t>
            </w:r>
          </w:p>
        </w:tc>
        <w:tc>
          <w:tcPr>
            <w:tcW w:w="1788" w:type="dxa"/>
            <w:noWrap w:val="0"/>
            <w:vAlign w:val="center"/>
          </w:tcPr>
          <w:p w14:paraId="0FE1FFD3">
            <w:pPr>
              <w:pStyle w:val="11"/>
              <w:rPr>
                <w:rFonts w:hint="default" w:eastAsia="宋体"/>
                <w:color w:val="auto"/>
                <w:u w:val="none" w:color="auto"/>
                <w:lang w:val="en-US" w:eastAsia="zh-CN"/>
              </w:rPr>
            </w:pPr>
            <w:r>
              <w:rPr>
                <w:rFonts w:hint="eastAsia"/>
                <w:color w:val="auto"/>
                <w:u w:val="none" w:color="auto"/>
                <w:lang w:val="en-US" w:eastAsia="zh-CN"/>
              </w:rPr>
              <w:t>0.455</w:t>
            </w:r>
          </w:p>
        </w:tc>
        <w:tc>
          <w:tcPr>
            <w:tcW w:w="2257" w:type="dxa"/>
            <w:noWrap w:val="0"/>
            <w:tcMar>
              <w:top w:w="16" w:type="dxa"/>
              <w:left w:w="16" w:type="dxa"/>
              <w:right w:w="16" w:type="dxa"/>
            </w:tcMar>
            <w:vAlign w:val="center"/>
          </w:tcPr>
          <w:p w14:paraId="42FC0FA7">
            <w:pPr>
              <w:pStyle w:val="11"/>
              <w:rPr>
                <w:color w:val="auto"/>
                <w:u w:val="none" w:color="auto"/>
              </w:rPr>
            </w:pPr>
            <w:r>
              <w:rPr>
                <w:color w:val="auto"/>
                <w:u w:val="none" w:color="auto"/>
              </w:rPr>
              <w:t>施工工期</w:t>
            </w:r>
          </w:p>
        </w:tc>
        <w:tc>
          <w:tcPr>
            <w:tcW w:w="3037" w:type="dxa"/>
            <w:noWrap w:val="0"/>
            <w:vAlign w:val="center"/>
          </w:tcPr>
          <w:p w14:paraId="7EBB1803">
            <w:pPr>
              <w:pStyle w:val="11"/>
              <w:rPr>
                <w:rFonts w:hint="eastAsia" w:eastAsia="宋体"/>
                <w:color w:val="auto"/>
                <w:u w:val="none" w:color="auto"/>
                <w:lang w:eastAsia="zh-CN"/>
              </w:rPr>
            </w:pPr>
            <w:r>
              <w:rPr>
                <w:rFonts w:hint="eastAsia" w:eastAsia="宋体"/>
                <w:color w:val="auto"/>
                <w:u w:val="none" w:color="auto"/>
                <w:lang w:val="en-US" w:eastAsia="zh-CN"/>
              </w:rPr>
              <w:t>/</w:t>
            </w:r>
          </w:p>
        </w:tc>
      </w:tr>
      <w:tr w14:paraId="5AF6B3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88" w:type="dxa"/>
            <w:gridSpan w:val="2"/>
            <w:noWrap w:val="0"/>
            <w:tcMar>
              <w:top w:w="16" w:type="dxa"/>
              <w:left w:w="16" w:type="dxa"/>
              <w:right w:w="16" w:type="dxa"/>
            </w:tcMar>
            <w:vAlign w:val="center"/>
          </w:tcPr>
          <w:p w14:paraId="5FEA4FD9">
            <w:pPr>
              <w:pStyle w:val="11"/>
              <w:rPr>
                <w:color w:val="auto"/>
                <w:u w:val="none" w:color="auto"/>
              </w:rPr>
            </w:pPr>
            <w:r>
              <w:rPr>
                <w:color w:val="auto"/>
                <w:u w:val="none" w:color="auto"/>
              </w:rPr>
              <w:t>是否开工建设</w:t>
            </w:r>
          </w:p>
        </w:tc>
        <w:tc>
          <w:tcPr>
            <w:tcW w:w="1788" w:type="dxa"/>
            <w:noWrap w:val="0"/>
            <w:vAlign w:val="center"/>
          </w:tcPr>
          <w:p w14:paraId="6A5C1C60">
            <w:pPr>
              <w:adjustRightInd w:val="0"/>
              <w:snapToGrid w:val="0"/>
              <w:ind w:firstLine="0" w:firstLineChars="0"/>
              <w:rPr>
                <w:color w:val="auto"/>
                <w:szCs w:val="21"/>
                <w:u w:val="none" w:color="auto"/>
              </w:rPr>
            </w:pPr>
            <w:r>
              <w:rPr>
                <w:color w:val="auto"/>
                <w:szCs w:val="21"/>
                <w:u w:val="none" w:color="auto"/>
              </w:rPr>
              <w:sym w:font="Wingdings 2" w:char="00A3"/>
            </w:r>
            <w:r>
              <w:rPr>
                <w:color w:val="auto"/>
                <w:szCs w:val="21"/>
                <w:u w:val="none" w:color="auto"/>
              </w:rPr>
              <w:t>否</w:t>
            </w:r>
          </w:p>
          <w:p w14:paraId="1BDBE96D">
            <w:pPr>
              <w:adjustRightInd w:val="0"/>
              <w:snapToGrid w:val="0"/>
              <w:spacing w:line="240" w:lineRule="auto"/>
              <w:ind w:firstLine="0" w:firstLineChars="0"/>
              <w:rPr>
                <w:rFonts w:hint="eastAsia" w:eastAsia="宋体"/>
                <w:color w:val="auto"/>
                <w:szCs w:val="21"/>
                <w:u w:val="none" w:color="auto"/>
                <w:lang w:val="en-US" w:eastAsia="zh-CN"/>
              </w:rPr>
            </w:pPr>
            <w:r>
              <w:rPr>
                <w:color w:val="auto"/>
                <w:szCs w:val="21"/>
                <w:u w:val="none" w:color="auto"/>
              </w:rPr>
              <w:sym w:font="Wingdings 2" w:char="0052"/>
            </w:r>
            <w:r>
              <w:rPr>
                <w:color w:val="auto"/>
                <w:szCs w:val="21"/>
                <w:u w:val="none" w:color="auto"/>
              </w:rPr>
              <w:t>是：</w:t>
            </w:r>
            <w:r>
              <w:rPr>
                <w:rFonts w:hint="eastAsia"/>
                <w:color w:val="auto"/>
                <w:szCs w:val="21"/>
                <w:u w:val="none" w:color="auto"/>
                <w:lang w:eastAsia="zh-CN"/>
              </w:rPr>
              <w:t>已</w:t>
            </w:r>
            <w:r>
              <w:rPr>
                <w:rFonts w:hint="eastAsia" w:ascii="Times New Roman" w:hAnsi="Times New Roman" w:eastAsia="宋体" w:cs="Times New Roman"/>
                <w:color w:val="auto"/>
                <w:highlight w:val="none"/>
                <w:u w:val="none" w:color="auto"/>
                <w:lang w:val="en-US" w:eastAsia="zh-CN"/>
              </w:rPr>
              <w:t>建成</w:t>
            </w:r>
            <w:r>
              <w:rPr>
                <w:rFonts w:hint="eastAsia"/>
                <w:color w:val="auto"/>
                <w:u w:val="none" w:color="auto"/>
                <w:lang w:eastAsia="zh-CN"/>
              </w:rPr>
              <w:t>，未处罚</w:t>
            </w:r>
          </w:p>
        </w:tc>
        <w:tc>
          <w:tcPr>
            <w:tcW w:w="2257" w:type="dxa"/>
            <w:noWrap w:val="0"/>
            <w:tcMar>
              <w:top w:w="16" w:type="dxa"/>
              <w:left w:w="16" w:type="dxa"/>
              <w:right w:w="16" w:type="dxa"/>
            </w:tcMar>
            <w:vAlign w:val="center"/>
          </w:tcPr>
          <w:p w14:paraId="0CA0B78A">
            <w:pPr>
              <w:adjustRightInd w:val="0"/>
              <w:snapToGrid w:val="0"/>
              <w:ind w:firstLine="0" w:firstLineChars="0"/>
              <w:rPr>
                <w:color w:val="auto"/>
                <w:spacing w:val="-6"/>
                <w:szCs w:val="21"/>
                <w:u w:val="none" w:color="auto"/>
              </w:rPr>
            </w:pPr>
            <w:r>
              <w:rPr>
                <w:color w:val="auto"/>
                <w:spacing w:val="-6"/>
                <w:szCs w:val="21"/>
                <w:u w:val="none" w:color="auto"/>
              </w:rPr>
              <w:t>用地（用海）</w:t>
            </w:r>
          </w:p>
          <w:p w14:paraId="7E03587C">
            <w:pPr>
              <w:adjustRightInd w:val="0"/>
              <w:snapToGrid w:val="0"/>
              <w:ind w:firstLine="0" w:firstLineChars="0"/>
              <w:rPr>
                <w:color w:val="auto"/>
                <w:szCs w:val="21"/>
                <w:u w:val="none" w:color="auto"/>
              </w:rPr>
            </w:pPr>
            <w:r>
              <w:rPr>
                <w:color w:val="auto"/>
                <w:spacing w:val="-6"/>
                <w:szCs w:val="21"/>
                <w:u w:val="none" w:color="auto"/>
              </w:rPr>
              <w:t>面积（m</w:t>
            </w:r>
            <w:r>
              <w:rPr>
                <w:color w:val="auto"/>
                <w:spacing w:val="-6"/>
                <w:szCs w:val="21"/>
                <w:u w:val="none" w:color="auto"/>
                <w:vertAlign w:val="superscript"/>
              </w:rPr>
              <w:t>2</w:t>
            </w:r>
            <w:r>
              <w:rPr>
                <w:color w:val="auto"/>
                <w:spacing w:val="-6"/>
                <w:szCs w:val="21"/>
                <w:u w:val="none" w:color="auto"/>
              </w:rPr>
              <w:t>）</w:t>
            </w:r>
          </w:p>
        </w:tc>
        <w:tc>
          <w:tcPr>
            <w:tcW w:w="3037" w:type="dxa"/>
            <w:noWrap w:val="0"/>
            <w:vAlign w:val="center"/>
          </w:tcPr>
          <w:p w14:paraId="1E0A37D5">
            <w:pPr>
              <w:pStyle w:val="11"/>
              <w:rPr>
                <w:rFonts w:hint="eastAsia" w:eastAsia="宋体"/>
                <w:color w:val="auto"/>
                <w:u w:val="none" w:color="auto"/>
              </w:rPr>
            </w:pPr>
            <w:r>
              <w:rPr>
                <w:rFonts w:hint="eastAsia" w:eastAsia="宋体"/>
                <w:color w:val="auto"/>
                <w:u w:val="none" w:color="auto"/>
                <w:lang w:val="en-US" w:eastAsia="zh-CN"/>
              </w:rPr>
              <w:t>3000</w:t>
            </w:r>
          </w:p>
        </w:tc>
      </w:tr>
      <w:tr w14:paraId="5792BB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88" w:type="dxa"/>
            <w:gridSpan w:val="2"/>
            <w:noWrap w:val="0"/>
            <w:vAlign w:val="center"/>
          </w:tcPr>
          <w:p w14:paraId="09B94473">
            <w:pPr>
              <w:pStyle w:val="11"/>
              <w:rPr>
                <w:color w:val="auto"/>
                <w:u w:val="none" w:color="auto"/>
              </w:rPr>
            </w:pPr>
            <w:r>
              <w:rPr>
                <w:color w:val="auto"/>
                <w:u w:val="none" w:color="auto"/>
              </w:rPr>
              <w:t>专项评价设置情况</w:t>
            </w:r>
          </w:p>
        </w:tc>
        <w:tc>
          <w:tcPr>
            <w:tcW w:w="7082" w:type="dxa"/>
            <w:gridSpan w:val="3"/>
            <w:noWrap w:val="0"/>
            <w:vAlign w:val="center"/>
          </w:tcPr>
          <w:p w14:paraId="7CCC602E">
            <w:pPr>
              <w:spacing w:line="360" w:lineRule="auto"/>
              <w:ind w:firstLine="480" w:firstLineChars="200"/>
              <w:rPr>
                <w:rFonts w:hint="eastAsia"/>
                <w:color w:val="auto"/>
                <w:sz w:val="24"/>
                <w:szCs w:val="32"/>
                <w:u w:val="none" w:color="auto"/>
                <w:lang w:val="en-US" w:eastAsia="zh-CN"/>
              </w:rPr>
            </w:pPr>
            <w:r>
              <w:rPr>
                <w:rFonts w:hint="eastAsia"/>
                <w:color w:val="auto"/>
                <w:sz w:val="24"/>
                <w:szCs w:val="32"/>
                <w:u w:val="none" w:color="auto"/>
                <w:lang w:val="en-US" w:eastAsia="zh-CN"/>
              </w:rPr>
              <w:t>本项目镍钴锰酸锂（以镍、钴、锰分别计）、锰酸锂（以锰计）、钴酸锂（以钴计）存储量超过《建设项目环境风险评价技术导则》（HJ 169</w:t>
            </w:r>
            <w:r>
              <w:rPr>
                <w:rFonts w:hint="eastAsia"/>
                <w:color w:val="auto"/>
                <w:u w:val="none" w:color="auto"/>
                <w:lang w:val="en-US" w:eastAsia="zh-CN"/>
              </w:rPr>
              <w:t>-2018</w:t>
            </w:r>
            <w:r>
              <w:rPr>
                <w:rFonts w:hint="eastAsia"/>
                <w:color w:val="auto"/>
                <w:sz w:val="24"/>
                <w:szCs w:val="32"/>
                <w:u w:val="none" w:color="auto"/>
                <w:lang w:val="en-US" w:eastAsia="zh-CN"/>
              </w:rPr>
              <w:t>）附录B、附录C规定的临界量，需设置风险专项评价。</w:t>
            </w:r>
          </w:p>
        </w:tc>
      </w:tr>
      <w:tr w14:paraId="3CCA77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788" w:type="dxa"/>
            <w:gridSpan w:val="2"/>
            <w:noWrap w:val="0"/>
            <w:vAlign w:val="center"/>
          </w:tcPr>
          <w:p w14:paraId="16F84511">
            <w:pPr>
              <w:pStyle w:val="11"/>
              <w:rPr>
                <w:color w:val="auto"/>
                <w:u w:val="none" w:color="auto"/>
              </w:rPr>
            </w:pPr>
            <w:r>
              <w:rPr>
                <w:color w:val="auto"/>
                <w:u w:val="none" w:color="auto"/>
              </w:rPr>
              <w:t>规划情况</w:t>
            </w:r>
          </w:p>
        </w:tc>
        <w:tc>
          <w:tcPr>
            <w:tcW w:w="7082" w:type="dxa"/>
            <w:gridSpan w:val="3"/>
            <w:noWrap w:val="0"/>
            <w:vAlign w:val="center"/>
          </w:tcPr>
          <w:p w14:paraId="0339E064">
            <w:pPr>
              <w:spacing w:line="360" w:lineRule="auto"/>
              <w:ind w:firstLine="480" w:firstLineChars="200"/>
              <w:rPr>
                <w:rFonts w:hint="eastAsia"/>
                <w:color w:val="auto"/>
                <w:sz w:val="24"/>
                <w:szCs w:val="32"/>
                <w:u w:val="none" w:color="auto"/>
                <w:lang w:val="en-US" w:eastAsia="zh-CN"/>
              </w:rPr>
            </w:pPr>
            <w:r>
              <w:rPr>
                <w:rFonts w:hint="eastAsia"/>
                <w:color w:val="auto"/>
                <w:sz w:val="24"/>
                <w:szCs w:val="32"/>
                <w:u w:val="none" w:color="auto"/>
                <w:lang w:val="en-US" w:eastAsia="zh-CN"/>
              </w:rPr>
              <w:t>规划名称：《新田工业集中区发展规划（2011～2020）》</w:t>
            </w:r>
          </w:p>
          <w:p w14:paraId="28E97773">
            <w:pPr>
              <w:spacing w:line="360" w:lineRule="auto"/>
              <w:ind w:firstLine="480" w:firstLineChars="200"/>
              <w:rPr>
                <w:rFonts w:hint="eastAsia"/>
                <w:color w:val="auto"/>
                <w:sz w:val="24"/>
                <w:szCs w:val="32"/>
                <w:u w:val="none" w:color="auto"/>
                <w:lang w:val="en-US" w:eastAsia="zh-CN"/>
              </w:rPr>
            </w:pPr>
            <w:r>
              <w:rPr>
                <w:rFonts w:hint="eastAsia"/>
                <w:color w:val="auto"/>
                <w:sz w:val="24"/>
                <w:szCs w:val="32"/>
                <w:u w:val="none" w:color="auto"/>
                <w:lang w:val="en-US" w:eastAsia="zh-CN"/>
              </w:rPr>
              <w:t>规划单位：新田县人民政府</w:t>
            </w:r>
          </w:p>
          <w:p w14:paraId="2F21176D">
            <w:pPr>
              <w:spacing w:line="360" w:lineRule="auto"/>
              <w:ind w:firstLine="480" w:firstLineChars="200"/>
              <w:rPr>
                <w:rFonts w:hint="eastAsia"/>
                <w:color w:val="auto"/>
                <w:sz w:val="24"/>
                <w:szCs w:val="32"/>
                <w:u w:val="none" w:color="auto"/>
                <w:lang w:val="en-US" w:eastAsia="zh-CN"/>
              </w:rPr>
            </w:pPr>
            <w:r>
              <w:rPr>
                <w:rFonts w:hint="eastAsia"/>
                <w:color w:val="auto"/>
                <w:sz w:val="24"/>
                <w:szCs w:val="32"/>
                <w:u w:val="none" w:color="auto"/>
                <w:lang w:val="en-US" w:eastAsia="zh-CN"/>
              </w:rPr>
              <w:t>规划时间：2012年6月</w:t>
            </w:r>
          </w:p>
          <w:p w14:paraId="245B00C3">
            <w:pPr>
              <w:spacing w:line="360" w:lineRule="auto"/>
              <w:ind w:firstLine="480" w:firstLineChars="200"/>
              <w:rPr>
                <w:rFonts w:hint="eastAsia"/>
                <w:color w:val="auto"/>
                <w:sz w:val="24"/>
                <w:szCs w:val="32"/>
                <w:u w:val="none" w:color="auto"/>
                <w:lang w:val="en-US" w:eastAsia="zh-CN"/>
              </w:rPr>
            </w:pPr>
            <w:r>
              <w:rPr>
                <w:rFonts w:hint="eastAsia"/>
                <w:color w:val="auto"/>
                <w:sz w:val="24"/>
                <w:szCs w:val="32"/>
                <w:u w:val="none" w:color="auto"/>
                <w:lang w:val="en-US" w:eastAsia="zh-CN"/>
              </w:rPr>
              <w:t>审批部门：湖南省发展和改革委</w:t>
            </w:r>
          </w:p>
          <w:p w14:paraId="58FE8F23">
            <w:pPr>
              <w:spacing w:line="360" w:lineRule="auto"/>
              <w:ind w:firstLine="480" w:firstLineChars="200"/>
              <w:rPr>
                <w:rFonts w:hint="eastAsia"/>
                <w:color w:val="auto"/>
                <w:sz w:val="24"/>
                <w:szCs w:val="32"/>
                <w:u w:val="none" w:color="auto"/>
                <w:lang w:val="en-US" w:eastAsia="zh-CN"/>
              </w:rPr>
            </w:pPr>
            <w:r>
              <w:rPr>
                <w:rFonts w:hint="eastAsia"/>
                <w:color w:val="auto"/>
                <w:sz w:val="24"/>
                <w:szCs w:val="32"/>
                <w:u w:val="none" w:color="auto"/>
                <w:lang w:val="en-US" w:eastAsia="zh-CN"/>
              </w:rPr>
              <w:t>审批时间：2012年10月8日</w:t>
            </w:r>
          </w:p>
          <w:p w14:paraId="127A8ABF">
            <w:pPr>
              <w:spacing w:line="360" w:lineRule="auto"/>
              <w:ind w:firstLine="480" w:firstLineChars="200"/>
              <w:rPr>
                <w:rFonts w:hint="eastAsia"/>
                <w:color w:val="auto"/>
                <w:sz w:val="24"/>
                <w:szCs w:val="32"/>
                <w:u w:val="none" w:color="auto"/>
                <w:lang w:val="en-US" w:eastAsia="zh-CN"/>
              </w:rPr>
            </w:pPr>
            <w:r>
              <w:rPr>
                <w:rFonts w:hint="eastAsia"/>
                <w:color w:val="auto"/>
                <w:sz w:val="24"/>
                <w:szCs w:val="32"/>
                <w:u w:val="none" w:color="auto"/>
                <w:lang w:val="en-US" w:eastAsia="zh-CN"/>
              </w:rPr>
              <w:t>审批文号：《关于新田工业集中区发展规划（2011-2020）的批复》（湘发改地区〔2012〕1564号）</w:t>
            </w:r>
          </w:p>
        </w:tc>
      </w:tr>
      <w:tr w14:paraId="3B306E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788" w:type="dxa"/>
            <w:gridSpan w:val="2"/>
            <w:noWrap w:val="0"/>
            <w:vAlign w:val="center"/>
          </w:tcPr>
          <w:p w14:paraId="7B3581BB">
            <w:pPr>
              <w:pStyle w:val="11"/>
              <w:rPr>
                <w:color w:val="auto"/>
                <w:u w:val="none" w:color="auto"/>
              </w:rPr>
            </w:pPr>
            <w:r>
              <w:rPr>
                <w:color w:val="auto"/>
                <w:u w:val="none" w:color="auto"/>
              </w:rPr>
              <w:t>规划环境影响评价情况</w:t>
            </w:r>
          </w:p>
        </w:tc>
        <w:tc>
          <w:tcPr>
            <w:tcW w:w="7082" w:type="dxa"/>
            <w:gridSpan w:val="3"/>
            <w:noWrap w:val="0"/>
            <w:vAlign w:val="center"/>
          </w:tcPr>
          <w:p w14:paraId="4AD54DB9">
            <w:pPr>
              <w:spacing w:line="360" w:lineRule="auto"/>
              <w:ind w:firstLine="480" w:firstLineChars="200"/>
              <w:rPr>
                <w:rFonts w:hint="eastAsia"/>
                <w:color w:val="auto"/>
                <w:sz w:val="24"/>
                <w:szCs w:val="32"/>
                <w:u w:val="none" w:color="auto"/>
                <w:lang w:val="en-US" w:eastAsia="zh-CN"/>
              </w:rPr>
            </w:pPr>
            <w:r>
              <w:rPr>
                <w:rFonts w:hint="eastAsia"/>
                <w:color w:val="auto"/>
                <w:sz w:val="24"/>
                <w:szCs w:val="32"/>
                <w:u w:val="none" w:color="auto"/>
                <w:lang w:val="en-US" w:eastAsia="zh-CN"/>
              </w:rPr>
              <w:t>文件名称：新田县工业园项目环境影响报告书</w:t>
            </w:r>
          </w:p>
          <w:p w14:paraId="127C1DB3">
            <w:pPr>
              <w:spacing w:line="360" w:lineRule="auto"/>
              <w:ind w:firstLine="480" w:firstLineChars="200"/>
              <w:rPr>
                <w:rFonts w:hint="eastAsia"/>
                <w:color w:val="auto"/>
                <w:sz w:val="24"/>
                <w:szCs w:val="32"/>
                <w:u w:val="none" w:color="auto"/>
                <w:lang w:val="en-US" w:eastAsia="zh-CN"/>
              </w:rPr>
            </w:pPr>
            <w:r>
              <w:rPr>
                <w:rFonts w:hint="eastAsia"/>
                <w:color w:val="auto"/>
                <w:sz w:val="24"/>
                <w:szCs w:val="32"/>
                <w:u w:val="none" w:color="auto"/>
                <w:lang w:val="en-US" w:eastAsia="zh-CN"/>
              </w:rPr>
              <w:t>召集审查机关：新田县人民政府</w:t>
            </w:r>
          </w:p>
          <w:p w14:paraId="28FC6087">
            <w:pPr>
              <w:spacing w:line="360" w:lineRule="auto"/>
              <w:ind w:firstLine="480" w:firstLineChars="200"/>
              <w:rPr>
                <w:rFonts w:hint="eastAsia"/>
                <w:color w:val="auto"/>
                <w:sz w:val="24"/>
                <w:szCs w:val="32"/>
                <w:u w:val="none" w:color="auto"/>
                <w:lang w:val="en-US" w:eastAsia="zh-CN"/>
              </w:rPr>
            </w:pPr>
            <w:r>
              <w:rPr>
                <w:rFonts w:hint="eastAsia"/>
                <w:color w:val="auto"/>
                <w:sz w:val="24"/>
                <w:szCs w:val="32"/>
                <w:u w:val="none" w:color="auto"/>
                <w:lang w:val="en-US" w:eastAsia="zh-CN"/>
              </w:rPr>
              <w:t>审查机关：原湖南省环境保护局</w:t>
            </w:r>
          </w:p>
          <w:p w14:paraId="3C368440">
            <w:pPr>
              <w:spacing w:line="360" w:lineRule="auto"/>
              <w:ind w:firstLine="480" w:firstLineChars="200"/>
              <w:rPr>
                <w:rFonts w:hint="eastAsia"/>
                <w:color w:val="auto"/>
                <w:sz w:val="24"/>
                <w:szCs w:val="32"/>
                <w:u w:val="none" w:color="auto"/>
                <w:lang w:val="en-US" w:eastAsia="zh-CN"/>
              </w:rPr>
            </w:pPr>
            <w:r>
              <w:rPr>
                <w:rFonts w:hint="eastAsia"/>
                <w:color w:val="auto"/>
                <w:sz w:val="24"/>
                <w:szCs w:val="32"/>
                <w:u w:val="none" w:color="auto"/>
                <w:lang w:val="en-US" w:eastAsia="zh-CN"/>
              </w:rPr>
              <w:t>审查文件名称及文号：湖南省生态环境厅关于《新田县工业园项目环境影响报告书》审查意见（湘环评[2008]180号）</w:t>
            </w:r>
          </w:p>
          <w:p w14:paraId="5552FE51">
            <w:pPr>
              <w:spacing w:line="360" w:lineRule="auto"/>
              <w:ind w:firstLine="480" w:firstLineChars="200"/>
              <w:rPr>
                <w:rFonts w:hint="eastAsia"/>
                <w:color w:val="auto"/>
                <w:sz w:val="24"/>
                <w:szCs w:val="32"/>
                <w:u w:val="none" w:color="auto"/>
              </w:rPr>
            </w:pPr>
            <w:r>
              <w:rPr>
                <w:rFonts w:hint="eastAsia"/>
                <w:color w:val="auto"/>
                <w:sz w:val="24"/>
                <w:szCs w:val="32"/>
                <w:u w:val="none" w:color="auto"/>
              </w:rPr>
              <w:t>文件名称：《新田工业集中区规划环境影响跟踪评价报告书》；</w:t>
            </w:r>
          </w:p>
          <w:p w14:paraId="5E0E918A">
            <w:pPr>
              <w:spacing w:line="360" w:lineRule="auto"/>
              <w:ind w:firstLine="480" w:firstLineChars="200"/>
              <w:rPr>
                <w:rFonts w:hint="eastAsia"/>
                <w:color w:val="auto"/>
                <w:sz w:val="24"/>
                <w:szCs w:val="32"/>
                <w:u w:val="none" w:color="auto"/>
              </w:rPr>
            </w:pPr>
            <w:r>
              <w:rPr>
                <w:rFonts w:hint="eastAsia"/>
                <w:color w:val="auto"/>
                <w:sz w:val="24"/>
                <w:szCs w:val="32"/>
                <w:u w:val="none" w:color="auto"/>
              </w:rPr>
              <w:t>审批机关：湖南省生态环境厅；</w:t>
            </w:r>
          </w:p>
          <w:p w14:paraId="35B5B81D">
            <w:pPr>
              <w:spacing w:line="360" w:lineRule="auto"/>
              <w:ind w:firstLine="480" w:firstLineChars="200"/>
              <w:rPr>
                <w:rFonts w:hint="eastAsia" w:ascii="Times New Roman" w:hAnsi="Times New Roman" w:eastAsia="宋体" w:cs="Times New Roman"/>
                <w:color w:val="auto"/>
                <w:kern w:val="2"/>
                <w:sz w:val="24"/>
                <w:szCs w:val="24"/>
                <w:u w:val="none" w:color="auto"/>
                <w:lang w:val="en-US" w:eastAsia="zh-CN" w:bidi="ar-SA"/>
              </w:rPr>
            </w:pPr>
            <w:r>
              <w:rPr>
                <w:rFonts w:hint="eastAsia"/>
                <w:color w:val="auto"/>
                <w:sz w:val="24"/>
                <w:szCs w:val="32"/>
                <w:u w:val="none" w:color="auto"/>
              </w:rPr>
              <w:t>审批文号：湖南省生态环境厅关于&lt;新田工业集中区规划环境影响跟踪评价&gt;工作意见的函（湘环评函〔2021〕22号）。</w:t>
            </w:r>
          </w:p>
        </w:tc>
      </w:tr>
      <w:tr w14:paraId="715357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562" w:type="dxa"/>
            <w:noWrap w:val="0"/>
            <w:vAlign w:val="center"/>
          </w:tcPr>
          <w:p w14:paraId="4EF82E25">
            <w:pPr>
              <w:pStyle w:val="11"/>
              <w:rPr>
                <w:color w:val="auto"/>
                <w:u w:val="none" w:color="auto"/>
              </w:rPr>
            </w:pPr>
            <w:r>
              <w:rPr>
                <w:color w:val="auto"/>
                <w:u w:val="none" w:color="auto"/>
              </w:rPr>
              <w:t>规划及规划环境影响评价符合性分析</w:t>
            </w:r>
          </w:p>
        </w:tc>
        <w:tc>
          <w:tcPr>
            <w:tcW w:w="8308" w:type="dxa"/>
            <w:gridSpan w:val="4"/>
            <w:noWrap w:val="0"/>
            <w:vAlign w:val="center"/>
          </w:tcPr>
          <w:p w14:paraId="61C10DBD">
            <w:pPr>
              <w:keepNext w:val="0"/>
              <w:keepLines w:val="0"/>
              <w:widowControl/>
              <w:suppressLineNumbers w:val="0"/>
              <w:jc w:val="left"/>
              <w:rPr>
                <w:rFonts w:hint="eastAsia"/>
                <w:b/>
                <w:bCs/>
                <w:color w:val="auto"/>
                <w:u w:val="none" w:color="auto"/>
              </w:rPr>
            </w:pPr>
            <w:r>
              <w:rPr>
                <w:rFonts w:hint="eastAsia"/>
                <w:b/>
                <w:bCs/>
                <w:color w:val="auto"/>
                <w:u w:val="none" w:color="auto"/>
              </w:rPr>
              <w:t>1、与</w:t>
            </w:r>
            <w:r>
              <w:rPr>
                <w:rFonts w:hint="eastAsia" w:eastAsia="宋体"/>
                <w:b/>
                <w:bCs/>
                <w:color w:val="auto"/>
                <w:u w:val="none" w:color="auto"/>
                <w:lang w:val="en-US" w:eastAsia="zh-CN"/>
              </w:rPr>
              <w:t>新田工业集中区发展规划</w:t>
            </w:r>
            <w:r>
              <w:rPr>
                <w:rFonts w:hint="eastAsia"/>
                <w:b/>
                <w:bCs/>
                <w:color w:val="auto"/>
                <w:u w:val="none" w:color="auto"/>
              </w:rPr>
              <w:t>符合性分析</w:t>
            </w:r>
          </w:p>
          <w:p w14:paraId="45CA2F29">
            <w:pPr>
              <w:bidi w:val="0"/>
              <w:rPr>
                <w:rFonts w:hint="eastAsia"/>
                <w:color w:val="auto"/>
                <w:u w:val="none" w:color="auto"/>
              </w:rPr>
            </w:pPr>
            <w:r>
              <w:rPr>
                <w:rFonts w:hint="eastAsia"/>
                <w:color w:val="auto"/>
                <w:u w:val="none" w:color="auto"/>
              </w:rPr>
              <w:t>①规划符合性分析</w:t>
            </w:r>
          </w:p>
          <w:p w14:paraId="794DCDE6">
            <w:pPr>
              <w:bidi w:val="0"/>
              <w:rPr>
                <w:rFonts w:hint="eastAsia" w:eastAsia="宋体"/>
                <w:color w:val="auto"/>
                <w:u w:val="none" w:color="auto"/>
              </w:rPr>
            </w:pPr>
            <w:r>
              <w:rPr>
                <w:rFonts w:hint="default" w:eastAsia="宋体"/>
                <w:color w:val="auto"/>
                <w:u w:val="none" w:color="auto"/>
                <w:lang w:val="en-US" w:eastAsia="zh-CN"/>
              </w:rPr>
              <w:t>2012</w:t>
            </w:r>
            <w:r>
              <w:rPr>
                <w:rFonts w:hint="eastAsia" w:eastAsia="宋体"/>
                <w:color w:val="auto"/>
                <w:u w:val="none" w:color="auto"/>
                <w:lang w:val="en-US" w:eastAsia="zh-CN"/>
              </w:rPr>
              <w:t>年</w:t>
            </w:r>
            <w:r>
              <w:rPr>
                <w:rFonts w:hint="default" w:eastAsia="宋体"/>
                <w:color w:val="auto"/>
                <w:u w:val="none" w:color="auto"/>
                <w:lang w:val="en-US" w:eastAsia="zh-CN"/>
              </w:rPr>
              <w:t>11</w:t>
            </w:r>
            <w:r>
              <w:rPr>
                <w:rFonts w:hint="eastAsia" w:eastAsia="宋体"/>
                <w:color w:val="auto"/>
                <w:u w:val="none" w:color="auto"/>
                <w:lang w:val="en-US" w:eastAsia="zh-CN"/>
              </w:rPr>
              <w:t>月</w:t>
            </w:r>
            <w:r>
              <w:rPr>
                <w:rFonts w:hint="default" w:eastAsia="宋体"/>
                <w:color w:val="auto"/>
                <w:u w:val="none" w:color="auto"/>
                <w:lang w:val="en-US" w:eastAsia="zh-CN"/>
              </w:rPr>
              <w:t>23</w:t>
            </w:r>
            <w:r>
              <w:rPr>
                <w:rFonts w:hint="eastAsia" w:eastAsia="宋体"/>
                <w:color w:val="auto"/>
                <w:u w:val="none" w:color="auto"/>
                <w:lang w:val="en-US" w:eastAsia="zh-CN"/>
              </w:rPr>
              <w:t>日湖南省人民政府以【湘政办函</w:t>
            </w:r>
            <w:r>
              <w:rPr>
                <w:rFonts w:hint="default" w:eastAsia="宋体"/>
                <w:color w:val="auto"/>
                <w:u w:val="none" w:color="auto"/>
                <w:lang w:val="en-US" w:eastAsia="zh-CN"/>
              </w:rPr>
              <w:t>[2012]187</w:t>
            </w:r>
            <w:r>
              <w:rPr>
                <w:rFonts w:hint="eastAsia" w:eastAsia="宋体"/>
                <w:color w:val="auto"/>
                <w:u w:val="none" w:color="auto"/>
                <w:lang w:val="en-US" w:eastAsia="zh-CN"/>
              </w:rPr>
              <w:t>号】批准新田工业园设立为省级工业集中区，新田工业园更名为新田工业集中区，并重新进行了规划；</w:t>
            </w:r>
            <w:r>
              <w:rPr>
                <w:rFonts w:hint="default" w:eastAsia="宋体"/>
                <w:color w:val="auto"/>
                <w:u w:val="none" w:color="auto"/>
                <w:lang w:val="en-US" w:eastAsia="zh-CN"/>
              </w:rPr>
              <w:t>2012</w:t>
            </w:r>
            <w:r>
              <w:rPr>
                <w:rFonts w:hint="eastAsia" w:eastAsia="宋体"/>
                <w:color w:val="auto"/>
                <w:u w:val="none" w:color="auto"/>
                <w:lang w:val="en-US" w:eastAsia="zh-CN"/>
              </w:rPr>
              <w:t>年</w:t>
            </w:r>
            <w:r>
              <w:rPr>
                <w:rFonts w:hint="default" w:eastAsia="宋体"/>
                <w:color w:val="auto"/>
                <w:u w:val="none" w:color="auto"/>
                <w:lang w:val="en-US" w:eastAsia="zh-CN"/>
              </w:rPr>
              <w:t>10</w:t>
            </w:r>
            <w:r>
              <w:rPr>
                <w:rFonts w:hint="eastAsia" w:eastAsia="宋体"/>
                <w:color w:val="auto"/>
                <w:u w:val="none" w:color="auto"/>
                <w:lang w:val="en-US" w:eastAsia="zh-CN"/>
              </w:rPr>
              <w:t>月</w:t>
            </w:r>
            <w:r>
              <w:rPr>
                <w:rFonts w:hint="default" w:eastAsia="宋体"/>
                <w:color w:val="auto"/>
                <w:u w:val="none" w:color="auto"/>
                <w:lang w:val="en-US" w:eastAsia="zh-CN"/>
              </w:rPr>
              <w:t>8</w:t>
            </w:r>
            <w:r>
              <w:rPr>
                <w:rFonts w:hint="eastAsia" w:eastAsia="宋体"/>
                <w:color w:val="auto"/>
                <w:u w:val="none" w:color="auto"/>
                <w:lang w:val="en-US" w:eastAsia="zh-CN"/>
              </w:rPr>
              <w:t>日湖南省发展和改革委员会下达了《关于新田工业集中区发展规划（</w:t>
            </w:r>
            <w:r>
              <w:rPr>
                <w:rFonts w:hint="default" w:eastAsia="宋体"/>
                <w:color w:val="auto"/>
                <w:u w:val="none" w:color="auto"/>
                <w:lang w:val="en-US" w:eastAsia="zh-CN"/>
              </w:rPr>
              <w:t>2011-2020</w:t>
            </w:r>
            <w:r>
              <w:rPr>
                <w:rFonts w:hint="eastAsia" w:eastAsia="宋体"/>
                <w:color w:val="auto"/>
                <w:u w:val="none" w:color="auto"/>
                <w:lang w:val="en-US" w:eastAsia="zh-CN"/>
              </w:rPr>
              <w:t>）的批复》（湘发改地区</w:t>
            </w:r>
            <w:r>
              <w:rPr>
                <w:rFonts w:hint="default" w:eastAsia="宋体"/>
                <w:color w:val="auto"/>
                <w:u w:val="none" w:color="auto"/>
                <w:lang w:val="en-US" w:eastAsia="zh-CN"/>
              </w:rPr>
              <w:t>[2012]1564</w:t>
            </w:r>
            <w:r>
              <w:rPr>
                <w:rFonts w:hint="eastAsia" w:eastAsia="宋体"/>
                <w:color w:val="auto"/>
                <w:u w:val="none" w:color="auto"/>
                <w:lang w:val="en-US" w:eastAsia="zh-CN"/>
              </w:rPr>
              <w:t>号），明确新田工业集中区近期（</w:t>
            </w:r>
            <w:r>
              <w:rPr>
                <w:rFonts w:hint="default" w:eastAsia="宋体"/>
                <w:color w:val="auto"/>
                <w:u w:val="none" w:color="auto"/>
                <w:lang w:val="en-US" w:eastAsia="zh-CN"/>
              </w:rPr>
              <w:t>2011-2015</w:t>
            </w:r>
            <w:r>
              <w:rPr>
                <w:rFonts w:hint="eastAsia" w:eastAsia="宋体"/>
                <w:color w:val="auto"/>
                <w:u w:val="none" w:color="auto"/>
                <w:lang w:val="en-US" w:eastAsia="zh-CN"/>
              </w:rPr>
              <w:t>）规划面积为</w:t>
            </w:r>
            <w:r>
              <w:rPr>
                <w:rFonts w:hint="default" w:eastAsia="宋体"/>
                <w:color w:val="auto"/>
                <w:u w:val="none" w:color="auto"/>
                <w:lang w:val="en-US" w:eastAsia="zh-CN"/>
              </w:rPr>
              <w:t>438</w:t>
            </w:r>
            <w:r>
              <w:rPr>
                <w:rFonts w:hint="eastAsia" w:eastAsia="宋体"/>
                <w:color w:val="auto"/>
                <w:u w:val="none" w:color="auto"/>
                <w:lang w:val="en-US" w:eastAsia="zh-CN"/>
              </w:rPr>
              <w:t>公顷，四至范围为：东至东溪路，西至叠翠街，南至城南路，北至彩云路；远期（</w:t>
            </w:r>
            <w:r>
              <w:rPr>
                <w:rFonts w:hint="default" w:eastAsia="宋体"/>
                <w:color w:val="auto"/>
                <w:u w:val="none" w:color="auto"/>
                <w:lang w:val="en-US" w:eastAsia="zh-CN"/>
              </w:rPr>
              <w:t>2016-2020</w:t>
            </w:r>
            <w:r>
              <w:rPr>
                <w:rFonts w:hint="eastAsia" w:eastAsia="宋体"/>
                <w:color w:val="auto"/>
                <w:u w:val="none" w:color="auto"/>
                <w:lang w:val="en-US" w:eastAsia="zh-CN"/>
              </w:rPr>
              <w:t>）规划面积为</w:t>
            </w:r>
            <w:r>
              <w:rPr>
                <w:rFonts w:hint="default" w:eastAsia="宋体"/>
                <w:color w:val="auto"/>
                <w:u w:val="none" w:color="auto"/>
                <w:lang w:val="en-US" w:eastAsia="zh-CN"/>
              </w:rPr>
              <w:t>508</w:t>
            </w:r>
            <w:r>
              <w:rPr>
                <w:rFonts w:hint="eastAsia" w:eastAsia="宋体"/>
                <w:color w:val="auto"/>
                <w:u w:val="none" w:color="auto"/>
                <w:lang w:val="en-US" w:eastAsia="zh-CN"/>
              </w:rPr>
              <w:t>公顷，四至范围为：东、西、北方向界限不变，向南拓展至傲春路，主导产业为以农林产品深加工、机械制造、服装鞋帽加工贸易等产业为主的特色综合型工业集中区的总体发展定位。</w:t>
            </w:r>
          </w:p>
          <w:p w14:paraId="5B3E818A">
            <w:pPr>
              <w:bidi w:val="0"/>
              <w:rPr>
                <w:color w:val="auto"/>
                <w:u w:val="none" w:color="auto"/>
              </w:rPr>
            </w:pPr>
            <w:r>
              <w:rPr>
                <w:color w:val="auto"/>
                <w:u w:val="none" w:color="auto"/>
              </w:rPr>
              <w:t>本项目</w:t>
            </w:r>
            <w:r>
              <w:rPr>
                <w:rFonts w:hint="eastAsia"/>
                <w:color w:val="auto"/>
                <w:u w:val="none" w:color="auto"/>
              </w:rPr>
              <w:t>为</w:t>
            </w:r>
            <w:r>
              <w:rPr>
                <w:color w:val="auto"/>
                <w:u w:val="none" w:color="auto"/>
              </w:rPr>
              <w:t>锂离子电池制造</w:t>
            </w:r>
            <w:r>
              <w:rPr>
                <w:rFonts w:hint="eastAsia"/>
                <w:color w:val="auto"/>
                <w:u w:val="none" w:color="auto"/>
              </w:rPr>
              <w:t>，</w:t>
            </w:r>
            <w:r>
              <w:rPr>
                <w:rFonts w:hint="eastAsia"/>
                <w:color w:val="auto"/>
                <w:u w:val="none" w:color="auto"/>
                <w:lang w:eastAsia="zh-CN"/>
              </w:rPr>
              <w:t>属于园区允许类产业</w:t>
            </w:r>
            <w:r>
              <w:rPr>
                <w:color w:val="auto"/>
                <w:u w:val="none" w:color="auto"/>
              </w:rPr>
              <w:t>。</w:t>
            </w:r>
          </w:p>
          <w:p w14:paraId="0040AD44">
            <w:pPr>
              <w:bidi w:val="0"/>
              <w:rPr>
                <w:rFonts w:hint="eastAsia"/>
                <w:color w:val="auto"/>
                <w:u w:val="none" w:color="auto"/>
              </w:rPr>
            </w:pPr>
            <w:r>
              <w:rPr>
                <w:rFonts w:hint="eastAsia"/>
                <w:color w:val="auto"/>
                <w:u w:val="none" w:color="auto"/>
              </w:rPr>
              <w:t>②用地相符性分析</w:t>
            </w:r>
          </w:p>
          <w:p w14:paraId="211877E7">
            <w:pPr>
              <w:bidi w:val="0"/>
              <w:rPr>
                <w:rFonts w:hint="eastAsia"/>
                <w:color w:val="auto"/>
                <w:u w:val="none" w:color="auto"/>
              </w:rPr>
            </w:pPr>
            <w:r>
              <w:rPr>
                <w:color w:val="auto"/>
                <w:u w:val="none" w:color="auto"/>
              </w:rPr>
              <w:t>本项目位于</w:t>
            </w:r>
            <w:r>
              <w:rPr>
                <w:rFonts w:hint="eastAsia"/>
                <w:color w:val="auto"/>
                <w:u w:val="none" w:color="auto"/>
              </w:rPr>
              <w:t>湖南省永州市新田县工业集中区</w:t>
            </w:r>
            <w:r>
              <w:rPr>
                <w:rFonts w:hint="default"/>
                <w:color w:val="auto"/>
                <w:u w:val="none" w:color="auto"/>
                <w:lang w:val="en-US" w:eastAsia="zh-CN"/>
              </w:rPr>
              <w:t>南园新能源科技产业园内</w:t>
            </w:r>
            <w:r>
              <w:rPr>
                <w:rFonts w:hint="eastAsia"/>
                <w:color w:val="auto"/>
                <w:u w:val="none" w:color="auto"/>
                <w:lang w:val="en-US" w:eastAsia="zh-CN"/>
              </w:rPr>
              <w:t>17号栋</w:t>
            </w:r>
            <w:r>
              <w:rPr>
                <w:rFonts w:hint="default"/>
                <w:color w:val="auto"/>
                <w:u w:val="none" w:color="auto"/>
                <w:lang w:val="en-US" w:eastAsia="zh-CN"/>
              </w:rPr>
              <w:t>标准厂房</w:t>
            </w:r>
            <w:r>
              <w:rPr>
                <w:rFonts w:hint="eastAsia"/>
                <w:color w:val="auto"/>
                <w:u w:val="none" w:color="auto"/>
              </w:rPr>
              <w:t>，本项目利用厂区已有厂房进行改造建设。根据新田县工业集中区控制性详细规划-土地利用规划图，本项目用地性质为工业用地，符合产业园用地规划。</w:t>
            </w:r>
          </w:p>
          <w:p w14:paraId="56D99064">
            <w:pPr>
              <w:autoSpaceDE w:val="0"/>
              <w:autoSpaceDN w:val="0"/>
              <w:adjustRightInd w:val="0"/>
              <w:spacing w:line="360" w:lineRule="auto"/>
              <w:ind w:firstLine="482" w:firstLineChars="200"/>
              <w:rPr>
                <w:rFonts w:hint="eastAsia"/>
                <w:b/>
                <w:bCs/>
                <w:color w:val="auto"/>
                <w:kern w:val="0"/>
                <w:sz w:val="24"/>
                <w:u w:val="none" w:color="auto"/>
                <w:lang w:bidi="ar"/>
              </w:rPr>
            </w:pPr>
            <w:r>
              <w:rPr>
                <w:rFonts w:hint="eastAsia"/>
                <w:b/>
                <w:bCs/>
                <w:color w:val="auto"/>
                <w:kern w:val="0"/>
                <w:sz w:val="24"/>
                <w:u w:val="none" w:color="auto"/>
                <w:lang w:bidi="ar"/>
              </w:rPr>
              <w:t>2、与新田工业集中区规划环境影响</w:t>
            </w:r>
            <w:r>
              <w:rPr>
                <w:rFonts w:hint="eastAsia"/>
                <w:b/>
                <w:bCs/>
                <w:color w:val="auto"/>
                <w:kern w:val="0"/>
                <w:sz w:val="24"/>
                <w:u w:val="none" w:color="auto"/>
                <w:lang w:eastAsia="zh-CN" w:bidi="ar"/>
              </w:rPr>
              <w:t>跟踪</w:t>
            </w:r>
            <w:r>
              <w:rPr>
                <w:rFonts w:hint="eastAsia"/>
                <w:b/>
                <w:bCs/>
                <w:color w:val="auto"/>
                <w:kern w:val="0"/>
                <w:sz w:val="24"/>
                <w:u w:val="none" w:color="auto"/>
                <w:lang w:bidi="ar"/>
              </w:rPr>
              <w:t>评价符合性分析</w:t>
            </w:r>
          </w:p>
          <w:p w14:paraId="354B2F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根据《新田县工业园项目环境影响评价报告书》及其批复</w:t>
            </w:r>
            <w:r>
              <w:rPr>
                <w:rFonts w:hint="eastAsia" w:cs="Times New Roman" w:eastAsiaTheme="minorEastAsia"/>
                <w:color w:val="auto"/>
                <w:sz w:val="24"/>
                <w:szCs w:val="24"/>
                <w:highlight w:val="none"/>
                <w:u w:val="none" w:color="auto"/>
                <w:lang w:val="en-US" w:eastAsia="zh-CN"/>
              </w:rPr>
              <w:t>（</w:t>
            </w:r>
            <w:r>
              <w:rPr>
                <w:rFonts w:hint="default" w:ascii="Times New Roman" w:hAnsi="Times New Roman" w:cs="Times New Roman" w:eastAsiaTheme="minorEastAsia"/>
                <w:color w:val="auto"/>
                <w:sz w:val="24"/>
                <w:szCs w:val="24"/>
                <w:highlight w:val="none"/>
                <w:u w:val="none" w:color="auto"/>
                <w:lang w:val="en-US" w:eastAsia="zh-CN"/>
              </w:rPr>
              <w:t>湘环评[2008]180号</w:t>
            </w:r>
            <w:r>
              <w:rPr>
                <w:rFonts w:hint="eastAsia" w:cs="Times New Roman" w:eastAsiaTheme="minorEastAsia"/>
                <w:color w:val="auto"/>
                <w:sz w:val="24"/>
                <w:szCs w:val="24"/>
                <w:highlight w:val="none"/>
                <w:u w:val="none" w:color="auto"/>
                <w:lang w:val="en-US" w:eastAsia="zh-CN"/>
              </w:rPr>
              <w:t>）、</w:t>
            </w:r>
            <w:r>
              <w:rPr>
                <w:rFonts w:hint="eastAsia"/>
                <w:color w:val="auto"/>
                <w:kern w:val="0"/>
                <w:sz w:val="24"/>
                <w:u w:val="none" w:color="auto"/>
                <w:lang w:bidi="ar"/>
              </w:rPr>
              <w:t>《新田工业集中区规划环境影响跟踪评价</w:t>
            </w:r>
            <w:r>
              <w:rPr>
                <w:rFonts w:hint="eastAsia"/>
                <w:color w:val="auto"/>
                <w:kern w:val="0"/>
                <w:sz w:val="24"/>
                <w:u w:val="none" w:color="auto"/>
                <w:lang w:eastAsia="zh-CN" w:bidi="ar"/>
              </w:rPr>
              <w:t>报告书</w:t>
            </w:r>
            <w:r>
              <w:rPr>
                <w:rFonts w:hint="eastAsia"/>
                <w:color w:val="auto"/>
                <w:kern w:val="0"/>
                <w:sz w:val="24"/>
                <w:u w:val="none" w:color="auto"/>
                <w:lang w:bidi="ar"/>
              </w:rPr>
              <w:t>》</w:t>
            </w:r>
            <w:r>
              <w:rPr>
                <w:rFonts w:hint="default" w:ascii="Times New Roman" w:hAnsi="Times New Roman" w:cs="Times New Roman" w:eastAsiaTheme="minorEastAsia"/>
                <w:color w:val="auto"/>
                <w:sz w:val="24"/>
                <w:szCs w:val="24"/>
                <w:highlight w:val="none"/>
                <w:u w:val="none" w:color="auto"/>
                <w:lang w:val="en-US" w:eastAsia="zh-CN"/>
              </w:rPr>
              <w:t>及其批复</w:t>
            </w:r>
            <w:r>
              <w:rPr>
                <w:rFonts w:hint="eastAsia"/>
                <w:color w:val="auto"/>
                <w:kern w:val="0"/>
                <w:sz w:val="24"/>
                <w:u w:val="none" w:color="auto"/>
                <w:lang w:bidi="ar"/>
              </w:rPr>
              <w:t>（湘环评函〔2021〕22号）</w:t>
            </w:r>
            <w:r>
              <w:rPr>
                <w:rFonts w:hint="default" w:ascii="Times New Roman" w:hAnsi="Times New Roman" w:cs="Times New Roman" w:eastAsiaTheme="minorEastAsia"/>
                <w:color w:val="auto"/>
                <w:sz w:val="24"/>
                <w:szCs w:val="24"/>
                <w:highlight w:val="none"/>
                <w:u w:val="none" w:color="auto"/>
                <w:lang w:val="en-US" w:eastAsia="zh-CN"/>
              </w:rPr>
              <w:t>，开发区定位为以农产品加工、纺织品来料加工、高科技工业为主导产业，优先发展农副产品加工工业。入园准入制度：开发区仅允许发展一、二类工业，禁止引进和建设三类工业。</w:t>
            </w:r>
          </w:p>
          <w:p w14:paraId="7017E2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一类工业：对居住和公共设施等环境基本无干扰和污染的工业，如电子工业、缝纫工业、工艺品制造工业等。</w:t>
            </w:r>
          </w:p>
          <w:p w14:paraId="654C26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lang w:val="en-US" w:eastAsia="zh-CN"/>
              </w:rPr>
              <w:t>二类工业：对居住和公共设施等环境有一定干燥和污染的工业，如食品工业、医药制造工业、纺织工业等。</w:t>
            </w:r>
          </w:p>
          <w:p w14:paraId="2A0229C9">
            <w:pPr>
              <w:spacing w:line="360" w:lineRule="auto"/>
              <w:ind w:firstLine="480" w:firstLineChars="200"/>
              <w:rPr>
                <w:bCs/>
                <w:color w:val="auto"/>
                <w:sz w:val="24"/>
                <w:u w:val="none" w:color="auto"/>
              </w:rPr>
            </w:pPr>
            <w:r>
              <w:rPr>
                <w:bCs/>
                <w:color w:val="auto"/>
                <w:sz w:val="24"/>
                <w:u w:val="none" w:color="auto"/>
              </w:rPr>
              <w:t>本项目与</w:t>
            </w:r>
            <w:r>
              <w:rPr>
                <w:rFonts w:hint="eastAsia"/>
                <w:bCs/>
                <w:color w:val="auto"/>
                <w:sz w:val="24"/>
                <w:u w:val="none" w:color="auto"/>
              </w:rPr>
              <w:t>规划</w:t>
            </w:r>
            <w:r>
              <w:rPr>
                <w:bCs/>
                <w:color w:val="auto"/>
                <w:sz w:val="24"/>
                <w:u w:val="none" w:color="auto"/>
              </w:rPr>
              <w:t>评价的符合性见下表：</w:t>
            </w:r>
          </w:p>
          <w:p w14:paraId="3E3B72C4">
            <w:pPr>
              <w:pStyle w:val="97"/>
              <w:autoSpaceDE w:val="0"/>
              <w:autoSpaceDN w:val="0"/>
              <w:spacing w:line="240" w:lineRule="auto"/>
              <w:jc w:val="center"/>
              <w:rPr>
                <w:b/>
                <w:color w:val="auto"/>
                <w:sz w:val="21"/>
                <w:szCs w:val="21"/>
                <w:u w:val="none" w:color="auto"/>
              </w:rPr>
            </w:pPr>
            <w:r>
              <w:rPr>
                <w:b/>
                <w:color w:val="auto"/>
                <w:sz w:val="21"/>
                <w:szCs w:val="21"/>
                <w:u w:val="none" w:color="auto"/>
              </w:rPr>
              <w:t>表1</w:t>
            </w:r>
            <w:r>
              <w:rPr>
                <w:rFonts w:hint="eastAsia"/>
                <w:b/>
                <w:color w:val="auto"/>
                <w:sz w:val="21"/>
                <w:szCs w:val="21"/>
                <w:u w:val="none" w:color="auto"/>
              </w:rPr>
              <w:t>-</w:t>
            </w:r>
            <w:r>
              <w:rPr>
                <w:b/>
                <w:color w:val="auto"/>
                <w:sz w:val="21"/>
                <w:szCs w:val="21"/>
                <w:u w:val="none" w:color="auto"/>
              </w:rPr>
              <w:t>1  与新田工业集中区环境影响跟踪评价相符性</w:t>
            </w:r>
          </w:p>
          <w:tbl>
            <w:tblPr>
              <w:tblStyle w:val="28"/>
              <w:tblW w:w="4996" w:type="pct"/>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38"/>
              <w:gridCol w:w="2451"/>
              <w:gridCol w:w="987"/>
            </w:tblGrid>
            <w:tr w14:paraId="5B4AEB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871" w:type="pct"/>
                  <w:tcBorders>
                    <w:tl2br w:val="nil"/>
                    <w:tr2bl w:val="nil"/>
                  </w:tcBorders>
                  <w:shd w:val="clear" w:color="auto" w:fill="auto"/>
                  <w:noWrap w:val="0"/>
                  <w:vAlign w:val="center"/>
                </w:tcPr>
                <w:p w14:paraId="7019F7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跟踪评价提出的要求</w:t>
                  </w:r>
                </w:p>
              </w:tc>
              <w:tc>
                <w:tcPr>
                  <w:tcW w:w="1516" w:type="pct"/>
                  <w:tcBorders>
                    <w:tl2br w:val="nil"/>
                    <w:tr2bl w:val="nil"/>
                  </w:tcBorders>
                  <w:shd w:val="clear" w:color="auto" w:fill="auto"/>
                  <w:noWrap w:val="0"/>
                  <w:vAlign w:val="center"/>
                </w:tcPr>
                <w:p w14:paraId="7F1E56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本项目</w:t>
                  </w:r>
                </w:p>
              </w:tc>
              <w:tc>
                <w:tcPr>
                  <w:tcW w:w="611" w:type="pct"/>
                  <w:tcBorders>
                    <w:tl2br w:val="nil"/>
                    <w:tr2bl w:val="nil"/>
                  </w:tcBorders>
                  <w:shd w:val="clear" w:color="auto" w:fill="auto"/>
                  <w:noWrap w:val="0"/>
                  <w:vAlign w:val="center"/>
                </w:tcPr>
                <w:p w14:paraId="03FDD1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符合性</w:t>
                  </w:r>
                </w:p>
              </w:tc>
            </w:tr>
            <w:tr w14:paraId="144CB5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871" w:type="pct"/>
                  <w:tcBorders>
                    <w:tl2br w:val="nil"/>
                    <w:tr2bl w:val="nil"/>
                  </w:tcBorders>
                  <w:shd w:val="clear" w:color="auto" w:fill="auto"/>
                  <w:noWrap w:val="0"/>
                  <w:vAlign w:val="center"/>
                </w:tcPr>
                <w:p w14:paraId="7D4508E8">
                  <w:pPr>
                    <w:pStyle w:val="98"/>
                    <w:widowControl/>
                    <w:kinsoku w:val="0"/>
                    <w:autoSpaceDE w:val="0"/>
                    <w:autoSpaceDN w:val="0"/>
                    <w:jc w:val="center"/>
                    <w:textAlignment w:val="baseline"/>
                    <w:rPr>
                      <w:rFonts w:ascii="Times New Roman" w:hAnsi="Times New Roman" w:cs="Times New Roman"/>
                      <w:color w:val="auto"/>
                      <w:sz w:val="21"/>
                      <w:szCs w:val="21"/>
                      <w:u w:val="none" w:color="auto"/>
                      <w:lang w:eastAsia="zh-CN"/>
                    </w:rPr>
                  </w:pPr>
                  <w:r>
                    <w:rPr>
                      <w:rFonts w:ascii="Times New Roman" w:hAnsi="Times New Roman" w:cs="Times New Roman"/>
                      <w:color w:val="auto"/>
                      <w:sz w:val="21"/>
                      <w:szCs w:val="21"/>
                      <w:u w:val="none" w:color="auto"/>
                      <w:lang w:eastAsia="zh-CN"/>
                    </w:rPr>
                    <w:t>1、进</w:t>
                  </w:r>
                  <w:r>
                    <w:rPr>
                      <w:rFonts w:hint="eastAsia" w:ascii="Times New Roman" w:hAnsi="Times New Roman" w:cs="Times New Roman"/>
                      <w:color w:val="auto"/>
                      <w:sz w:val="21"/>
                      <w:szCs w:val="21"/>
                      <w:u w:val="none" w:color="auto"/>
                      <w:lang w:eastAsia="zh-CN"/>
                    </w:rPr>
                    <w:t>一</w:t>
                  </w:r>
                  <w:r>
                    <w:rPr>
                      <w:rFonts w:ascii="Times New Roman" w:hAnsi="Times New Roman" w:cs="Times New Roman"/>
                      <w:color w:val="auto"/>
                      <w:sz w:val="21"/>
                      <w:szCs w:val="21"/>
                      <w:u w:val="none" w:color="auto"/>
                      <w:lang w:eastAsia="zh-CN"/>
                    </w:rPr>
                    <w:t>步强化园区开发的合规性。园区北区</w:t>
                  </w:r>
                  <w:r>
                    <w:rPr>
                      <w:rFonts w:hint="eastAsia" w:ascii="Times New Roman" w:hAnsi="Times New Roman" w:cs="Times New Roman"/>
                      <w:color w:val="auto"/>
                      <w:sz w:val="21"/>
                      <w:szCs w:val="21"/>
                      <w:u w:val="none" w:color="auto"/>
                      <w:lang w:eastAsia="zh-CN"/>
                    </w:rPr>
                    <w:t>（</w:t>
                  </w:r>
                  <w:r>
                    <w:rPr>
                      <w:rFonts w:ascii="Times New Roman" w:hAnsi="Times New Roman" w:cs="Times New Roman"/>
                      <w:color w:val="auto"/>
                      <w:sz w:val="21"/>
                      <w:szCs w:val="21"/>
                      <w:u w:val="none" w:color="auto"/>
                      <w:lang w:eastAsia="zh-CN"/>
                    </w:rPr>
                    <w:t>新嘉公路以北区域</w:t>
                  </w:r>
                  <w:r>
                    <w:rPr>
                      <w:rFonts w:hint="eastAsia" w:ascii="Times New Roman" w:hAnsi="Times New Roman" w:cs="Times New Roman"/>
                      <w:color w:val="auto"/>
                      <w:sz w:val="21"/>
                      <w:szCs w:val="21"/>
                      <w:u w:val="none" w:color="auto"/>
                      <w:lang w:eastAsia="zh-CN"/>
                    </w:rPr>
                    <w:t>）</w:t>
                  </w:r>
                  <w:r>
                    <w:rPr>
                      <w:rFonts w:ascii="Times New Roman" w:hAnsi="Times New Roman" w:cs="Times New Roman"/>
                      <w:color w:val="auto"/>
                      <w:sz w:val="21"/>
                      <w:szCs w:val="21"/>
                      <w:u w:val="none" w:color="auto"/>
                      <w:lang w:eastAsia="zh-CN"/>
                    </w:rPr>
                    <w:t>未严格按照原规划作为工业开发，现状已成为县城</w:t>
                  </w:r>
                  <w:r>
                    <w:rPr>
                      <w:rFonts w:hint="eastAsia" w:ascii="Times New Roman" w:hAnsi="Times New Roman" w:cs="Times New Roman"/>
                      <w:color w:val="auto"/>
                      <w:sz w:val="21"/>
                      <w:szCs w:val="21"/>
                      <w:u w:val="none" w:color="auto"/>
                      <w:lang w:eastAsia="zh-CN"/>
                    </w:rPr>
                    <w:t>一</w:t>
                  </w:r>
                  <w:r>
                    <w:rPr>
                      <w:rFonts w:ascii="Times New Roman" w:hAnsi="Times New Roman" w:cs="Times New Roman"/>
                      <w:color w:val="auto"/>
                      <w:sz w:val="21"/>
                      <w:szCs w:val="21"/>
                      <w:u w:val="none" w:color="auto"/>
                      <w:lang w:eastAsia="zh-CN"/>
                    </w:rPr>
                    <w:t>部分，居住小区密布，功能上已不再适合作为工业集中区开发，应及时开展规划调整并重新开展规划环评论证，后续应加强对规划及规划环评的执行力度，坚决杜绝规划与实际开发两张皮的情况。南区</w:t>
                  </w:r>
                  <w:r>
                    <w:rPr>
                      <w:rFonts w:hint="eastAsia" w:ascii="Times New Roman" w:hAnsi="Times New Roman" w:cs="Times New Roman"/>
                      <w:color w:val="auto"/>
                      <w:sz w:val="21"/>
                      <w:szCs w:val="21"/>
                      <w:u w:val="none" w:color="auto"/>
                      <w:lang w:eastAsia="zh-CN"/>
                    </w:rPr>
                    <w:t>（</w:t>
                  </w:r>
                  <w:r>
                    <w:rPr>
                      <w:rFonts w:ascii="Times New Roman" w:hAnsi="Times New Roman" w:cs="Times New Roman"/>
                      <w:color w:val="auto"/>
                      <w:sz w:val="21"/>
                      <w:szCs w:val="21"/>
                      <w:u w:val="none" w:color="auto"/>
                      <w:lang w:eastAsia="zh-CN"/>
                    </w:rPr>
                    <w:t>新嘉公路以南区域</w:t>
                  </w:r>
                  <w:r>
                    <w:rPr>
                      <w:rFonts w:hint="eastAsia" w:ascii="Times New Roman" w:hAnsi="Times New Roman" w:cs="Times New Roman"/>
                      <w:color w:val="auto"/>
                      <w:sz w:val="21"/>
                      <w:szCs w:val="21"/>
                      <w:u w:val="none" w:color="auto"/>
                      <w:lang w:eastAsia="zh-CN"/>
                    </w:rPr>
                    <w:t>）</w:t>
                  </w:r>
                  <w:r>
                    <w:rPr>
                      <w:rFonts w:ascii="Times New Roman" w:hAnsi="Times New Roman" w:cs="Times New Roman"/>
                      <w:color w:val="auto"/>
                      <w:sz w:val="21"/>
                      <w:szCs w:val="21"/>
                      <w:u w:val="none" w:color="auto"/>
                      <w:lang w:eastAsia="zh-CN"/>
                    </w:rPr>
                    <w:t>以易地扶贫安置小区的名义建设了集中居民区，后续开发应严格控制其周边邻近区块的产业布局，不得新落户污染明显的项目，并对已落户的产业加强污染控制。园区在下</w:t>
                  </w:r>
                  <w:r>
                    <w:rPr>
                      <w:rFonts w:hint="eastAsia" w:ascii="Times New Roman" w:hAnsi="Times New Roman" w:cs="Times New Roman"/>
                      <w:color w:val="auto"/>
                      <w:sz w:val="21"/>
                      <w:szCs w:val="21"/>
                      <w:u w:val="none" w:color="auto"/>
                      <w:lang w:eastAsia="zh-CN"/>
                    </w:rPr>
                    <w:t>一</w:t>
                  </w:r>
                  <w:r>
                    <w:rPr>
                      <w:rFonts w:ascii="Times New Roman" w:hAnsi="Times New Roman" w:cs="Times New Roman"/>
                      <w:color w:val="auto"/>
                      <w:sz w:val="21"/>
                      <w:szCs w:val="21"/>
                      <w:u w:val="none" w:color="auto"/>
                      <w:lang w:eastAsia="zh-CN"/>
                    </w:rPr>
                    <w:t>步建设过程中应将污染相对较重环境风险相对较大的项目向园区南部布量，避免对园区内集中居民区及其他环境敏感目标的影响。</w:t>
                  </w:r>
                </w:p>
              </w:tc>
              <w:tc>
                <w:tcPr>
                  <w:tcW w:w="1516" w:type="pct"/>
                  <w:vMerge w:val="restart"/>
                  <w:tcBorders>
                    <w:tl2br w:val="nil"/>
                    <w:tr2bl w:val="nil"/>
                  </w:tcBorders>
                  <w:shd w:val="clear" w:color="auto" w:fill="auto"/>
                  <w:noWrap w:val="0"/>
                  <w:vAlign w:val="center"/>
                </w:tcPr>
                <w:p w14:paraId="711441EA">
                  <w:pPr>
                    <w:pStyle w:val="98"/>
                    <w:widowControl/>
                    <w:kinsoku w:val="0"/>
                    <w:autoSpaceDE w:val="0"/>
                    <w:autoSpaceDN w:val="0"/>
                    <w:ind w:left="0" w:leftChars="0" w:firstLine="0" w:firstLineChars="0"/>
                    <w:jc w:val="center"/>
                    <w:textAlignment w:val="baseline"/>
                    <w:rPr>
                      <w:rFonts w:ascii="Times New Roman" w:hAnsi="Times New Roman"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本项目位于湖南省永州市新田县工业集中区</w:t>
                  </w:r>
                  <w:r>
                    <w:rPr>
                      <w:rFonts w:hint="default" w:ascii="Times New Roman" w:hAnsi="Times New Roman" w:eastAsia="宋体" w:cs="Times New Roman"/>
                      <w:color w:val="auto"/>
                      <w:sz w:val="21"/>
                      <w:szCs w:val="21"/>
                      <w:u w:val="none" w:color="auto"/>
                      <w:lang w:val="en-US" w:eastAsia="zh-CN"/>
                    </w:rPr>
                    <w:t>南园新能源科技产业园内</w:t>
                  </w:r>
                  <w:r>
                    <w:rPr>
                      <w:rFonts w:hint="eastAsia" w:ascii="Times New Roman" w:hAnsi="Times New Roman" w:eastAsia="宋体" w:cs="Times New Roman"/>
                      <w:color w:val="auto"/>
                      <w:sz w:val="21"/>
                      <w:szCs w:val="21"/>
                      <w:u w:val="none" w:color="auto"/>
                      <w:lang w:val="en-US" w:eastAsia="zh-CN"/>
                    </w:rPr>
                    <w:t>17号栋</w:t>
                  </w:r>
                  <w:r>
                    <w:rPr>
                      <w:rFonts w:hint="default" w:ascii="Times New Roman" w:hAnsi="Times New Roman" w:eastAsia="宋体" w:cs="Times New Roman"/>
                      <w:color w:val="auto"/>
                      <w:sz w:val="21"/>
                      <w:szCs w:val="21"/>
                      <w:u w:val="none" w:color="auto"/>
                      <w:lang w:val="en-US" w:eastAsia="zh-CN"/>
                    </w:rPr>
                    <w:t>标准厂房</w:t>
                  </w:r>
                  <w:r>
                    <w:rPr>
                      <w:rFonts w:hint="eastAsia" w:ascii="Times New Roman" w:hAnsi="Times New Roman" w:eastAsia="宋体" w:cs="Times New Roman"/>
                      <w:color w:val="auto"/>
                      <w:sz w:val="21"/>
                      <w:szCs w:val="21"/>
                      <w:u w:val="none" w:color="auto"/>
                      <w:lang w:eastAsia="zh-CN"/>
                    </w:rPr>
                    <w:t>，属于园区</w:t>
                  </w:r>
                  <w:r>
                    <w:rPr>
                      <w:rFonts w:hint="eastAsia" w:ascii="Times New Roman" w:hAnsi="Times New Roman" w:cs="Times New Roman"/>
                      <w:color w:val="auto"/>
                      <w:sz w:val="21"/>
                      <w:szCs w:val="21"/>
                      <w:u w:val="none" w:color="auto"/>
                      <w:lang w:eastAsia="zh-CN"/>
                    </w:rPr>
                    <w:t>内</w:t>
                  </w:r>
                  <w:r>
                    <w:rPr>
                      <w:rFonts w:hint="eastAsia" w:ascii="Times New Roman" w:hAnsi="Times New Roman" w:eastAsia="宋体" w:cs="Times New Roman"/>
                      <w:color w:val="auto"/>
                      <w:sz w:val="21"/>
                      <w:szCs w:val="21"/>
                      <w:u w:val="none" w:color="auto"/>
                      <w:lang w:eastAsia="zh-CN"/>
                    </w:rPr>
                    <w:t>，且本项目利用厂区已有厂房进行改造建设，锂离子电池项目污染不大，基本不会对园区内集中居民区造成大的</w:t>
                  </w:r>
                  <w:r>
                    <w:rPr>
                      <w:rFonts w:hint="eastAsia" w:ascii="Times New Roman" w:hAnsi="Times New Roman" w:cs="Times New Roman"/>
                      <w:color w:val="auto"/>
                      <w:sz w:val="21"/>
                      <w:szCs w:val="21"/>
                      <w:u w:val="none" w:color="auto"/>
                      <w:lang w:eastAsia="zh-CN"/>
                    </w:rPr>
                    <w:t>影响</w:t>
                  </w:r>
                  <w:r>
                    <w:rPr>
                      <w:rFonts w:ascii="Times New Roman" w:hAnsi="Times New Roman" w:cs="Times New Roman"/>
                      <w:color w:val="auto"/>
                      <w:sz w:val="21"/>
                      <w:szCs w:val="21"/>
                      <w:u w:val="none" w:color="auto"/>
                      <w:lang w:eastAsia="zh-CN"/>
                    </w:rPr>
                    <w:t>。</w:t>
                  </w:r>
                </w:p>
              </w:tc>
              <w:tc>
                <w:tcPr>
                  <w:tcW w:w="611" w:type="pct"/>
                  <w:vMerge w:val="restart"/>
                  <w:tcBorders>
                    <w:tl2br w:val="nil"/>
                    <w:tr2bl w:val="nil"/>
                  </w:tcBorders>
                  <w:shd w:val="clear" w:color="auto" w:fill="auto"/>
                  <w:noWrap w:val="0"/>
                  <w:vAlign w:val="center"/>
                </w:tcPr>
                <w:p w14:paraId="2FB708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符合</w:t>
                  </w:r>
                </w:p>
              </w:tc>
            </w:tr>
            <w:tr w14:paraId="0AD067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871" w:type="pct"/>
                  <w:tcBorders>
                    <w:tl2br w:val="nil"/>
                    <w:tr2bl w:val="nil"/>
                  </w:tcBorders>
                  <w:shd w:val="clear" w:color="auto" w:fill="auto"/>
                  <w:noWrap w:val="0"/>
                  <w:vAlign w:val="center"/>
                </w:tcPr>
                <w:p w14:paraId="2D58543F">
                  <w:pPr>
                    <w:pStyle w:val="98"/>
                    <w:widowControl/>
                    <w:kinsoku w:val="0"/>
                    <w:autoSpaceDE w:val="0"/>
                    <w:autoSpaceDN w:val="0"/>
                    <w:jc w:val="center"/>
                    <w:textAlignment w:val="baseline"/>
                    <w:rPr>
                      <w:rFonts w:ascii="Times New Roman" w:hAnsi="Times New Roman" w:cs="Times New Roman"/>
                      <w:color w:val="auto"/>
                      <w:sz w:val="21"/>
                      <w:szCs w:val="21"/>
                      <w:u w:val="none" w:color="auto"/>
                      <w:lang w:eastAsia="zh-CN"/>
                    </w:rPr>
                  </w:pPr>
                  <w:r>
                    <w:rPr>
                      <w:rFonts w:ascii="Times New Roman" w:hAnsi="Times New Roman" w:cs="Times New Roman"/>
                      <w:color w:val="auto"/>
                      <w:sz w:val="21"/>
                      <w:szCs w:val="21"/>
                      <w:u w:val="none" w:color="auto"/>
                      <w:lang w:eastAsia="zh-CN"/>
                    </w:rPr>
                    <w:t>2、进</w:t>
                  </w:r>
                  <w:r>
                    <w:rPr>
                      <w:rFonts w:hint="eastAsia" w:ascii="Times New Roman" w:hAnsi="Times New Roman" w:cs="Times New Roman"/>
                      <w:color w:val="auto"/>
                      <w:sz w:val="21"/>
                      <w:szCs w:val="21"/>
                      <w:u w:val="none" w:color="auto"/>
                      <w:lang w:eastAsia="zh-CN"/>
                    </w:rPr>
                    <w:t>一</w:t>
                  </w:r>
                  <w:r>
                    <w:rPr>
                      <w:rFonts w:ascii="Times New Roman" w:hAnsi="Times New Roman" w:cs="Times New Roman"/>
                      <w:color w:val="auto"/>
                      <w:sz w:val="21"/>
                      <w:szCs w:val="21"/>
                      <w:u w:val="none" w:color="auto"/>
                      <w:lang w:eastAsia="zh-CN"/>
                    </w:rPr>
                    <w:t>步严格产业环境准入。园区后续发展与规划调整须符合园区</w:t>
                  </w:r>
                  <w:r>
                    <w:rPr>
                      <w:rFonts w:hint="eastAsia" w:ascii="Times New Roman" w:hAnsi="Times New Roman" w:cs="Times New Roman"/>
                      <w:color w:val="auto"/>
                      <w:sz w:val="21"/>
                      <w:szCs w:val="21"/>
                      <w:u w:val="none" w:color="auto"/>
                      <w:lang w:eastAsia="zh-CN"/>
                    </w:rPr>
                    <w:t>“</w:t>
                  </w:r>
                  <w:r>
                    <w:rPr>
                      <w:rFonts w:ascii="Times New Roman" w:hAnsi="Times New Roman" w:cs="Times New Roman"/>
                      <w:color w:val="auto"/>
                      <w:sz w:val="21"/>
                      <w:szCs w:val="21"/>
                      <w:u w:val="none" w:color="auto"/>
                      <w:lang w:eastAsia="zh-CN"/>
                    </w:rPr>
                    <w:t>三线</w:t>
                  </w:r>
                  <w:r>
                    <w:rPr>
                      <w:rFonts w:hint="eastAsia" w:ascii="Times New Roman" w:hAnsi="Times New Roman" w:cs="Times New Roman"/>
                      <w:color w:val="auto"/>
                      <w:sz w:val="21"/>
                      <w:szCs w:val="21"/>
                      <w:u w:val="none" w:color="auto"/>
                      <w:lang w:eastAsia="zh-CN"/>
                    </w:rPr>
                    <w:t>一</w:t>
                  </w:r>
                  <w:r>
                    <w:rPr>
                      <w:rFonts w:ascii="Times New Roman" w:hAnsi="Times New Roman" w:cs="Times New Roman"/>
                      <w:color w:val="auto"/>
                      <w:sz w:val="21"/>
                      <w:szCs w:val="21"/>
                      <w:u w:val="none" w:color="auto"/>
                      <w:lang w:eastAsia="zh-CN"/>
                    </w:rPr>
                    <w:t>单</w:t>
                  </w:r>
                  <w:r>
                    <w:rPr>
                      <w:rFonts w:hint="eastAsia" w:ascii="Times New Roman" w:hAnsi="Times New Roman" w:cs="Times New Roman"/>
                      <w:color w:val="auto"/>
                      <w:sz w:val="21"/>
                      <w:szCs w:val="21"/>
                      <w:u w:val="none" w:color="auto"/>
                      <w:lang w:eastAsia="zh-CN"/>
                    </w:rPr>
                    <w:t>”</w:t>
                  </w:r>
                  <w:r>
                    <w:rPr>
                      <w:rFonts w:ascii="Times New Roman" w:hAnsi="Times New Roman" w:cs="Times New Roman"/>
                      <w:color w:val="auto"/>
                      <w:sz w:val="21"/>
                      <w:szCs w:val="21"/>
                      <w:u w:val="none" w:color="auto"/>
                      <w:lang w:eastAsia="zh-CN"/>
                    </w:rPr>
                    <w:t>环境准入要求及《报告书》提出的环境准入条件和负面清单要求，禁止新引进与之不符的产业，对于不符合园区规划要求的企业</w:t>
                  </w:r>
                  <w:r>
                    <w:rPr>
                      <w:rFonts w:hint="eastAsia" w:ascii="Times New Roman" w:hAnsi="Times New Roman" w:cs="Times New Roman"/>
                      <w:color w:val="auto"/>
                      <w:sz w:val="21"/>
                      <w:szCs w:val="21"/>
                      <w:u w:val="none" w:color="auto"/>
                      <w:lang w:eastAsia="zh-CN"/>
                    </w:rPr>
                    <w:t>（</w:t>
                  </w:r>
                  <w:r>
                    <w:rPr>
                      <w:rFonts w:ascii="Times New Roman" w:hAnsi="Times New Roman" w:cs="Times New Roman"/>
                      <w:color w:val="auto"/>
                      <w:sz w:val="21"/>
                      <w:szCs w:val="21"/>
                      <w:u w:val="none" w:color="auto"/>
                      <w:lang w:eastAsia="zh-CN"/>
                    </w:rPr>
                    <w:t>包括部分已停产的企业</w:t>
                  </w:r>
                  <w:r>
                    <w:rPr>
                      <w:rFonts w:hint="eastAsia" w:ascii="Times New Roman" w:hAnsi="Times New Roman" w:cs="Times New Roman"/>
                      <w:color w:val="auto"/>
                      <w:sz w:val="21"/>
                      <w:szCs w:val="21"/>
                      <w:u w:val="none" w:color="auto"/>
                      <w:lang w:eastAsia="zh-CN"/>
                    </w:rPr>
                    <w:t>）</w:t>
                  </w:r>
                  <w:r>
                    <w:rPr>
                      <w:rFonts w:ascii="Times New Roman" w:hAnsi="Times New Roman" w:cs="Times New Roman"/>
                      <w:color w:val="auto"/>
                      <w:sz w:val="21"/>
                      <w:szCs w:val="21"/>
                      <w:u w:val="none" w:color="auto"/>
                      <w:lang w:eastAsia="zh-CN"/>
                    </w:rPr>
                    <w:t>要按照报告书提出的方案明确</w:t>
                  </w:r>
                  <w:r>
                    <w:rPr>
                      <w:rFonts w:hint="eastAsia" w:ascii="Times New Roman" w:hAnsi="Times New Roman" w:cs="Times New Roman"/>
                      <w:color w:val="auto"/>
                      <w:sz w:val="21"/>
                      <w:szCs w:val="21"/>
                      <w:u w:val="none" w:color="auto"/>
                      <w:lang w:eastAsia="zh-CN"/>
                    </w:rPr>
                    <w:t>予以</w:t>
                  </w:r>
                  <w:r>
                    <w:rPr>
                      <w:rFonts w:ascii="Times New Roman" w:hAnsi="Times New Roman" w:cs="Times New Roman"/>
                      <w:color w:val="auto"/>
                      <w:sz w:val="21"/>
                      <w:szCs w:val="21"/>
                      <w:u w:val="none" w:color="auto"/>
                      <w:lang w:eastAsia="zh-CN"/>
                    </w:rPr>
                    <w:t>整改、搬迁或退出。</w:t>
                  </w:r>
                </w:p>
              </w:tc>
              <w:tc>
                <w:tcPr>
                  <w:tcW w:w="1516" w:type="pct"/>
                  <w:tcBorders>
                    <w:tl2br w:val="nil"/>
                    <w:tr2bl w:val="nil"/>
                  </w:tcBorders>
                  <w:shd w:val="clear" w:color="auto" w:fill="auto"/>
                  <w:noWrap w:val="0"/>
                  <w:vAlign w:val="center"/>
                </w:tcPr>
                <w:p w14:paraId="00623DB0">
                  <w:pPr>
                    <w:pStyle w:val="98"/>
                    <w:widowControl/>
                    <w:kinsoku w:val="0"/>
                    <w:autoSpaceDE w:val="0"/>
                    <w:autoSpaceDN w:val="0"/>
                    <w:ind w:left="0" w:leftChars="0" w:firstLine="0" w:firstLineChars="0"/>
                    <w:jc w:val="center"/>
                    <w:textAlignment w:val="baseline"/>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本项目为锂离子电池制造，符合园区产业要求。</w:t>
                  </w:r>
                </w:p>
              </w:tc>
              <w:tc>
                <w:tcPr>
                  <w:tcW w:w="611" w:type="pct"/>
                  <w:tcBorders>
                    <w:tl2br w:val="nil"/>
                    <w:tr2bl w:val="nil"/>
                  </w:tcBorders>
                  <w:shd w:val="clear" w:color="auto" w:fill="auto"/>
                  <w:noWrap w:val="0"/>
                  <w:vAlign w:val="center"/>
                </w:tcPr>
                <w:p w14:paraId="2ED38B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符合</w:t>
                  </w:r>
                </w:p>
              </w:tc>
            </w:tr>
            <w:tr w14:paraId="5CE08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871" w:type="pct"/>
                  <w:tcBorders>
                    <w:tl2br w:val="nil"/>
                    <w:tr2bl w:val="nil"/>
                  </w:tcBorders>
                  <w:shd w:val="clear" w:color="auto" w:fill="auto"/>
                  <w:noWrap w:val="0"/>
                  <w:vAlign w:val="center"/>
                </w:tcPr>
                <w:p w14:paraId="1CEF557E">
                  <w:pPr>
                    <w:pStyle w:val="98"/>
                    <w:widowControl/>
                    <w:tabs>
                      <w:tab w:val="left" w:pos="3716"/>
                    </w:tabs>
                    <w:kinsoku w:val="0"/>
                    <w:autoSpaceDE w:val="0"/>
                    <w:autoSpaceDN w:val="0"/>
                    <w:jc w:val="center"/>
                    <w:textAlignment w:val="baseline"/>
                    <w:rPr>
                      <w:rFonts w:ascii="Times New Roman" w:hAnsi="Times New Roman" w:cs="Times New Roman"/>
                      <w:color w:val="auto"/>
                      <w:sz w:val="21"/>
                      <w:szCs w:val="21"/>
                      <w:u w:val="none" w:color="auto"/>
                      <w:lang w:eastAsia="zh-CN"/>
                    </w:rPr>
                  </w:pPr>
                  <w:r>
                    <w:rPr>
                      <w:rFonts w:ascii="Times New Roman" w:hAnsi="Times New Roman" w:cs="Times New Roman"/>
                      <w:color w:val="auto"/>
                      <w:sz w:val="21"/>
                      <w:szCs w:val="21"/>
                      <w:u w:val="none" w:color="auto"/>
                      <w:lang w:eastAsia="zh-CN"/>
                    </w:rPr>
                    <w:t>3、进</w:t>
                  </w:r>
                  <w:r>
                    <w:rPr>
                      <w:rFonts w:hint="eastAsia" w:ascii="Times New Roman" w:hAnsi="Times New Roman" w:cs="Times New Roman"/>
                      <w:color w:val="auto"/>
                      <w:sz w:val="21"/>
                      <w:szCs w:val="21"/>
                      <w:u w:val="none" w:color="auto"/>
                      <w:lang w:eastAsia="zh-CN"/>
                    </w:rPr>
                    <w:t>一</w:t>
                  </w:r>
                  <w:r>
                    <w:rPr>
                      <w:rFonts w:ascii="Times New Roman" w:hAnsi="Times New Roman" w:cs="Times New Roman"/>
                      <w:color w:val="auto"/>
                      <w:sz w:val="21"/>
                      <w:szCs w:val="21"/>
                      <w:u w:val="none" w:color="auto"/>
                      <w:lang w:eastAsia="zh-CN"/>
                    </w:rPr>
                    <w:t>步落实园区污染管控措施。加强园区雨污分流系统、污水收集管网及污水提升泵站的管理和维护，确保园区生产生活</w:t>
                  </w:r>
                  <w:r>
                    <w:rPr>
                      <w:rFonts w:hint="eastAsia" w:ascii="Times New Roman" w:hAnsi="Times New Roman" w:cs="Times New Roman"/>
                      <w:color w:val="auto"/>
                      <w:sz w:val="21"/>
                      <w:szCs w:val="21"/>
                      <w:u w:val="none" w:color="auto"/>
                      <w:lang w:eastAsia="zh-CN"/>
                    </w:rPr>
                    <w:t>废</w:t>
                  </w:r>
                  <w:r>
                    <w:rPr>
                      <w:rFonts w:ascii="Times New Roman" w:hAnsi="Times New Roman" w:cs="Times New Roman"/>
                      <w:color w:val="auto"/>
                      <w:sz w:val="21"/>
                      <w:szCs w:val="21"/>
                      <w:u w:val="none" w:color="auto"/>
                      <w:lang w:eastAsia="zh-CN"/>
                    </w:rPr>
                    <w:t>水应收尽收，全部送至配套的</w:t>
                  </w:r>
                  <w:r>
                    <w:rPr>
                      <w:rFonts w:hint="eastAsia" w:ascii="Times New Roman" w:hAnsi="Times New Roman" w:cs="Times New Roman"/>
                      <w:color w:val="auto"/>
                      <w:sz w:val="21"/>
                      <w:szCs w:val="21"/>
                      <w:u w:val="none" w:color="auto"/>
                      <w:lang w:eastAsia="zh-CN"/>
                    </w:rPr>
                    <w:t>集中</w:t>
                  </w:r>
                  <w:r>
                    <w:rPr>
                      <w:rFonts w:ascii="Times New Roman" w:hAnsi="Times New Roman" w:cs="Times New Roman"/>
                      <w:color w:val="auto"/>
                      <w:sz w:val="21"/>
                      <w:szCs w:val="21"/>
                      <w:u w:val="none" w:color="auto"/>
                      <w:lang w:eastAsia="zh-CN"/>
                    </w:rPr>
                    <w:t>污水处理厂处理，园区企业不单独设置排污口。鉴于现依托的新田县污水处理厂负荷已近饱和，园区应加快推进南部新城污水处理厂及配套管网建设，南部新城污水处理</w:t>
                  </w:r>
                  <w:r>
                    <w:rPr>
                      <w:rFonts w:hint="eastAsia" w:ascii="Times New Roman" w:hAnsi="Times New Roman" w:cs="Times New Roman"/>
                      <w:color w:val="auto"/>
                      <w:sz w:val="21"/>
                      <w:szCs w:val="21"/>
                      <w:u w:val="none" w:color="auto"/>
                      <w:lang w:eastAsia="zh-CN"/>
                    </w:rPr>
                    <w:t>厂</w:t>
                  </w:r>
                  <w:r>
                    <w:rPr>
                      <w:rFonts w:ascii="Times New Roman" w:hAnsi="Times New Roman" w:cs="Times New Roman"/>
                      <w:color w:val="auto"/>
                      <w:sz w:val="21"/>
                      <w:szCs w:val="21"/>
                      <w:u w:val="none" w:color="auto"/>
                      <w:lang w:eastAsia="zh-CN"/>
                    </w:rPr>
                    <w:t>未建成前，不得引进新增废水的项目。优化能源结构</w:t>
                  </w:r>
                  <w:r>
                    <w:rPr>
                      <w:rFonts w:hint="eastAsia" w:ascii="Times New Roman" w:hAnsi="Times New Roman" w:cs="Times New Roman"/>
                      <w:color w:val="auto"/>
                      <w:sz w:val="21"/>
                      <w:szCs w:val="21"/>
                      <w:u w:val="none" w:color="auto"/>
                      <w:lang w:eastAsia="zh-CN"/>
                    </w:rPr>
                    <w:t>，</w:t>
                  </w:r>
                  <w:r>
                    <w:rPr>
                      <w:rFonts w:ascii="Times New Roman" w:hAnsi="Times New Roman" w:cs="Times New Roman"/>
                      <w:color w:val="auto"/>
                      <w:sz w:val="21"/>
                      <w:szCs w:val="21"/>
                      <w:u w:val="none" w:color="auto"/>
                      <w:lang w:eastAsia="zh-CN"/>
                    </w:rPr>
                    <w:t>推动清洁能源替代，加强对园区大气污染物特别是VOCs的防治，采取有效措施减少污染物排放总量，严格控制无组织排放。做好工业固体</w:t>
                  </w:r>
                  <w:r>
                    <w:rPr>
                      <w:rFonts w:hint="eastAsia" w:ascii="Times New Roman" w:hAnsi="Times New Roman" w:cs="Times New Roman"/>
                      <w:color w:val="auto"/>
                      <w:sz w:val="21"/>
                      <w:szCs w:val="21"/>
                      <w:u w:val="none" w:color="auto"/>
                      <w:lang w:eastAsia="zh-CN"/>
                    </w:rPr>
                    <w:t>废物</w:t>
                  </w:r>
                  <w:r>
                    <w:rPr>
                      <w:rFonts w:ascii="Times New Roman" w:hAnsi="Times New Roman" w:cs="Times New Roman"/>
                      <w:color w:val="auto"/>
                      <w:sz w:val="21"/>
                      <w:szCs w:val="21"/>
                      <w:u w:val="none" w:color="auto"/>
                      <w:lang w:eastAsia="zh-CN"/>
                    </w:rPr>
                    <w:t>和生活垃圾的分类收集、转运、综合利用和无害化处理，建立完善的</w:t>
                  </w:r>
                  <w:r>
                    <w:rPr>
                      <w:rFonts w:hint="eastAsia" w:ascii="Times New Roman" w:hAnsi="Times New Roman" w:cs="Times New Roman"/>
                      <w:color w:val="auto"/>
                      <w:sz w:val="21"/>
                      <w:szCs w:val="21"/>
                      <w:u w:val="none" w:color="auto"/>
                      <w:lang w:eastAsia="zh-CN"/>
                    </w:rPr>
                    <w:t>制度</w:t>
                  </w:r>
                  <w:r>
                    <w:rPr>
                      <w:rFonts w:ascii="Times New Roman" w:hAnsi="Times New Roman" w:cs="Times New Roman"/>
                      <w:color w:val="auto"/>
                      <w:sz w:val="21"/>
                      <w:szCs w:val="21"/>
                      <w:u w:val="none" w:color="auto"/>
                      <w:lang w:eastAsia="zh-CN"/>
                    </w:rPr>
                    <w:t>管理体系。对危险</w:t>
                  </w:r>
                  <w:r>
                    <w:rPr>
                      <w:rFonts w:hint="eastAsia" w:ascii="Times New Roman" w:hAnsi="Times New Roman" w:cs="Times New Roman"/>
                      <w:color w:val="auto"/>
                      <w:sz w:val="21"/>
                      <w:szCs w:val="21"/>
                      <w:u w:val="none" w:color="auto"/>
                      <w:lang w:eastAsia="zh-CN"/>
                    </w:rPr>
                    <w:t>废物</w:t>
                  </w:r>
                  <w:r>
                    <w:rPr>
                      <w:rFonts w:ascii="Times New Roman" w:hAnsi="Times New Roman" w:cs="Times New Roman"/>
                      <w:color w:val="auto"/>
                      <w:sz w:val="21"/>
                      <w:szCs w:val="21"/>
                      <w:u w:val="none" w:color="auto"/>
                      <w:lang w:eastAsia="zh-CN"/>
                    </w:rPr>
                    <w:t>应严格按照国家有关规定综合利用或妥善处置，对危险废物产生企业和经营单位，应强化日常环境监管。园区须严格落实排污许可制度和污染物排放总量控制，推动重点污染企业完成清洁生产审核以减少污染物的排放量。限期要求园区内企业完善环评、竣工环保验收、突发环境事件应急预案等环保手续，按规划建设污染防治设施充分发挥环保管家作用全方位提升园区和企业环境管理水</w:t>
                  </w:r>
                  <w:r>
                    <w:rPr>
                      <w:rFonts w:hint="eastAsia" w:ascii="Times New Roman" w:hAnsi="Times New Roman" w:cs="Times New Roman"/>
                      <w:color w:val="auto"/>
                      <w:sz w:val="21"/>
                      <w:szCs w:val="21"/>
                      <w:u w:val="none" w:color="auto"/>
                      <w:lang w:eastAsia="zh-CN"/>
                    </w:rPr>
                    <w:t>平</w:t>
                  </w:r>
                  <w:r>
                    <w:rPr>
                      <w:rFonts w:ascii="Times New Roman" w:hAnsi="Times New Roman" w:cs="Times New Roman"/>
                      <w:color w:val="auto"/>
                      <w:sz w:val="21"/>
                      <w:szCs w:val="21"/>
                      <w:u w:val="none" w:color="auto"/>
                      <w:lang w:eastAsia="zh-CN"/>
                    </w:rPr>
                    <w:t>。</w:t>
                  </w:r>
                </w:p>
              </w:tc>
              <w:tc>
                <w:tcPr>
                  <w:tcW w:w="1516" w:type="pct"/>
                  <w:tcBorders>
                    <w:tl2br w:val="nil"/>
                    <w:tr2bl w:val="nil"/>
                  </w:tcBorders>
                  <w:shd w:val="clear" w:color="auto" w:fill="auto"/>
                  <w:noWrap w:val="0"/>
                  <w:vAlign w:val="center"/>
                </w:tcPr>
                <w:p w14:paraId="527D0727">
                  <w:pPr>
                    <w:pStyle w:val="98"/>
                    <w:widowControl/>
                    <w:kinsoku w:val="0"/>
                    <w:autoSpaceDE w:val="0"/>
                    <w:autoSpaceDN w:val="0"/>
                    <w:ind w:left="0" w:leftChars="0" w:firstLine="0" w:firstLineChars="0"/>
                    <w:jc w:val="center"/>
                    <w:textAlignment w:val="baseline"/>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本项目涂布烘干有机废气经“管道收集+冷凝回收装置+</w:t>
                  </w:r>
                  <w:r>
                    <w:rPr>
                      <w:rFonts w:hint="eastAsia" w:ascii="Times New Roman" w:hAnsi="Times New Roman" w:eastAsia="宋体" w:cs="Times New Roman"/>
                      <w:color w:val="auto"/>
                      <w:sz w:val="21"/>
                      <w:szCs w:val="21"/>
                      <w:u w:val="none" w:color="auto"/>
                      <w:lang w:val="en-US" w:eastAsia="zh-CN"/>
                    </w:rPr>
                    <w:t>2</w:t>
                  </w:r>
                  <w:r>
                    <w:rPr>
                      <w:rFonts w:hint="eastAsia" w:ascii="Times New Roman" w:hAnsi="Times New Roman" w:cs="Times New Roman"/>
                      <w:color w:val="auto"/>
                      <w:sz w:val="21"/>
                      <w:szCs w:val="21"/>
                      <w:u w:val="none" w:color="auto"/>
                      <w:lang w:val="en-US" w:eastAsia="zh-CN"/>
                    </w:rPr>
                    <w:t>5</w:t>
                  </w:r>
                  <w:r>
                    <w:rPr>
                      <w:rFonts w:hint="eastAsia" w:ascii="Times New Roman" w:hAnsi="Times New Roman" w:eastAsia="宋体" w:cs="Times New Roman"/>
                      <w:color w:val="auto"/>
                      <w:sz w:val="21"/>
                      <w:szCs w:val="21"/>
                      <w:u w:val="none" w:color="auto"/>
                      <w:lang w:eastAsia="zh-CN"/>
                    </w:rPr>
                    <w:t>m排气筒”高空排放。</w:t>
                  </w:r>
                  <w:r>
                    <w:rPr>
                      <w:rFonts w:hint="eastAsia" w:ascii="Times New Roman" w:hAnsi="Times New Roman" w:cs="Times New Roman"/>
                      <w:color w:val="auto"/>
                      <w:sz w:val="21"/>
                      <w:szCs w:val="21"/>
                      <w:u w:val="none" w:color="auto"/>
                      <w:lang w:eastAsia="zh-CN"/>
                    </w:rPr>
                    <w:t>少量</w:t>
                  </w:r>
                  <w:r>
                    <w:rPr>
                      <w:rFonts w:hint="eastAsia" w:ascii="Times New Roman" w:hAnsi="Times New Roman" w:eastAsia="宋体" w:cs="Times New Roman"/>
                      <w:color w:val="auto"/>
                      <w:sz w:val="21"/>
                      <w:szCs w:val="21"/>
                      <w:u w:val="none" w:color="auto"/>
                      <w:lang w:eastAsia="zh-CN"/>
                    </w:rPr>
                    <w:t>生产废水经沉淀池处理达到《电池工业污染物排放标准》（GB30484-2013）表2中排放标准后，进入新田县污水处理厂深度处理；一般工业固废经分类收集后于一般固废暂存间暂存，定期外售或交厂家回收；危险固废经分类收集后于危废暂存间暂存，定期交由有资质的单位处理处置，不乱堆放；生活垃圾经分类收集后，统一交由当地环卫部门清运。</w:t>
                  </w:r>
                </w:p>
              </w:tc>
              <w:tc>
                <w:tcPr>
                  <w:tcW w:w="611" w:type="pct"/>
                  <w:tcBorders>
                    <w:tl2br w:val="nil"/>
                    <w:tr2bl w:val="nil"/>
                  </w:tcBorders>
                  <w:shd w:val="clear" w:color="auto" w:fill="auto"/>
                  <w:noWrap w:val="0"/>
                  <w:vAlign w:val="center"/>
                </w:tcPr>
                <w:p w14:paraId="6AECFE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符合</w:t>
                  </w:r>
                </w:p>
              </w:tc>
            </w:tr>
            <w:tr w14:paraId="13A8CC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871" w:type="pct"/>
                  <w:tcBorders>
                    <w:tl2br w:val="nil"/>
                    <w:tr2bl w:val="nil"/>
                  </w:tcBorders>
                  <w:shd w:val="clear" w:color="auto" w:fill="auto"/>
                  <w:noWrap w:val="0"/>
                  <w:vAlign w:val="center"/>
                </w:tcPr>
                <w:p w14:paraId="370AD3F9">
                  <w:pPr>
                    <w:pStyle w:val="98"/>
                    <w:widowControl/>
                    <w:tabs>
                      <w:tab w:val="left" w:pos="3732"/>
                    </w:tabs>
                    <w:kinsoku w:val="0"/>
                    <w:autoSpaceDE w:val="0"/>
                    <w:autoSpaceDN w:val="0"/>
                    <w:jc w:val="center"/>
                    <w:textAlignment w:val="baseline"/>
                    <w:rPr>
                      <w:rFonts w:ascii="Times New Roman" w:hAnsi="Times New Roman" w:cs="Times New Roman"/>
                      <w:color w:val="auto"/>
                      <w:sz w:val="21"/>
                      <w:szCs w:val="21"/>
                      <w:u w:val="none" w:color="auto"/>
                      <w:lang w:eastAsia="zh-CN"/>
                    </w:rPr>
                  </w:pPr>
                  <w:r>
                    <w:rPr>
                      <w:rFonts w:ascii="Times New Roman" w:hAnsi="Times New Roman" w:cs="Times New Roman"/>
                      <w:color w:val="auto"/>
                      <w:sz w:val="21"/>
                      <w:szCs w:val="21"/>
                      <w:u w:val="none" w:color="auto"/>
                      <w:lang w:eastAsia="zh-CN"/>
                    </w:rPr>
                    <w:t>4、加强对环境敏感点的保护。严格做好控规，杜绝在规划的工业用地上新增环境敏感目标，确保园区开发过程中的居民搬迁</w:t>
                  </w:r>
                  <w:r>
                    <w:rPr>
                      <w:rFonts w:hint="eastAsia" w:ascii="Times New Roman" w:hAnsi="Times New Roman" w:cs="Times New Roman"/>
                      <w:color w:val="auto"/>
                      <w:sz w:val="21"/>
                      <w:szCs w:val="21"/>
                      <w:u w:val="none" w:color="auto"/>
                      <w:lang w:eastAsia="zh-CN"/>
                    </w:rPr>
                    <w:t>安置</w:t>
                  </w:r>
                  <w:r>
                    <w:rPr>
                      <w:rFonts w:ascii="Times New Roman" w:hAnsi="Times New Roman" w:cs="Times New Roman"/>
                      <w:color w:val="auto"/>
                      <w:sz w:val="21"/>
                      <w:szCs w:val="21"/>
                      <w:u w:val="none" w:color="auto"/>
                      <w:lang w:eastAsia="zh-CN"/>
                    </w:rPr>
                    <w:t>到位，防止发生居民再次</w:t>
                  </w:r>
                  <w:r>
                    <w:rPr>
                      <w:rFonts w:hint="eastAsia" w:ascii="Times New Roman" w:hAnsi="Times New Roman" w:cs="Times New Roman"/>
                      <w:color w:val="auto"/>
                      <w:sz w:val="21"/>
                      <w:szCs w:val="21"/>
                      <w:u w:val="none" w:color="auto"/>
                      <w:lang w:eastAsia="zh-CN"/>
                    </w:rPr>
                    <w:t>安置</w:t>
                  </w:r>
                  <w:r>
                    <w:rPr>
                      <w:rFonts w:ascii="Times New Roman" w:hAnsi="Times New Roman" w:cs="Times New Roman"/>
                      <w:color w:val="auto"/>
                      <w:sz w:val="21"/>
                      <w:szCs w:val="21"/>
                      <w:u w:val="none" w:color="auto"/>
                      <w:lang w:eastAsia="zh-CN"/>
                    </w:rPr>
                    <w:t>和次生环境问题，对于具体项目环评设置防护距离和搬迁要求的，要确保予以落实。</w:t>
                  </w:r>
                </w:p>
              </w:tc>
              <w:tc>
                <w:tcPr>
                  <w:tcW w:w="1516" w:type="pct"/>
                  <w:tcBorders>
                    <w:tl2br w:val="nil"/>
                    <w:tr2bl w:val="nil"/>
                  </w:tcBorders>
                  <w:shd w:val="clear" w:color="auto" w:fill="auto"/>
                  <w:noWrap w:val="0"/>
                  <w:vAlign w:val="center"/>
                </w:tcPr>
                <w:p w14:paraId="0ECE661C">
                  <w:pPr>
                    <w:pStyle w:val="98"/>
                    <w:widowControl/>
                    <w:kinsoku w:val="0"/>
                    <w:autoSpaceDE w:val="0"/>
                    <w:autoSpaceDN w:val="0"/>
                    <w:ind w:left="0" w:leftChars="0" w:firstLine="0" w:firstLineChars="0"/>
                    <w:jc w:val="center"/>
                    <w:textAlignment w:val="baseline"/>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本项目位于湖南省永州市新田县工业集中区</w:t>
                  </w:r>
                  <w:r>
                    <w:rPr>
                      <w:rFonts w:hint="default" w:ascii="Times New Roman" w:hAnsi="Times New Roman" w:eastAsia="宋体" w:cs="Times New Roman"/>
                      <w:color w:val="auto"/>
                      <w:sz w:val="21"/>
                      <w:szCs w:val="21"/>
                      <w:u w:val="none" w:color="auto"/>
                      <w:lang w:val="en-US" w:eastAsia="zh-CN"/>
                    </w:rPr>
                    <w:t>南园新能源科技产业园内</w:t>
                  </w:r>
                  <w:r>
                    <w:rPr>
                      <w:rFonts w:hint="eastAsia" w:ascii="Times New Roman" w:hAnsi="Times New Roman" w:eastAsia="宋体" w:cs="Times New Roman"/>
                      <w:color w:val="auto"/>
                      <w:sz w:val="21"/>
                      <w:szCs w:val="21"/>
                      <w:u w:val="none" w:color="auto"/>
                      <w:lang w:val="en-US" w:eastAsia="zh-CN"/>
                    </w:rPr>
                    <w:t>17号栋</w:t>
                  </w:r>
                  <w:r>
                    <w:rPr>
                      <w:rFonts w:hint="default" w:ascii="Times New Roman" w:hAnsi="Times New Roman" w:eastAsia="宋体" w:cs="Times New Roman"/>
                      <w:color w:val="auto"/>
                      <w:sz w:val="21"/>
                      <w:szCs w:val="21"/>
                      <w:u w:val="none" w:color="auto"/>
                      <w:lang w:val="en-US" w:eastAsia="zh-CN"/>
                    </w:rPr>
                    <w:t>标准厂房</w:t>
                  </w:r>
                  <w:r>
                    <w:rPr>
                      <w:rFonts w:hint="eastAsia" w:ascii="Times New Roman" w:hAnsi="Times New Roman" w:eastAsia="宋体" w:cs="Times New Roman"/>
                      <w:color w:val="auto"/>
                      <w:sz w:val="21"/>
                      <w:szCs w:val="21"/>
                      <w:u w:val="none" w:color="auto"/>
                      <w:lang w:eastAsia="zh-CN"/>
                    </w:rPr>
                    <w:t>，且本项目利用厂区已有厂房进行改造建设。</w:t>
                  </w:r>
                </w:p>
              </w:tc>
              <w:tc>
                <w:tcPr>
                  <w:tcW w:w="611" w:type="pct"/>
                  <w:tcBorders>
                    <w:tl2br w:val="nil"/>
                    <w:tr2bl w:val="nil"/>
                  </w:tcBorders>
                  <w:shd w:val="clear" w:color="auto" w:fill="auto"/>
                  <w:noWrap w:val="0"/>
                  <w:vAlign w:val="center"/>
                </w:tcPr>
                <w:p w14:paraId="1EB69D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符合</w:t>
                  </w:r>
                </w:p>
              </w:tc>
            </w:tr>
            <w:tr w14:paraId="5765B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871" w:type="pct"/>
                  <w:tcBorders>
                    <w:tl2br w:val="nil"/>
                    <w:tr2bl w:val="nil"/>
                  </w:tcBorders>
                  <w:shd w:val="clear" w:color="auto" w:fill="auto"/>
                  <w:noWrap w:val="0"/>
                  <w:vAlign w:val="center"/>
                </w:tcPr>
                <w:p w14:paraId="3D2C1C5A">
                  <w:pPr>
                    <w:pStyle w:val="98"/>
                    <w:widowControl/>
                    <w:tabs>
                      <w:tab w:val="left" w:pos="3732"/>
                    </w:tabs>
                    <w:kinsoku w:val="0"/>
                    <w:autoSpaceDE w:val="0"/>
                    <w:autoSpaceDN w:val="0"/>
                    <w:jc w:val="center"/>
                    <w:textAlignment w:val="baseline"/>
                    <w:rPr>
                      <w:rFonts w:hint="eastAsia" w:ascii="Times New Roman" w:hAnsi="Times New Roman" w:cs="Times New Roman"/>
                      <w:color w:val="auto"/>
                      <w:sz w:val="21"/>
                      <w:szCs w:val="21"/>
                      <w:u w:val="none" w:color="auto"/>
                      <w:lang w:eastAsia="zh-CN"/>
                    </w:rPr>
                  </w:pPr>
                  <w:r>
                    <w:rPr>
                      <w:rFonts w:hint="eastAsia" w:ascii="Times New Roman" w:hAnsi="Times New Roman" w:cs="Times New Roman"/>
                      <w:color w:val="auto"/>
                      <w:sz w:val="21"/>
                      <w:szCs w:val="21"/>
                      <w:u w:val="none" w:color="auto"/>
                      <w:lang w:eastAsia="zh-CN"/>
                    </w:rPr>
                    <w:t>5、做好园区后续开发过程中生态环境保护。尽可能保留自然水体，施工期对土石方开挖、堆存及回填要实施围挡、护坡等措施，裸露地及时恢复植被，防止后续开发建设中的扬尘污染和水土流失。</w:t>
                  </w:r>
                </w:p>
              </w:tc>
              <w:tc>
                <w:tcPr>
                  <w:tcW w:w="1516" w:type="pct"/>
                  <w:tcBorders>
                    <w:tl2br w:val="nil"/>
                    <w:tr2bl w:val="nil"/>
                  </w:tcBorders>
                  <w:shd w:val="clear" w:color="auto" w:fill="auto"/>
                  <w:noWrap w:val="0"/>
                  <w:vAlign w:val="center"/>
                </w:tcPr>
                <w:p w14:paraId="772CBBAE">
                  <w:pPr>
                    <w:pStyle w:val="98"/>
                    <w:widowControl/>
                    <w:kinsoku w:val="0"/>
                    <w:autoSpaceDE w:val="0"/>
                    <w:autoSpaceDN w:val="0"/>
                    <w:ind w:left="0" w:leftChars="0" w:firstLine="0" w:firstLineChars="0"/>
                    <w:jc w:val="center"/>
                    <w:textAlignment w:val="baseline"/>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本项目</w:t>
                  </w:r>
                  <w:r>
                    <w:rPr>
                      <w:rFonts w:hint="eastAsia" w:ascii="Times New Roman" w:hAnsi="Times New Roman" w:cs="Times New Roman"/>
                      <w:color w:val="auto"/>
                      <w:sz w:val="21"/>
                      <w:szCs w:val="21"/>
                      <w:u w:val="none" w:color="auto"/>
                      <w:lang w:eastAsia="zh-CN"/>
                    </w:rPr>
                    <w:t>已建设完成</w:t>
                  </w:r>
                  <w:r>
                    <w:rPr>
                      <w:rFonts w:hint="eastAsia" w:ascii="Times New Roman" w:hAnsi="Times New Roman" w:eastAsia="宋体" w:cs="Times New Roman"/>
                      <w:color w:val="auto"/>
                      <w:sz w:val="21"/>
                      <w:szCs w:val="21"/>
                      <w:u w:val="none" w:color="auto"/>
                      <w:lang w:eastAsia="zh-CN"/>
                    </w:rPr>
                    <w:t>。</w:t>
                  </w:r>
                </w:p>
              </w:tc>
              <w:tc>
                <w:tcPr>
                  <w:tcW w:w="611" w:type="pct"/>
                  <w:tcBorders>
                    <w:tl2br w:val="nil"/>
                    <w:tr2bl w:val="nil"/>
                  </w:tcBorders>
                  <w:shd w:val="clear" w:color="auto" w:fill="auto"/>
                  <w:noWrap w:val="0"/>
                  <w:vAlign w:val="center"/>
                </w:tcPr>
                <w:p w14:paraId="4B0EF9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p>
              </w:tc>
            </w:tr>
          </w:tbl>
          <w:p w14:paraId="61CDB0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96" w:firstLineChars="200"/>
              <w:jc w:val="both"/>
              <w:textAlignment w:val="auto"/>
              <w:rPr>
                <w:rFonts w:hint="default" w:ascii="Times New Roman" w:hAnsi="Times New Roman" w:cs="Times New Roman" w:eastAsiaTheme="minorEastAsia"/>
                <w:color w:val="auto"/>
                <w:sz w:val="24"/>
                <w:szCs w:val="24"/>
                <w:highlight w:val="none"/>
                <w:u w:val="none" w:color="auto"/>
                <w:lang w:val="en-US" w:eastAsia="zh-CN"/>
              </w:rPr>
            </w:pPr>
            <w:r>
              <w:rPr>
                <w:color w:val="auto"/>
                <w:spacing w:val="4"/>
                <w:sz w:val="24"/>
                <w:szCs w:val="32"/>
                <w:u w:val="none" w:color="auto"/>
              </w:rPr>
              <w:t>本项目属于</w:t>
            </w:r>
            <w:r>
              <w:rPr>
                <w:rFonts w:hint="eastAsia"/>
                <w:color w:val="auto"/>
                <w:spacing w:val="4"/>
                <w:sz w:val="24"/>
                <w:szCs w:val="32"/>
                <w:u w:val="none" w:color="auto"/>
                <w:lang w:eastAsia="zh-CN"/>
              </w:rPr>
              <w:t>锂离子电池</w:t>
            </w:r>
            <w:r>
              <w:rPr>
                <w:rFonts w:hint="eastAsia"/>
                <w:color w:val="auto"/>
                <w:spacing w:val="4"/>
                <w:sz w:val="24"/>
                <w:szCs w:val="32"/>
                <w:u w:val="none" w:color="auto"/>
              </w:rPr>
              <w:t>制造</w:t>
            </w:r>
            <w:r>
              <w:rPr>
                <w:color w:val="auto"/>
                <w:spacing w:val="4"/>
                <w:sz w:val="24"/>
                <w:szCs w:val="32"/>
                <w:u w:val="none" w:color="auto"/>
              </w:rPr>
              <w:t>，符合</w:t>
            </w:r>
            <w:r>
              <w:rPr>
                <w:color w:val="auto"/>
                <w:spacing w:val="-1"/>
                <w:sz w:val="24"/>
                <w:szCs w:val="32"/>
                <w:u w:val="none" w:color="auto"/>
              </w:rPr>
              <w:t>新田工业集中区</w:t>
            </w:r>
            <w:r>
              <w:rPr>
                <w:color w:val="auto"/>
                <w:spacing w:val="4"/>
                <w:sz w:val="24"/>
                <w:szCs w:val="32"/>
                <w:u w:val="none" w:color="auto"/>
              </w:rPr>
              <w:t>产业定</w:t>
            </w:r>
            <w:r>
              <w:rPr>
                <w:color w:val="auto"/>
                <w:spacing w:val="-1"/>
                <w:sz w:val="24"/>
                <w:szCs w:val="32"/>
                <w:u w:val="none" w:color="auto"/>
              </w:rPr>
              <w:t>位，同时与《新田工业集中区规划环境影响跟踪评价报告书</w:t>
            </w:r>
            <w:r>
              <w:rPr>
                <w:color w:val="auto"/>
                <w:spacing w:val="-2"/>
                <w:sz w:val="24"/>
                <w:szCs w:val="32"/>
                <w:u w:val="none" w:color="auto"/>
              </w:rPr>
              <w:t>》及其审查意见相符。</w:t>
            </w:r>
          </w:p>
          <w:p w14:paraId="76EEF5C1">
            <w:pPr>
              <w:bidi w:val="0"/>
              <w:rPr>
                <w:rFonts w:hint="eastAsia" w:eastAsia="宋体"/>
                <w:color w:val="auto"/>
                <w:u w:val="none" w:color="auto"/>
                <w:lang w:eastAsia="zh-CN"/>
              </w:rPr>
            </w:pPr>
          </w:p>
        </w:tc>
      </w:tr>
      <w:tr w14:paraId="3D7910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38" w:hRule="atLeast"/>
          <w:jc w:val="center"/>
        </w:trPr>
        <w:tc>
          <w:tcPr>
            <w:tcW w:w="562" w:type="dxa"/>
            <w:noWrap w:val="0"/>
            <w:vAlign w:val="center"/>
          </w:tcPr>
          <w:p w14:paraId="187DDEB5">
            <w:pPr>
              <w:pStyle w:val="11"/>
              <w:rPr>
                <w:color w:val="auto"/>
                <w:u w:val="none" w:color="auto"/>
              </w:rPr>
            </w:pPr>
            <w:r>
              <w:rPr>
                <w:color w:val="auto"/>
                <w:u w:val="none" w:color="auto"/>
              </w:rPr>
              <w:t>其他符合性分析</w:t>
            </w:r>
          </w:p>
        </w:tc>
        <w:tc>
          <w:tcPr>
            <w:tcW w:w="8308" w:type="dxa"/>
            <w:gridSpan w:val="4"/>
            <w:noWrap w:val="0"/>
            <w:vAlign w:val="center"/>
          </w:tcPr>
          <w:p w14:paraId="65D157AE">
            <w:pPr>
              <w:ind w:firstLine="482"/>
              <w:rPr>
                <w:b/>
                <w:bCs/>
                <w:color w:val="auto"/>
                <w:u w:val="none" w:color="auto"/>
              </w:rPr>
            </w:pPr>
            <w:r>
              <w:rPr>
                <w:b/>
                <w:bCs/>
                <w:color w:val="auto"/>
                <w:u w:val="none" w:color="auto"/>
              </w:rPr>
              <w:t>（一）产业政策符合性分析</w:t>
            </w:r>
          </w:p>
          <w:p w14:paraId="27279E6A">
            <w:pPr>
              <w:ind w:firstLine="480"/>
              <w:rPr>
                <w:color w:val="auto"/>
                <w:u w:val="none" w:color="auto"/>
              </w:rPr>
            </w:pPr>
            <w:r>
              <w:rPr>
                <w:color w:val="auto"/>
                <w:u w:val="none" w:color="auto"/>
                <w:lang w:val="zh-CN"/>
              </w:rPr>
              <w:t>本项目为</w:t>
            </w:r>
            <w:r>
              <w:rPr>
                <w:color w:val="auto"/>
                <w:u w:val="none" w:color="auto"/>
              </w:rPr>
              <w:t>锂</w:t>
            </w:r>
            <w:r>
              <w:rPr>
                <w:rFonts w:hint="eastAsia"/>
                <w:color w:val="auto"/>
                <w:u w:val="none" w:color="auto"/>
              </w:rPr>
              <w:t>离子</w:t>
            </w:r>
            <w:r>
              <w:rPr>
                <w:color w:val="auto"/>
                <w:u w:val="none" w:color="auto"/>
              </w:rPr>
              <w:t>电池制造，</w:t>
            </w:r>
            <w:r>
              <w:rPr>
                <w:color w:val="auto"/>
                <w:u w:val="none" w:color="auto"/>
                <w:lang w:val="zh-CN"/>
              </w:rPr>
              <w:t>根据国家发展和改革委员会《产业结构调整指导目录（20</w:t>
            </w:r>
            <w:r>
              <w:rPr>
                <w:rFonts w:hint="eastAsia"/>
                <w:color w:val="auto"/>
                <w:u w:val="none" w:color="auto"/>
                <w:lang w:val="en-US" w:eastAsia="zh-CN"/>
              </w:rPr>
              <w:t>24</w:t>
            </w:r>
            <w:r>
              <w:rPr>
                <w:color w:val="auto"/>
                <w:u w:val="none" w:color="auto"/>
                <w:lang w:val="zh-CN"/>
              </w:rPr>
              <w:t>年本</w:t>
            </w:r>
            <w:r>
              <w:rPr>
                <w:color w:val="auto"/>
                <w:u w:val="none" w:color="auto"/>
              </w:rPr>
              <w:t>）</w:t>
            </w:r>
            <w:r>
              <w:rPr>
                <w:color w:val="auto"/>
                <w:u w:val="none" w:color="auto"/>
                <w:lang w:val="zh-CN"/>
              </w:rPr>
              <w:t>》，</w:t>
            </w:r>
            <w:r>
              <w:rPr>
                <w:color w:val="auto"/>
                <w:u w:val="none" w:color="auto"/>
              </w:rPr>
              <w:t>项目属于目录中“鼓励类-十九、轻工-13、锂二硫化铁、锂亚硫酰氯等新型锂原电池；锂离子电池、氢镍电池、新型结构（双极性、铅布水平、卷绕式、管式等）密封铅蓄电池、铅碳电池、超级电池、燃料电池、锂/氟化碳电池等新型电池和超级电容器”。因此，</w:t>
            </w:r>
            <w:r>
              <w:rPr>
                <w:rFonts w:hint="eastAsia"/>
                <w:color w:val="auto"/>
                <w:u w:val="none" w:color="auto"/>
                <w:lang w:val="en-US" w:eastAsia="zh-CN"/>
              </w:rPr>
              <w:t>本</w:t>
            </w:r>
            <w:r>
              <w:rPr>
                <w:color w:val="auto"/>
                <w:u w:val="none" w:color="auto"/>
              </w:rPr>
              <w:t>项目建设符合国家相关产业政策要求。</w:t>
            </w:r>
          </w:p>
          <w:p w14:paraId="461E1767">
            <w:pPr>
              <w:ind w:firstLine="482"/>
              <w:rPr>
                <w:b/>
                <w:bCs/>
                <w:color w:val="auto"/>
                <w:u w:val="none" w:color="auto"/>
              </w:rPr>
            </w:pPr>
            <w:r>
              <w:rPr>
                <w:b/>
                <w:bCs/>
                <w:color w:val="auto"/>
                <w:u w:val="none" w:color="auto"/>
              </w:rPr>
              <w:t>（</w:t>
            </w:r>
            <w:r>
              <w:rPr>
                <w:rFonts w:ascii="Times New Roman" w:hAnsi="Times New Roman" w:cs="Times New Roman"/>
                <w:b/>
                <w:bCs/>
                <w:color w:val="auto"/>
                <w:u w:val="none" w:color="auto"/>
              </w:rPr>
              <w:t>二）</w:t>
            </w:r>
            <w:r>
              <w:rPr>
                <w:rFonts w:hint="default" w:ascii="Times New Roman" w:hAnsi="Times New Roman" w:cs="Times New Roman"/>
                <w:b/>
                <w:bCs/>
                <w:color w:val="auto"/>
                <w:u w:val="none" w:color="auto"/>
                <w:lang w:val="en-US" w:eastAsia="zh-CN"/>
              </w:rPr>
              <w:t>与生态环境分区管控符合性分析</w:t>
            </w:r>
          </w:p>
          <w:p w14:paraId="6A77AAAB">
            <w:pPr>
              <w:bidi w:val="0"/>
              <w:rPr>
                <w:rFonts w:hint="default"/>
                <w:color w:val="auto"/>
                <w:u w:val="none" w:color="auto"/>
                <w:lang w:val="en-US" w:eastAsia="zh-CN"/>
              </w:rPr>
            </w:pPr>
            <w:r>
              <w:rPr>
                <w:rFonts w:hint="default"/>
                <w:color w:val="auto"/>
                <w:u w:val="none" w:color="auto"/>
                <w:lang w:val="en-US" w:eastAsia="zh-CN"/>
              </w:rPr>
              <w:t>生态环境部发布的《关于以改善环境质量为核心加强环境影响评价管理的通知》，要求切实加强环境影响评价管理</w:t>
            </w:r>
            <w:r>
              <w:rPr>
                <w:rFonts w:hint="eastAsia"/>
                <w:color w:val="auto"/>
                <w:u w:val="none" w:color="auto"/>
                <w:lang w:val="en-US" w:eastAsia="zh-CN"/>
              </w:rPr>
              <w:t>，落实“生态保护红线、环境质量底线、资源利用上线和环境准入负面清单”约束，建</w:t>
            </w:r>
            <w:r>
              <w:rPr>
                <w:rFonts w:hint="default"/>
                <w:color w:val="auto"/>
                <w:u w:val="none" w:color="auto"/>
                <w:lang w:val="en-US" w:eastAsia="zh-CN"/>
              </w:rPr>
              <w:t>立项目环评审批与规划环评、现有项目环境管理、区域环境质量联动机制，更好地发挥环评制度从源头防范环境污染和生态破坏的作用，加快推进改善环境质量。</w:t>
            </w:r>
          </w:p>
          <w:p w14:paraId="0632CD12">
            <w:pPr>
              <w:bidi w:val="0"/>
              <w:rPr>
                <w:rFonts w:hint="default"/>
                <w:color w:val="auto"/>
                <w:u w:val="none" w:color="auto"/>
                <w:lang w:val="en-US" w:eastAsia="zh-CN"/>
              </w:rPr>
            </w:pPr>
            <w:r>
              <w:rPr>
                <w:rFonts w:hint="default"/>
                <w:color w:val="auto"/>
                <w:u w:val="none" w:color="auto"/>
                <w:lang w:val="en-US" w:eastAsia="zh-CN"/>
              </w:rPr>
              <w:t>（1）生态红线</w:t>
            </w:r>
          </w:p>
          <w:p w14:paraId="0FD7B2BC">
            <w:pPr>
              <w:bidi w:val="0"/>
              <w:rPr>
                <w:rFonts w:hint="default"/>
                <w:color w:val="auto"/>
                <w:u w:val="none" w:color="auto"/>
                <w:lang w:val="en-US" w:eastAsia="zh-CN"/>
              </w:rPr>
            </w:pPr>
            <w:r>
              <w:rPr>
                <w:rFonts w:hint="default"/>
                <w:color w:val="auto"/>
                <w:u w:val="none" w:color="auto"/>
                <w:lang w:val="en-US" w:eastAsia="zh-CN"/>
              </w:rPr>
              <w:t>项目位于永州市</w:t>
            </w:r>
            <w:r>
              <w:rPr>
                <w:rFonts w:hint="eastAsia"/>
                <w:color w:val="auto"/>
                <w:u w:val="none" w:color="auto"/>
                <w:lang w:val="en-US" w:eastAsia="zh-CN"/>
              </w:rPr>
              <w:t>新田县</w:t>
            </w:r>
            <w:r>
              <w:rPr>
                <w:rFonts w:hint="default"/>
                <w:color w:val="auto"/>
                <w:u w:val="none" w:color="auto"/>
                <w:lang w:val="en-US" w:eastAsia="zh-CN"/>
              </w:rPr>
              <w:t>龙泉街道新田县工业园内（新能源新材料区</w:t>
            </w:r>
            <w:r>
              <w:rPr>
                <w:rFonts w:hint="eastAsia"/>
                <w:color w:val="auto"/>
                <w:u w:val="none" w:color="auto"/>
                <w:lang w:val="en-US" w:eastAsia="zh-CN"/>
              </w:rPr>
              <w:t>17号栋标准厂房</w:t>
            </w:r>
            <w:r>
              <w:rPr>
                <w:rFonts w:hint="default"/>
                <w:color w:val="auto"/>
                <w:u w:val="none" w:color="auto"/>
                <w:lang w:val="en-US" w:eastAsia="zh-CN"/>
              </w:rPr>
              <w:t>），根据</w:t>
            </w:r>
            <w:r>
              <w:rPr>
                <w:rFonts w:hint="eastAsia"/>
                <w:color w:val="auto"/>
                <w:u w:val="none" w:color="auto"/>
                <w:lang w:val="en-US" w:eastAsia="zh-CN"/>
              </w:rPr>
              <w:t>新田县</w:t>
            </w:r>
            <w:r>
              <w:rPr>
                <w:rFonts w:hint="default"/>
                <w:color w:val="auto"/>
                <w:u w:val="none" w:color="auto"/>
                <w:lang w:val="en-US" w:eastAsia="zh-CN"/>
              </w:rPr>
              <w:t>人民政府发布</w:t>
            </w:r>
            <w:r>
              <w:rPr>
                <w:rFonts w:hint="eastAsia"/>
                <w:color w:val="auto"/>
                <w:u w:val="none" w:color="auto"/>
                <w:lang w:val="en-US" w:eastAsia="zh-CN"/>
              </w:rPr>
              <w:t>的《</w:t>
            </w:r>
            <w:r>
              <w:rPr>
                <w:rFonts w:hint="default"/>
                <w:color w:val="auto"/>
                <w:u w:val="none" w:color="auto"/>
                <w:lang w:val="en-US" w:eastAsia="zh-CN"/>
              </w:rPr>
              <w:t>新田县国土空间总体规划</w:t>
            </w:r>
            <w:r>
              <w:rPr>
                <w:rFonts w:hint="eastAsia"/>
                <w:color w:val="auto"/>
                <w:u w:val="none" w:color="auto"/>
                <w:lang w:val="en-US" w:eastAsia="zh-CN"/>
              </w:rPr>
              <w:t>》</w:t>
            </w:r>
            <w:r>
              <w:rPr>
                <w:rFonts w:hint="default"/>
                <w:color w:val="auto"/>
                <w:u w:val="none" w:color="auto"/>
                <w:lang w:val="en-US" w:eastAsia="zh-CN"/>
              </w:rPr>
              <w:t>（2021-2035年），</w:t>
            </w:r>
            <w:r>
              <w:rPr>
                <w:rFonts w:hint="eastAsia"/>
                <w:color w:val="auto"/>
                <w:u w:val="none" w:color="auto"/>
                <w:lang w:val="en-US" w:eastAsia="zh-CN"/>
              </w:rPr>
              <w:t>本</w:t>
            </w:r>
            <w:r>
              <w:rPr>
                <w:rFonts w:hint="default"/>
                <w:color w:val="auto"/>
                <w:u w:val="none" w:color="auto"/>
                <w:lang w:val="en-US" w:eastAsia="zh-CN"/>
              </w:rPr>
              <w:t>项目不涉及生态管控区域，不在生态保护红线区域内。因此，项目符合生态保护红线划定的规定。</w:t>
            </w:r>
          </w:p>
          <w:p w14:paraId="7AD7970B">
            <w:pPr>
              <w:bidi w:val="0"/>
              <w:rPr>
                <w:rFonts w:hint="default"/>
                <w:color w:val="auto"/>
                <w:u w:val="none" w:color="auto"/>
                <w:lang w:val="en-US" w:eastAsia="zh-CN"/>
              </w:rPr>
            </w:pPr>
            <w:r>
              <w:rPr>
                <w:rFonts w:hint="default"/>
                <w:color w:val="auto"/>
                <w:u w:val="none" w:color="auto"/>
                <w:lang w:val="en-US" w:eastAsia="zh-CN"/>
              </w:rPr>
              <w:t>（2）环境质量底线</w:t>
            </w:r>
          </w:p>
          <w:p w14:paraId="0B8F5A32">
            <w:pPr>
              <w:bidi w:val="0"/>
              <w:rPr>
                <w:rFonts w:hint="default"/>
                <w:color w:val="auto"/>
                <w:u w:val="none" w:color="auto"/>
                <w:lang w:val="en-US" w:eastAsia="zh-CN"/>
              </w:rPr>
            </w:pPr>
            <w:r>
              <w:rPr>
                <w:rFonts w:hint="default"/>
                <w:color w:val="auto"/>
                <w:u w:val="none" w:color="auto"/>
                <w:lang w:val="en-US" w:eastAsia="zh-CN"/>
              </w:rPr>
              <w:t>项目选址区域为环境空气功能区二类区，执行二级标准。根据环境空气质量现状的监测数据，项目选址区域环境空气质量基本能够满足《环境空气质量标准》（GB3095-2012）二级标准要求。项目主要气型污染物为TSP、非甲烷总烃等，采取相应治理措施后可达标排放，不会对区域环境空气质量产生明显影响。</w:t>
            </w:r>
          </w:p>
          <w:p w14:paraId="551773F1">
            <w:pPr>
              <w:bidi w:val="0"/>
              <w:rPr>
                <w:rFonts w:hint="default"/>
                <w:color w:val="auto"/>
                <w:u w:val="none" w:color="auto"/>
                <w:lang w:val="en-US" w:eastAsia="zh-CN"/>
              </w:rPr>
            </w:pPr>
            <w:r>
              <w:rPr>
                <w:rFonts w:hint="default"/>
                <w:color w:val="auto"/>
                <w:u w:val="none" w:color="auto"/>
                <w:lang w:val="en-US" w:eastAsia="zh-CN"/>
              </w:rPr>
              <w:t>根据周边地表水的环境质量现状监测数据可知，项目区域地表水水质可达到相应水环境质量要求。项目生产废水不</w:t>
            </w:r>
            <w:r>
              <w:rPr>
                <w:rFonts w:hint="eastAsia"/>
                <w:color w:val="auto"/>
                <w:u w:val="none" w:color="auto"/>
                <w:lang w:val="en-US" w:eastAsia="zh-CN"/>
              </w:rPr>
              <w:t>直接</w:t>
            </w:r>
            <w:r>
              <w:rPr>
                <w:rFonts w:hint="default"/>
                <w:color w:val="auto"/>
                <w:u w:val="none" w:color="auto"/>
                <w:lang w:val="en-US" w:eastAsia="zh-CN"/>
              </w:rPr>
              <w:t>排</w:t>
            </w:r>
            <w:r>
              <w:rPr>
                <w:rFonts w:hint="eastAsia"/>
                <w:color w:val="auto"/>
                <w:u w:val="none" w:color="auto"/>
                <w:lang w:val="en-US" w:eastAsia="zh-CN"/>
              </w:rPr>
              <w:t>放</w:t>
            </w:r>
            <w:r>
              <w:rPr>
                <w:rFonts w:hint="default"/>
                <w:color w:val="auto"/>
                <w:u w:val="none" w:color="auto"/>
                <w:lang w:val="en-US" w:eastAsia="zh-CN"/>
              </w:rPr>
              <w:t>，对区域水环境质量影响小。</w:t>
            </w:r>
          </w:p>
          <w:p w14:paraId="121F45D6">
            <w:pPr>
              <w:bidi w:val="0"/>
              <w:rPr>
                <w:rFonts w:hint="default"/>
                <w:color w:val="auto"/>
                <w:u w:val="none" w:color="auto"/>
                <w:lang w:val="en-US" w:eastAsia="zh-CN"/>
              </w:rPr>
            </w:pPr>
            <w:r>
              <w:rPr>
                <w:rFonts w:hint="default"/>
                <w:color w:val="auto"/>
                <w:u w:val="none" w:color="auto"/>
                <w:lang w:val="en-US" w:eastAsia="zh-CN"/>
              </w:rPr>
              <w:t>项目运营产生的噪声源强不大，合理降噪处理后可达标排放，不会改变项目所在区域的声环境功能。</w:t>
            </w:r>
          </w:p>
          <w:p w14:paraId="7710AAC3">
            <w:pPr>
              <w:bidi w:val="0"/>
              <w:rPr>
                <w:rFonts w:hint="default"/>
                <w:color w:val="auto"/>
                <w:u w:val="none" w:color="auto"/>
                <w:lang w:val="en-US" w:eastAsia="zh-CN"/>
              </w:rPr>
            </w:pPr>
            <w:r>
              <w:rPr>
                <w:rFonts w:hint="default"/>
                <w:color w:val="auto"/>
                <w:u w:val="none" w:color="auto"/>
                <w:lang w:val="en-US" w:eastAsia="zh-CN"/>
              </w:rPr>
              <w:t>综上，评价项目建设符合环境质量底线要求的。</w:t>
            </w:r>
          </w:p>
          <w:p w14:paraId="62D99C94">
            <w:pPr>
              <w:bidi w:val="0"/>
              <w:rPr>
                <w:rFonts w:hint="default"/>
                <w:color w:val="auto"/>
                <w:u w:val="none" w:color="auto"/>
                <w:lang w:val="en-US" w:eastAsia="zh-CN"/>
              </w:rPr>
            </w:pPr>
            <w:r>
              <w:rPr>
                <w:rFonts w:hint="default"/>
                <w:color w:val="auto"/>
                <w:u w:val="none" w:color="auto"/>
                <w:lang w:val="en-US" w:eastAsia="zh-CN"/>
              </w:rPr>
              <w:t>（3）资源利用上线</w:t>
            </w:r>
          </w:p>
          <w:p w14:paraId="778F49BB">
            <w:pPr>
              <w:bidi w:val="0"/>
              <w:rPr>
                <w:rFonts w:hint="default"/>
                <w:color w:val="auto"/>
                <w:u w:val="none" w:color="auto"/>
                <w:lang w:val="en-US" w:eastAsia="zh-CN"/>
              </w:rPr>
            </w:pPr>
            <w:r>
              <w:rPr>
                <w:rFonts w:hint="default"/>
                <w:color w:val="auto"/>
                <w:u w:val="none" w:color="auto"/>
                <w:lang w:val="en-US" w:eastAsia="zh-CN"/>
              </w:rPr>
              <w:t>项目使用资源主要为水、电等，本项目施工期生活、</w:t>
            </w:r>
            <w:r>
              <w:rPr>
                <w:rFonts w:hint="eastAsia"/>
                <w:color w:val="auto"/>
                <w:u w:val="none" w:color="auto"/>
                <w:lang w:val="en-US" w:eastAsia="zh-CN"/>
              </w:rPr>
              <w:t>施工用水取自市政自来水管网，用水量较当地供水量所占比例较小；项目施工期用电量不会超过区域用电负荷。</w:t>
            </w:r>
            <w:r>
              <w:rPr>
                <w:rFonts w:hint="default"/>
                <w:color w:val="auto"/>
                <w:u w:val="none" w:color="auto"/>
                <w:lang w:val="en-US" w:eastAsia="zh-CN"/>
              </w:rPr>
              <w:t>项目通过内部管理、设备选择、原辅材料的选用和管理、废物回收利用、污染治理等多方面采取可行的防治措施，</w:t>
            </w:r>
            <w:r>
              <w:rPr>
                <w:rFonts w:hint="eastAsia"/>
                <w:color w:val="auto"/>
                <w:u w:val="none" w:color="auto"/>
                <w:lang w:val="en-US" w:eastAsia="zh-CN"/>
              </w:rPr>
              <w:t>以“节能、降耗、减污”为目标，有</w:t>
            </w:r>
            <w:r>
              <w:rPr>
                <w:rFonts w:hint="default"/>
                <w:color w:val="auto"/>
                <w:u w:val="none" w:color="auto"/>
                <w:lang w:val="en-US" w:eastAsia="zh-CN"/>
              </w:rPr>
              <w:t>效地控制污染，项目的水、电等资源不会突破区域的资源利用上线。同时，根据核对《新田县国土</w:t>
            </w:r>
            <w:r>
              <w:rPr>
                <w:rFonts w:hint="eastAsia"/>
                <w:color w:val="auto"/>
                <w:u w:val="none" w:color="auto"/>
                <w:lang w:val="en-US" w:eastAsia="zh-CN"/>
              </w:rPr>
              <w:t>空间总体</w:t>
            </w:r>
            <w:r>
              <w:rPr>
                <w:rFonts w:hint="default"/>
                <w:color w:val="auto"/>
                <w:u w:val="none" w:color="auto"/>
                <w:lang w:val="en-US" w:eastAsia="zh-CN"/>
              </w:rPr>
              <w:t>规划（2021-2035）》中县域国土空间用地现状图，本项目</w:t>
            </w:r>
            <w:r>
              <w:rPr>
                <w:rFonts w:hint="eastAsia"/>
                <w:color w:val="auto"/>
                <w:u w:val="none" w:color="auto"/>
                <w:lang w:val="en-US" w:eastAsia="zh-CN"/>
              </w:rPr>
              <w:t>租赁的标准厂房用</w:t>
            </w:r>
            <w:r>
              <w:rPr>
                <w:rFonts w:hint="default"/>
                <w:color w:val="auto"/>
                <w:u w:val="none" w:color="auto"/>
                <w:lang w:val="en-US" w:eastAsia="zh-CN"/>
              </w:rPr>
              <w:t>地</w:t>
            </w:r>
            <w:r>
              <w:rPr>
                <w:rFonts w:hint="eastAsia"/>
                <w:color w:val="auto"/>
                <w:u w:val="none" w:color="auto"/>
                <w:lang w:val="en-US" w:eastAsia="zh-CN"/>
              </w:rPr>
              <w:t>属于工业用地</w:t>
            </w:r>
            <w:r>
              <w:rPr>
                <w:rFonts w:hint="default"/>
                <w:color w:val="auto"/>
                <w:u w:val="none" w:color="auto"/>
                <w:lang w:val="en-US" w:eastAsia="zh-CN"/>
              </w:rPr>
              <w:t>，不占用基本农田，占地亦不会达到资源利用上线。</w:t>
            </w:r>
          </w:p>
          <w:p w14:paraId="249412B4">
            <w:pPr>
              <w:bidi w:val="0"/>
              <w:rPr>
                <w:rFonts w:hint="default"/>
                <w:color w:val="auto"/>
                <w:u w:val="none" w:color="auto"/>
                <w:lang w:val="en-US" w:eastAsia="zh-CN"/>
              </w:rPr>
            </w:pPr>
            <w:r>
              <w:rPr>
                <w:rFonts w:hint="default"/>
                <w:color w:val="auto"/>
                <w:u w:val="none" w:color="auto"/>
                <w:lang w:val="en-US" w:eastAsia="zh-CN"/>
              </w:rPr>
              <w:t>因此，项目资源利用满足要求。</w:t>
            </w:r>
          </w:p>
          <w:p w14:paraId="3BEFFD7B">
            <w:pPr>
              <w:bidi w:val="0"/>
              <w:spacing w:line="360" w:lineRule="auto"/>
              <w:rPr>
                <w:rFonts w:hint="default"/>
                <w:color w:val="auto"/>
                <w:u w:val="none" w:color="auto"/>
                <w:lang w:val="en-US" w:eastAsia="zh-CN"/>
              </w:rPr>
            </w:pPr>
            <w:r>
              <w:rPr>
                <w:rFonts w:hint="default"/>
                <w:color w:val="auto"/>
                <w:u w:val="none" w:color="auto"/>
                <w:lang w:val="en-US" w:eastAsia="zh-CN"/>
              </w:rPr>
              <w:t>（4）</w:t>
            </w:r>
            <w:r>
              <w:rPr>
                <w:rFonts w:hint="eastAsia"/>
                <w:color w:val="auto"/>
                <w:u w:val="none" w:color="auto"/>
                <w:lang w:val="en-US" w:eastAsia="zh-CN"/>
              </w:rPr>
              <w:t>生态环境准入清单</w:t>
            </w:r>
          </w:p>
          <w:p w14:paraId="1F7BA04D">
            <w:pPr>
              <w:bidi w:val="0"/>
              <w:spacing w:line="360" w:lineRule="auto"/>
              <w:rPr>
                <w:rFonts w:hint="default"/>
                <w:color w:val="auto"/>
                <w:u w:val="none" w:color="auto"/>
                <w:lang w:val="en-US" w:eastAsia="zh-CN"/>
              </w:rPr>
            </w:pPr>
            <w:r>
              <w:rPr>
                <w:rFonts w:hint="default"/>
                <w:color w:val="auto"/>
                <w:u w:val="none" w:color="auto"/>
                <w:lang w:val="en-US" w:eastAsia="zh-CN"/>
              </w:rPr>
              <w:t>生态环境准入清单是基于生态保护红线、环境质量底线和资源利用上线，以清单方式列出的禁止、限制等差别化环境准入条件和要求。</w:t>
            </w:r>
          </w:p>
          <w:p w14:paraId="2455C6EC">
            <w:pPr>
              <w:bidi w:val="0"/>
              <w:spacing w:line="360" w:lineRule="auto"/>
              <w:rPr>
                <w:rFonts w:hint="default"/>
                <w:color w:val="auto"/>
                <w:u w:val="none" w:color="auto"/>
              </w:rPr>
            </w:pPr>
            <w:r>
              <w:rPr>
                <w:rFonts w:hint="eastAsia"/>
                <w:color w:val="auto"/>
                <w:u w:val="none" w:color="auto"/>
                <w:lang w:val="en-US" w:eastAsia="zh-CN"/>
              </w:rPr>
              <w:t>本</w:t>
            </w:r>
            <w:r>
              <w:rPr>
                <w:rFonts w:hint="default"/>
                <w:color w:val="auto"/>
                <w:u w:val="none" w:color="auto"/>
                <w:lang w:val="en-US" w:eastAsia="zh-CN"/>
              </w:rPr>
              <w:t>项目位于永州市新田县龙泉街道新田县工业园（南园新能源科技产业园内</w:t>
            </w:r>
            <w:r>
              <w:rPr>
                <w:rFonts w:hint="eastAsia"/>
                <w:color w:val="auto"/>
                <w:u w:val="none" w:color="auto"/>
                <w:lang w:val="en-US" w:eastAsia="zh-CN"/>
              </w:rPr>
              <w:t>17号栋标准厂房</w:t>
            </w:r>
            <w:r>
              <w:rPr>
                <w:rFonts w:hint="default"/>
                <w:color w:val="auto"/>
                <w:u w:val="none" w:color="auto"/>
                <w:lang w:val="en-US" w:eastAsia="zh-CN"/>
              </w:rPr>
              <w:t>），根据</w:t>
            </w:r>
            <w:r>
              <w:rPr>
                <w:rFonts w:hint="eastAsia"/>
                <w:color w:val="auto"/>
                <w:u w:val="none" w:color="auto"/>
                <w:lang w:val="en-US" w:eastAsia="zh-CN"/>
              </w:rPr>
              <w:t>湖南省生态环境厅关于发布</w:t>
            </w:r>
            <w:r>
              <w:rPr>
                <w:rFonts w:hint="default"/>
                <w:color w:val="auto"/>
                <w:u w:val="none" w:color="auto"/>
                <w:lang w:val="en-US" w:eastAsia="zh-CN"/>
              </w:rPr>
              <w:t>《</w:t>
            </w:r>
            <w:r>
              <w:rPr>
                <w:rFonts w:hint="eastAsia"/>
                <w:color w:val="auto"/>
                <w:u w:val="none" w:color="auto"/>
                <w:lang w:val="en-US" w:eastAsia="zh-CN"/>
              </w:rPr>
              <w:t>湖南省生态环境分区管控总体管控要求暨省级以上产业园区生态环境准入清单</w:t>
            </w:r>
            <w:r>
              <w:rPr>
                <w:rFonts w:hint="default"/>
                <w:color w:val="auto"/>
                <w:u w:val="none" w:color="auto"/>
                <w:lang w:val="en-US" w:eastAsia="zh-CN"/>
              </w:rPr>
              <w:t>》</w:t>
            </w:r>
            <w:r>
              <w:rPr>
                <w:rFonts w:hint="eastAsia"/>
                <w:color w:val="auto"/>
                <w:u w:val="none" w:color="auto"/>
                <w:lang w:val="en-US" w:eastAsia="zh-CN"/>
              </w:rPr>
              <w:t>的函（湘环函[2024]26号）</w:t>
            </w:r>
            <w:r>
              <w:rPr>
                <w:rFonts w:hint="default"/>
                <w:color w:val="auto"/>
                <w:u w:val="none" w:color="auto"/>
                <w:lang w:val="en-US" w:eastAsia="zh-CN"/>
              </w:rPr>
              <w:t>，新田县产业开发区的环境管控单元编码为：ZH43112820004，新田县产业开发区的管控单元分类为</w:t>
            </w:r>
            <w:r>
              <w:rPr>
                <w:rFonts w:hint="eastAsia"/>
                <w:color w:val="auto"/>
                <w:u w:val="none" w:color="auto"/>
                <w:lang w:val="en-US" w:eastAsia="zh-CN"/>
              </w:rPr>
              <w:t>重点</w:t>
            </w:r>
            <w:r>
              <w:rPr>
                <w:rFonts w:hint="default"/>
                <w:color w:val="auto"/>
                <w:u w:val="none" w:color="auto"/>
                <w:lang w:val="en-US" w:eastAsia="zh-CN"/>
              </w:rPr>
              <w:t>管控单元。本项目与其相符性分析详见下表：</w:t>
            </w:r>
          </w:p>
          <w:p w14:paraId="7A8AFB9B">
            <w:pPr>
              <w:pStyle w:val="11"/>
              <w:ind w:firstLine="482"/>
              <w:rPr>
                <w:rFonts w:hint="default" w:ascii="Times New Roman" w:hAnsi="Times New Roman" w:cs="Times New Roman"/>
                <w:b/>
                <w:bCs/>
                <w:color w:val="auto"/>
                <w:sz w:val="21"/>
                <w:szCs w:val="21"/>
                <w:u w:val="none" w:color="auto"/>
                <w:lang w:val="en-US" w:eastAsia="zh-CN"/>
              </w:rPr>
            </w:pPr>
            <w:r>
              <w:rPr>
                <w:rFonts w:hint="default" w:ascii="Times New Roman" w:hAnsi="Times New Roman" w:cs="Times New Roman"/>
                <w:b/>
                <w:bCs/>
                <w:color w:val="auto"/>
                <w:sz w:val="21"/>
                <w:szCs w:val="21"/>
                <w:u w:val="none" w:color="auto"/>
                <w:lang w:val="en-US" w:eastAsia="zh-CN"/>
              </w:rPr>
              <w:t>表1</w:t>
            </w:r>
            <w:r>
              <w:rPr>
                <w:rFonts w:hint="eastAsia" w:ascii="Times New Roman" w:hAnsi="Times New Roman" w:cs="Times New Roman"/>
                <w:b/>
                <w:bCs/>
                <w:color w:val="auto"/>
                <w:sz w:val="21"/>
                <w:szCs w:val="21"/>
                <w:u w:val="none" w:color="auto"/>
                <w:lang w:val="en-US" w:eastAsia="zh-CN"/>
              </w:rPr>
              <w:t>-</w:t>
            </w:r>
            <w:r>
              <w:rPr>
                <w:rFonts w:hint="eastAsia" w:cs="Times New Roman"/>
                <w:b/>
                <w:bCs/>
                <w:color w:val="auto"/>
                <w:sz w:val="21"/>
                <w:szCs w:val="21"/>
                <w:u w:val="none" w:color="auto"/>
                <w:lang w:val="en-US" w:eastAsia="zh-CN"/>
              </w:rPr>
              <w:t>2</w:t>
            </w:r>
            <w:r>
              <w:rPr>
                <w:rFonts w:hint="default" w:ascii="Times New Roman" w:hAnsi="Times New Roman" w:cs="Times New Roman"/>
                <w:b/>
                <w:bCs/>
                <w:color w:val="auto"/>
                <w:sz w:val="21"/>
                <w:szCs w:val="21"/>
                <w:u w:val="none" w:color="auto"/>
                <w:lang w:val="en-US" w:eastAsia="zh-CN"/>
              </w:rPr>
              <w:t xml:space="preserve">  项目与环境管控单元管控要求相符性分析一览表</w:t>
            </w:r>
          </w:p>
          <w:tbl>
            <w:tblPr>
              <w:tblStyle w:val="95"/>
              <w:tblW w:w="4983" w:type="pct"/>
              <w:tblInd w:w="6" w:type="dxa"/>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0" w:type="dxa"/>
                <w:bottom w:w="0" w:type="dxa"/>
                <w:right w:w="0" w:type="dxa"/>
              </w:tblCellMar>
            </w:tblPr>
            <w:tblGrid>
              <w:gridCol w:w="754"/>
              <w:gridCol w:w="612"/>
              <w:gridCol w:w="288"/>
              <w:gridCol w:w="317"/>
              <w:gridCol w:w="361"/>
              <w:gridCol w:w="587"/>
              <w:gridCol w:w="723"/>
              <w:gridCol w:w="643"/>
              <w:gridCol w:w="795"/>
              <w:gridCol w:w="1454"/>
              <w:gridCol w:w="976"/>
              <w:gridCol w:w="541"/>
            </w:tblGrid>
            <w:tr w14:paraId="313159AF">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54" w:type="dxa"/>
                  <w:tcBorders>
                    <w:tl2br w:val="nil"/>
                    <w:tr2bl w:val="nil"/>
                  </w:tcBorders>
                  <w:vAlign w:val="center"/>
                </w:tcPr>
                <w:p w14:paraId="73B16ECA">
                  <w:pPr>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cs="Times New Roman"/>
                      <w:b/>
                      <w:bCs/>
                      <w:color w:val="auto"/>
                      <w:sz w:val="21"/>
                      <w:szCs w:val="21"/>
                      <w:u w:val="none" w:color="auto"/>
                    </w:rPr>
                    <w:t>环境管控单元编码</w:t>
                  </w:r>
                </w:p>
              </w:tc>
              <w:tc>
                <w:tcPr>
                  <w:tcW w:w="612" w:type="dxa"/>
                  <w:tcBorders>
                    <w:tl2br w:val="nil"/>
                    <w:tr2bl w:val="nil"/>
                  </w:tcBorders>
                  <w:vAlign w:val="center"/>
                </w:tcPr>
                <w:p w14:paraId="6CFAFD79">
                  <w:pPr>
                    <w:spacing w:line="240" w:lineRule="auto"/>
                    <w:ind w:firstLine="0" w:firstLineChars="0"/>
                    <w:jc w:val="center"/>
                    <w:rPr>
                      <w:rFonts w:hint="eastAsia" w:ascii="Times New Roman" w:hAnsi="Times New Roman" w:eastAsia="宋体" w:cs="Times New Roman"/>
                      <w:b/>
                      <w:bCs/>
                      <w:color w:val="auto"/>
                      <w:sz w:val="21"/>
                      <w:szCs w:val="21"/>
                      <w:u w:val="none" w:color="auto"/>
                      <w:lang w:eastAsia="zh-CN"/>
                    </w:rPr>
                  </w:pPr>
                  <w:r>
                    <w:rPr>
                      <w:rFonts w:hint="eastAsia" w:ascii="Times New Roman" w:hAnsi="Times New Roman" w:cs="Times New Roman"/>
                      <w:b/>
                      <w:bCs/>
                      <w:color w:val="auto"/>
                      <w:sz w:val="21"/>
                      <w:szCs w:val="21"/>
                      <w:u w:val="none" w:color="auto"/>
                      <w:lang w:eastAsia="zh-CN"/>
                    </w:rPr>
                    <w:t>单元名称</w:t>
                  </w:r>
                </w:p>
              </w:tc>
              <w:tc>
                <w:tcPr>
                  <w:tcW w:w="966" w:type="dxa"/>
                  <w:gridSpan w:val="3"/>
                  <w:tcBorders>
                    <w:tl2br w:val="nil"/>
                    <w:tr2bl w:val="nil"/>
                  </w:tcBorders>
                  <w:vAlign w:val="center"/>
                </w:tcPr>
                <w:p w14:paraId="58872F0D">
                  <w:pPr>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cs="Times New Roman"/>
                      <w:b/>
                      <w:bCs/>
                      <w:color w:val="auto"/>
                      <w:sz w:val="21"/>
                      <w:szCs w:val="21"/>
                      <w:u w:val="none" w:color="auto"/>
                    </w:rPr>
                    <w:t>行政区划</w:t>
                  </w:r>
                </w:p>
              </w:tc>
              <w:tc>
                <w:tcPr>
                  <w:tcW w:w="587" w:type="dxa"/>
                  <w:tcBorders>
                    <w:tl2br w:val="nil"/>
                    <w:tr2bl w:val="nil"/>
                  </w:tcBorders>
                  <w:vAlign w:val="center"/>
                </w:tcPr>
                <w:p w14:paraId="621BB67C">
                  <w:pPr>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cs="Times New Roman"/>
                      <w:b/>
                      <w:bCs/>
                      <w:color w:val="auto"/>
                      <w:sz w:val="21"/>
                      <w:szCs w:val="21"/>
                      <w:u w:val="none" w:color="auto"/>
                    </w:rPr>
                    <w:t>单元分类</w:t>
                  </w:r>
                </w:p>
              </w:tc>
              <w:tc>
                <w:tcPr>
                  <w:tcW w:w="723" w:type="dxa"/>
                  <w:tcBorders>
                    <w:tl2br w:val="nil"/>
                    <w:tr2bl w:val="nil"/>
                  </w:tcBorders>
                  <w:vAlign w:val="center"/>
                </w:tcPr>
                <w:p w14:paraId="34140C44">
                  <w:pPr>
                    <w:spacing w:line="240" w:lineRule="auto"/>
                    <w:ind w:firstLine="0" w:firstLineChars="0"/>
                    <w:jc w:val="center"/>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单元面积</w:t>
                  </w:r>
                </w:p>
                <w:p w14:paraId="152AC8E7">
                  <w:pPr>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cs="Times New Roman"/>
                      <w:b/>
                      <w:bCs/>
                      <w:color w:val="auto"/>
                      <w:sz w:val="21"/>
                      <w:szCs w:val="21"/>
                      <w:u w:val="none" w:color="auto"/>
                    </w:rPr>
                    <w:t>(km</w:t>
                  </w:r>
                  <w:r>
                    <w:rPr>
                      <w:rFonts w:hint="default" w:ascii="Times New Roman" w:hAnsi="Times New Roman" w:cs="Times New Roman"/>
                      <w:b/>
                      <w:bCs/>
                      <w:color w:val="auto"/>
                      <w:sz w:val="21"/>
                      <w:szCs w:val="21"/>
                      <w:u w:val="none" w:color="auto"/>
                      <w:vertAlign w:val="superscript"/>
                    </w:rPr>
                    <w:t>2</w:t>
                  </w:r>
                  <w:r>
                    <w:rPr>
                      <w:rFonts w:hint="default" w:ascii="Times New Roman" w:hAnsi="Times New Roman" w:cs="Times New Roman"/>
                      <w:b/>
                      <w:bCs/>
                      <w:color w:val="auto"/>
                      <w:sz w:val="21"/>
                      <w:szCs w:val="21"/>
                      <w:u w:val="none" w:color="auto"/>
                    </w:rPr>
                    <w:t>)</w:t>
                  </w:r>
                </w:p>
              </w:tc>
              <w:tc>
                <w:tcPr>
                  <w:tcW w:w="643" w:type="dxa"/>
                  <w:tcBorders>
                    <w:tl2br w:val="nil"/>
                    <w:tr2bl w:val="nil"/>
                  </w:tcBorders>
                  <w:vAlign w:val="center"/>
                </w:tcPr>
                <w:p w14:paraId="68070E3B">
                  <w:pPr>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cs="Times New Roman"/>
                      <w:b/>
                      <w:bCs/>
                      <w:color w:val="auto"/>
                      <w:sz w:val="21"/>
                      <w:szCs w:val="21"/>
                      <w:u w:val="none" w:color="auto"/>
                    </w:rPr>
                    <w:t>涉及乡镇（街道）</w:t>
                  </w:r>
                </w:p>
              </w:tc>
              <w:tc>
                <w:tcPr>
                  <w:tcW w:w="795" w:type="dxa"/>
                  <w:tcBorders>
                    <w:tl2br w:val="nil"/>
                    <w:tr2bl w:val="nil"/>
                  </w:tcBorders>
                  <w:vAlign w:val="center"/>
                </w:tcPr>
                <w:p w14:paraId="4344AC85">
                  <w:pPr>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cs="Times New Roman"/>
                      <w:b/>
                      <w:bCs/>
                      <w:color w:val="auto"/>
                      <w:sz w:val="21"/>
                      <w:szCs w:val="21"/>
                      <w:u w:val="none" w:color="auto"/>
                    </w:rPr>
                    <w:t>区域主体功能定位</w:t>
                  </w:r>
                </w:p>
              </w:tc>
              <w:tc>
                <w:tcPr>
                  <w:tcW w:w="1454" w:type="dxa"/>
                  <w:tcBorders>
                    <w:tl2br w:val="nil"/>
                    <w:tr2bl w:val="nil"/>
                  </w:tcBorders>
                  <w:vAlign w:val="center"/>
                </w:tcPr>
                <w:p w14:paraId="24695BAC">
                  <w:pPr>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cs="Times New Roman"/>
                      <w:b/>
                      <w:bCs/>
                      <w:color w:val="auto"/>
                      <w:sz w:val="21"/>
                      <w:szCs w:val="21"/>
                      <w:u w:val="none" w:color="auto"/>
                    </w:rPr>
                    <w:t>主导产业</w:t>
                  </w:r>
                </w:p>
              </w:tc>
              <w:tc>
                <w:tcPr>
                  <w:tcW w:w="1517" w:type="dxa"/>
                  <w:gridSpan w:val="2"/>
                  <w:tcBorders>
                    <w:tl2br w:val="nil"/>
                    <w:tr2bl w:val="nil"/>
                  </w:tcBorders>
                  <w:vAlign w:val="center"/>
                </w:tcPr>
                <w:p w14:paraId="60189653">
                  <w:pPr>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cs="Times New Roman"/>
                      <w:b/>
                      <w:bCs/>
                      <w:color w:val="auto"/>
                      <w:sz w:val="21"/>
                      <w:szCs w:val="21"/>
                      <w:u w:val="none" w:color="auto"/>
                    </w:rPr>
                    <w:t>主要环境问题和重要敏感目标</w:t>
                  </w:r>
                </w:p>
              </w:tc>
            </w:tr>
            <w:tr w14:paraId="24510CFF">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54" w:type="dxa"/>
                  <w:tcBorders>
                    <w:tl2br w:val="nil"/>
                    <w:tr2bl w:val="nil"/>
                  </w:tcBorders>
                  <w:vAlign w:val="center"/>
                </w:tcPr>
                <w:p w14:paraId="2099CA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 xml:space="preserve">ZH4311 </w:t>
                  </w:r>
                </w:p>
                <w:p w14:paraId="121AEC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2820004</w:t>
                  </w:r>
                </w:p>
                <w:p w14:paraId="2042DE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p>
              </w:tc>
              <w:tc>
                <w:tcPr>
                  <w:tcW w:w="612" w:type="dxa"/>
                  <w:tcBorders>
                    <w:tl2br w:val="nil"/>
                    <w:tr2bl w:val="nil"/>
                  </w:tcBorders>
                  <w:vAlign w:val="center"/>
                </w:tcPr>
                <w:p w14:paraId="580C63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新田产业开发</w:t>
                  </w:r>
                </w:p>
                <w:p w14:paraId="61F34F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区</w:t>
                  </w:r>
                </w:p>
                <w:p w14:paraId="0EC889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p>
              </w:tc>
              <w:tc>
                <w:tcPr>
                  <w:tcW w:w="288" w:type="dxa"/>
                  <w:tcBorders>
                    <w:tl2br w:val="nil"/>
                    <w:tr2bl w:val="nil"/>
                  </w:tcBorders>
                  <w:vAlign w:val="center"/>
                </w:tcPr>
                <w:p w14:paraId="22B9D5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eastAsia" w:ascii="Times New Roman" w:hAnsi="Times New Roman" w:eastAsia="宋体" w:cs="Times New Roman"/>
                      <w:color w:val="auto"/>
                      <w:kern w:val="0"/>
                      <w:sz w:val="21"/>
                      <w:szCs w:val="21"/>
                      <w:highlight w:val="none"/>
                      <w:u w:val="none" w:color="auto"/>
                      <w:lang w:val="en-US" w:eastAsia="zh-CN"/>
                    </w:rPr>
                    <w:t>湖南省</w:t>
                  </w:r>
                </w:p>
              </w:tc>
              <w:tc>
                <w:tcPr>
                  <w:tcW w:w="317" w:type="dxa"/>
                  <w:tcBorders>
                    <w:tl2br w:val="nil"/>
                    <w:tr2bl w:val="nil"/>
                  </w:tcBorders>
                  <w:vAlign w:val="center"/>
                </w:tcPr>
                <w:p w14:paraId="727449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eastAsia" w:ascii="Times New Roman" w:hAnsi="Times New Roman" w:eastAsia="宋体" w:cs="Times New Roman"/>
                      <w:color w:val="auto"/>
                      <w:kern w:val="0"/>
                      <w:sz w:val="21"/>
                      <w:szCs w:val="21"/>
                      <w:highlight w:val="none"/>
                      <w:u w:val="none" w:color="auto"/>
                      <w:lang w:val="en-US" w:eastAsia="zh-CN"/>
                    </w:rPr>
                    <w:t>永州市</w:t>
                  </w:r>
                </w:p>
              </w:tc>
              <w:tc>
                <w:tcPr>
                  <w:tcW w:w="361" w:type="dxa"/>
                  <w:tcBorders>
                    <w:tl2br w:val="nil"/>
                    <w:tr2bl w:val="nil"/>
                  </w:tcBorders>
                  <w:vAlign w:val="center"/>
                </w:tcPr>
                <w:p w14:paraId="478173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eastAsia" w:ascii="Times New Roman" w:hAnsi="Times New Roman" w:eastAsia="宋体" w:cs="Times New Roman"/>
                      <w:color w:val="auto"/>
                      <w:kern w:val="0"/>
                      <w:sz w:val="21"/>
                      <w:szCs w:val="21"/>
                      <w:highlight w:val="none"/>
                      <w:u w:val="none" w:color="auto"/>
                      <w:lang w:val="en-US" w:eastAsia="zh-CN"/>
                    </w:rPr>
                    <w:t>新田县</w:t>
                  </w:r>
                </w:p>
              </w:tc>
              <w:tc>
                <w:tcPr>
                  <w:tcW w:w="587" w:type="dxa"/>
                  <w:tcBorders>
                    <w:tl2br w:val="nil"/>
                    <w:tr2bl w:val="nil"/>
                  </w:tcBorders>
                  <w:vAlign w:val="center"/>
                </w:tcPr>
                <w:p w14:paraId="6845F9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 xml:space="preserve">重点管控 </w:t>
                  </w:r>
                </w:p>
                <w:p w14:paraId="76CED7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单元</w:t>
                  </w:r>
                </w:p>
              </w:tc>
              <w:tc>
                <w:tcPr>
                  <w:tcW w:w="723" w:type="dxa"/>
                  <w:tcBorders>
                    <w:tl2br w:val="nil"/>
                    <w:tr2bl w:val="nil"/>
                  </w:tcBorders>
                  <w:vAlign w:val="center"/>
                </w:tcPr>
                <w:p w14:paraId="62B6FF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核准范围*：4.2364。</w:t>
                  </w:r>
                </w:p>
                <w:p w14:paraId="684955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p>
              </w:tc>
              <w:tc>
                <w:tcPr>
                  <w:tcW w:w="643" w:type="dxa"/>
                  <w:tcBorders>
                    <w:tl2br w:val="nil"/>
                    <w:tr2bl w:val="nil"/>
                  </w:tcBorders>
                  <w:vAlign w:val="center"/>
                </w:tcPr>
                <w:p w14:paraId="1A5943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核准范围*：（一区一园）区块一涉及龙泉镇</w:t>
                  </w:r>
                </w:p>
                <w:p w14:paraId="3ED88C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p>
              </w:tc>
              <w:tc>
                <w:tcPr>
                  <w:tcW w:w="795" w:type="dxa"/>
                  <w:tcBorders>
                    <w:tl2br w:val="nil"/>
                    <w:tr2bl w:val="nil"/>
                  </w:tcBorders>
                  <w:vAlign w:val="center"/>
                </w:tcPr>
                <w:p w14:paraId="624C6A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 xml:space="preserve">龙泉镇： </w:t>
                  </w:r>
                </w:p>
                <w:p w14:paraId="3DE18A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城市化地区。</w:t>
                  </w:r>
                </w:p>
                <w:p w14:paraId="5DABE1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p>
              </w:tc>
              <w:tc>
                <w:tcPr>
                  <w:tcW w:w="1454" w:type="dxa"/>
                  <w:tcBorders>
                    <w:tl2br w:val="nil"/>
                    <w:tr2bl w:val="nil"/>
                  </w:tcBorders>
                  <w:vAlign w:val="center"/>
                </w:tcPr>
                <w:p w14:paraId="444237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b/>
                      <w:bCs/>
                      <w:color w:val="auto"/>
                      <w:kern w:val="0"/>
                      <w:sz w:val="21"/>
                      <w:szCs w:val="21"/>
                      <w:highlight w:val="none"/>
                      <w:u w:val="none" w:color="auto"/>
                      <w:lang w:val="en-US" w:eastAsia="zh-CN"/>
                    </w:rPr>
                    <w:t>湘环评〔2008〕180号</w:t>
                  </w:r>
                  <w:r>
                    <w:rPr>
                      <w:rFonts w:hint="default" w:ascii="Times New Roman" w:hAnsi="Times New Roman" w:eastAsia="宋体" w:cs="Times New Roman"/>
                      <w:color w:val="auto"/>
                      <w:kern w:val="0"/>
                      <w:sz w:val="21"/>
                      <w:szCs w:val="21"/>
                      <w:highlight w:val="none"/>
                      <w:u w:val="none" w:color="auto"/>
                      <w:lang w:val="en-US" w:eastAsia="zh-CN"/>
                    </w:rPr>
                    <w:t xml:space="preserve">：农产品加工、纺织品来料加工、高科技工业；  </w:t>
                  </w:r>
                </w:p>
                <w:p w14:paraId="2D36F2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b/>
                      <w:bCs/>
                      <w:color w:val="auto"/>
                      <w:kern w:val="0"/>
                      <w:sz w:val="21"/>
                      <w:szCs w:val="21"/>
                      <w:highlight w:val="none"/>
                      <w:u w:val="none" w:color="auto"/>
                      <w:lang w:val="en-US" w:eastAsia="zh-CN"/>
                    </w:rPr>
                    <w:t>六部委公告2018年第4号</w:t>
                  </w:r>
                  <w:r>
                    <w:rPr>
                      <w:rFonts w:hint="default" w:ascii="Times New Roman" w:hAnsi="Times New Roman" w:eastAsia="宋体" w:cs="Times New Roman"/>
                      <w:color w:val="auto"/>
                      <w:kern w:val="0"/>
                      <w:sz w:val="21"/>
                      <w:szCs w:val="21"/>
                      <w:highlight w:val="none"/>
                      <w:u w:val="none" w:color="auto"/>
                      <w:lang w:val="en-US" w:eastAsia="zh-CN"/>
                    </w:rPr>
                    <w:t xml:space="preserve">：家具、机械、富硒农产品加工； </w:t>
                  </w:r>
                </w:p>
                <w:p w14:paraId="319539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b/>
                      <w:bCs/>
                      <w:color w:val="auto"/>
                      <w:kern w:val="0"/>
                      <w:sz w:val="21"/>
                      <w:szCs w:val="21"/>
                      <w:highlight w:val="none"/>
                      <w:u w:val="none" w:color="auto"/>
                      <w:lang w:val="en-US" w:eastAsia="zh-CN"/>
                    </w:rPr>
                    <w:t>湘发改地区〔2021〕394号</w:t>
                  </w:r>
                  <w:r>
                    <w:rPr>
                      <w:rFonts w:hint="default" w:ascii="Times New Roman" w:hAnsi="Times New Roman" w:eastAsia="宋体" w:cs="Times New Roman"/>
                      <w:color w:val="auto"/>
                      <w:kern w:val="0"/>
                      <w:sz w:val="21"/>
                      <w:szCs w:val="21"/>
                      <w:highlight w:val="none"/>
                      <w:u w:val="none" w:color="auto"/>
                      <w:lang w:val="en-US" w:eastAsia="zh-CN"/>
                    </w:rPr>
                    <w:t>：主导产业：农产品加工（智能家私、富硒农产品）；特色产业</w:t>
                  </w:r>
                  <w:r>
                    <w:rPr>
                      <w:rFonts w:hint="eastAsia" w:ascii="Times New Roman" w:hAnsi="Times New Roman" w:eastAsia="宋体" w:cs="Times New Roman"/>
                      <w:color w:val="auto"/>
                      <w:kern w:val="0"/>
                      <w:sz w:val="21"/>
                      <w:szCs w:val="21"/>
                      <w:highlight w:val="none"/>
                      <w:u w:val="none" w:color="auto"/>
                      <w:lang w:val="en-US" w:eastAsia="zh-CN"/>
                    </w:rPr>
                    <w:t>；</w:t>
                  </w:r>
                  <w:r>
                    <w:rPr>
                      <w:rFonts w:hint="default" w:ascii="Times New Roman" w:hAnsi="Times New Roman" w:eastAsia="宋体" w:cs="Times New Roman"/>
                      <w:color w:val="auto"/>
                      <w:kern w:val="0"/>
                      <w:sz w:val="21"/>
                      <w:szCs w:val="21"/>
                      <w:highlight w:val="none"/>
                      <w:u w:val="none" w:color="auto"/>
                      <w:lang w:val="en-US" w:eastAsia="zh-CN"/>
                    </w:rPr>
                    <w:t>智能装备制造。</w:t>
                  </w:r>
                </w:p>
              </w:tc>
              <w:tc>
                <w:tcPr>
                  <w:tcW w:w="1517" w:type="dxa"/>
                  <w:gridSpan w:val="2"/>
                  <w:tcBorders>
                    <w:tl2br w:val="nil"/>
                    <w:tr2bl w:val="nil"/>
                  </w:tcBorders>
                  <w:vAlign w:val="center"/>
                </w:tcPr>
                <w:p w14:paraId="1762F4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1. 开发区北部（新嘉公路以北区域）位于新田县建成区，居住小区密布；开发区南部（新嘉公路以南区域）不同产业交替分布，且居住区与工业区混杂；</w:t>
                  </w:r>
                </w:p>
                <w:p w14:paraId="2BDDE3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2. 园区配套污水处理厂尚未完成建设，现依托的新田县污水处理厂负荷已近饱和。</w:t>
                  </w:r>
                </w:p>
              </w:tc>
            </w:tr>
            <w:tr w14:paraId="376C8A4F">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66" w:type="dxa"/>
                  <w:gridSpan w:val="2"/>
                  <w:tcBorders>
                    <w:tl2br w:val="nil"/>
                    <w:tr2bl w:val="nil"/>
                  </w:tcBorders>
                  <w:shd w:val="clear" w:color="auto" w:fill="auto"/>
                  <w:vAlign w:val="center"/>
                </w:tcPr>
                <w:p w14:paraId="5B7D94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rPr>
                    <w:t>管控维度</w:t>
                  </w:r>
                </w:p>
              </w:tc>
              <w:tc>
                <w:tcPr>
                  <w:tcW w:w="3714" w:type="dxa"/>
                  <w:gridSpan w:val="7"/>
                  <w:tcBorders>
                    <w:tl2br w:val="nil"/>
                    <w:tr2bl w:val="nil"/>
                  </w:tcBorders>
                  <w:shd w:val="clear" w:color="auto" w:fill="auto"/>
                  <w:vAlign w:val="center"/>
                </w:tcPr>
                <w:p w14:paraId="2FBC4E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rPr>
                    <w:t>管控要求</w:t>
                  </w:r>
                </w:p>
              </w:tc>
              <w:tc>
                <w:tcPr>
                  <w:tcW w:w="2430" w:type="dxa"/>
                  <w:gridSpan w:val="2"/>
                  <w:tcBorders>
                    <w:tl2br w:val="nil"/>
                    <w:tr2bl w:val="nil"/>
                  </w:tcBorders>
                  <w:shd w:val="clear" w:color="auto" w:fill="auto"/>
                  <w:vAlign w:val="center"/>
                </w:tcPr>
                <w:p w14:paraId="02054C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eastAsia" w:ascii="Times New Roman" w:hAnsi="Times New Roman" w:eastAsia="宋体" w:cs="Times New Roman"/>
                      <w:color w:val="auto"/>
                      <w:kern w:val="0"/>
                      <w:sz w:val="21"/>
                      <w:szCs w:val="21"/>
                      <w:highlight w:val="none"/>
                      <w:u w:val="none" w:color="auto"/>
                      <w:lang w:val="en-US" w:eastAsia="zh-CN"/>
                    </w:rPr>
                    <w:t>本项目情况</w:t>
                  </w:r>
                </w:p>
              </w:tc>
              <w:tc>
                <w:tcPr>
                  <w:tcW w:w="541" w:type="dxa"/>
                  <w:tcBorders>
                    <w:tl2br w:val="nil"/>
                    <w:tr2bl w:val="nil"/>
                  </w:tcBorders>
                  <w:shd w:val="clear" w:color="auto" w:fill="auto"/>
                  <w:vAlign w:val="center"/>
                </w:tcPr>
                <w:p w14:paraId="4D36BB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rPr>
                    <w:t>符合性</w:t>
                  </w:r>
                </w:p>
              </w:tc>
            </w:tr>
            <w:tr w14:paraId="46EEBF51">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66" w:type="dxa"/>
                  <w:gridSpan w:val="2"/>
                  <w:tcBorders>
                    <w:tl2br w:val="nil"/>
                    <w:tr2bl w:val="nil"/>
                  </w:tcBorders>
                  <w:vAlign w:val="center"/>
                </w:tcPr>
                <w:p w14:paraId="367B9D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空间布局约束</w:t>
                  </w:r>
                </w:p>
              </w:tc>
              <w:tc>
                <w:tcPr>
                  <w:tcW w:w="3714" w:type="dxa"/>
                  <w:gridSpan w:val="7"/>
                  <w:tcBorders>
                    <w:tl2br w:val="nil"/>
                    <w:tr2bl w:val="nil"/>
                  </w:tcBorders>
                  <w:vAlign w:val="center"/>
                </w:tcPr>
                <w:p w14:paraId="6597AE6B">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bidi="ar-SA"/>
                    </w:rPr>
                    <w:t>（1.1）</w:t>
                  </w:r>
                  <w:r>
                    <w:rPr>
                      <w:rFonts w:hint="default" w:ascii="Times New Roman" w:hAnsi="Times New Roman" w:eastAsia="宋体" w:cs="Times New Roman"/>
                      <w:color w:val="auto"/>
                      <w:kern w:val="0"/>
                      <w:sz w:val="21"/>
                      <w:szCs w:val="21"/>
                      <w:highlight w:val="none"/>
                      <w:u w:val="none" w:color="auto"/>
                      <w:lang w:val="en-US" w:eastAsia="zh-CN"/>
                    </w:rPr>
                    <w:t>开发区引入项目应符合国家生态功能区产业准入负面清单的有关规定。</w:t>
                  </w:r>
                  <w:r>
                    <w:rPr>
                      <w:rFonts w:hint="eastAsia" w:ascii="Times New Roman" w:hAnsi="Times New Roman" w:eastAsia="宋体" w:cs="Times New Roman"/>
                      <w:color w:val="auto"/>
                      <w:kern w:val="0"/>
                      <w:sz w:val="21"/>
                      <w:szCs w:val="21"/>
                      <w:highlight w:val="none"/>
                      <w:u w:val="none" w:color="auto"/>
                      <w:lang w:val="en-US" w:eastAsia="zh-CN"/>
                    </w:rPr>
                    <w:t>（</w:t>
                  </w:r>
                  <w:r>
                    <w:rPr>
                      <w:rFonts w:hint="default" w:ascii="Times New Roman" w:hAnsi="Times New Roman" w:eastAsia="宋体" w:cs="Times New Roman"/>
                      <w:color w:val="auto"/>
                      <w:kern w:val="0"/>
                      <w:sz w:val="21"/>
                      <w:szCs w:val="21"/>
                      <w:highlight w:val="none"/>
                      <w:u w:val="none" w:color="auto"/>
                      <w:lang w:val="en-US" w:eastAsia="zh-CN"/>
                    </w:rPr>
                    <w:t>1.2</w:t>
                  </w:r>
                  <w:r>
                    <w:rPr>
                      <w:rFonts w:hint="eastAsia" w:ascii="Times New Roman" w:hAnsi="Times New Roman" w:eastAsia="宋体" w:cs="Times New Roman"/>
                      <w:color w:val="auto"/>
                      <w:kern w:val="0"/>
                      <w:sz w:val="21"/>
                      <w:szCs w:val="21"/>
                      <w:highlight w:val="none"/>
                      <w:u w:val="none" w:color="auto"/>
                      <w:lang w:val="en-US" w:eastAsia="zh-CN"/>
                    </w:rPr>
                    <w:t>）</w:t>
                  </w:r>
                  <w:r>
                    <w:rPr>
                      <w:rFonts w:hint="default" w:ascii="Times New Roman" w:hAnsi="Times New Roman" w:eastAsia="宋体" w:cs="Times New Roman"/>
                      <w:color w:val="auto"/>
                      <w:kern w:val="0"/>
                      <w:sz w:val="21"/>
                      <w:szCs w:val="21"/>
                      <w:highlight w:val="none"/>
                      <w:u w:val="none" w:color="auto"/>
                      <w:lang w:val="en-US" w:eastAsia="zh-CN"/>
                    </w:rPr>
                    <w:t>开发区仅允许发展涉一、二类工业用地项目，禁止引进和建设涉三类工业用地项目</w:t>
                  </w:r>
                  <w:r>
                    <w:rPr>
                      <w:rFonts w:hint="eastAsia" w:ascii="Times New Roman" w:hAnsi="Times New Roman" w:eastAsia="宋体" w:cs="Times New Roman"/>
                      <w:color w:val="auto"/>
                      <w:kern w:val="0"/>
                      <w:sz w:val="21"/>
                      <w:szCs w:val="21"/>
                      <w:highlight w:val="none"/>
                      <w:u w:val="none" w:color="auto"/>
                      <w:lang w:val="en-US" w:eastAsia="zh-CN"/>
                    </w:rPr>
                    <w:t>；</w:t>
                  </w:r>
                  <w:r>
                    <w:rPr>
                      <w:rFonts w:hint="default" w:ascii="Times New Roman" w:hAnsi="Times New Roman" w:eastAsia="宋体" w:cs="Times New Roman"/>
                      <w:color w:val="auto"/>
                      <w:kern w:val="0"/>
                      <w:sz w:val="21"/>
                      <w:szCs w:val="21"/>
                      <w:highlight w:val="none"/>
                      <w:u w:val="none" w:color="auto"/>
                      <w:lang w:val="en-US" w:eastAsia="zh-CN"/>
                    </w:rPr>
                    <w:t>按照园区主导产业定位要求，</w:t>
                  </w:r>
                  <w:r>
                    <w:rPr>
                      <w:rFonts w:hint="eastAsia" w:ascii="Times New Roman" w:hAnsi="Times New Roman" w:eastAsia="宋体" w:cs="Times New Roman"/>
                      <w:color w:val="auto"/>
                      <w:kern w:val="0"/>
                      <w:sz w:val="21"/>
                      <w:szCs w:val="21"/>
                      <w:highlight w:val="none"/>
                      <w:u w:val="none" w:color="auto"/>
                      <w:lang w:val="en-US" w:eastAsia="zh-CN"/>
                    </w:rPr>
                    <w:t>限制</w:t>
                  </w:r>
                  <w:r>
                    <w:rPr>
                      <w:rFonts w:hint="default" w:ascii="Times New Roman" w:hAnsi="Times New Roman" w:eastAsia="宋体" w:cs="Times New Roman"/>
                      <w:color w:val="auto"/>
                      <w:kern w:val="0"/>
                      <w:sz w:val="21"/>
                      <w:szCs w:val="21"/>
                      <w:highlight w:val="none"/>
                      <w:u w:val="none" w:color="auto"/>
                      <w:lang w:val="en-US" w:eastAsia="zh-CN"/>
                    </w:rPr>
                    <w:t>农产品初加工项目进入</w:t>
                  </w:r>
                  <w:r>
                    <w:rPr>
                      <w:rFonts w:hint="eastAsia" w:ascii="Times New Roman" w:hAnsi="Times New Roman" w:eastAsia="宋体" w:cs="Times New Roman"/>
                      <w:color w:val="auto"/>
                      <w:kern w:val="0"/>
                      <w:sz w:val="21"/>
                      <w:szCs w:val="21"/>
                      <w:highlight w:val="none"/>
                      <w:u w:val="none" w:color="auto"/>
                      <w:lang w:val="en-US" w:eastAsia="zh-CN"/>
                    </w:rPr>
                    <w:t>；</w:t>
                  </w:r>
                  <w:r>
                    <w:rPr>
                      <w:rFonts w:hint="default" w:ascii="Times New Roman" w:hAnsi="Times New Roman" w:eastAsia="宋体" w:cs="Times New Roman"/>
                      <w:color w:val="auto"/>
                      <w:kern w:val="0"/>
                      <w:sz w:val="21"/>
                      <w:szCs w:val="21"/>
                      <w:highlight w:val="none"/>
                      <w:u w:val="none" w:color="auto"/>
                      <w:lang w:val="en-US" w:eastAsia="zh-CN"/>
                    </w:rPr>
                    <w:t>禁止建设印染、印刷电路板、半导体材料制造项目。</w:t>
                  </w:r>
                </w:p>
                <w:p w14:paraId="4AC92D01">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bidi="ar-SA"/>
                    </w:rPr>
                    <w:t>（1.</w:t>
                  </w:r>
                  <w:r>
                    <w:rPr>
                      <w:rFonts w:hint="eastAsia" w:ascii="Times New Roman" w:hAnsi="Times New Roman" w:eastAsia="宋体" w:cs="Times New Roman"/>
                      <w:color w:val="auto"/>
                      <w:kern w:val="0"/>
                      <w:sz w:val="21"/>
                      <w:szCs w:val="21"/>
                      <w:highlight w:val="none"/>
                      <w:u w:val="none" w:color="auto"/>
                      <w:lang w:val="en-US" w:eastAsia="zh-CN" w:bidi="ar-SA"/>
                    </w:rPr>
                    <w:t>3</w:t>
                  </w:r>
                  <w:r>
                    <w:rPr>
                      <w:rFonts w:hint="default" w:ascii="Times New Roman" w:hAnsi="Times New Roman" w:eastAsia="宋体" w:cs="Times New Roman"/>
                      <w:color w:val="auto"/>
                      <w:kern w:val="0"/>
                      <w:sz w:val="21"/>
                      <w:szCs w:val="21"/>
                      <w:highlight w:val="none"/>
                      <w:u w:val="none" w:color="auto"/>
                      <w:lang w:val="en-US" w:eastAsia="zh-CN" w:bidi="ar-SA"/>
                    </w:rPr>
                    <w:t>）</w:t>
                  </w:r>
                  <w:r>
                    <w:rPr>
                      <w:rFonts w:hint="default" w:ascii="Times New Roman" w:hAnsi="Times New Roman" w:eastAsia="宋体" w:cs="Times New Roman"/>
                      <w:color w:val="auto"/>
                      <w:kern w:val="0"/>
                      <w:sz w:val="21"/>
                      <w:szCs w:val="21"/>
                      <w:highlight w:val="none"/>
                      <w:u w:val="none" w:color="auto"/>
                      <w:lang w:val="en-US" w:eastAsia="zh-CN"/>
                    </w:rPr>
                    <w:t>严格限制大气污染物排放量较大的企业，防止对县城空气质量产生不利影响。</w:t>
                  </w:r>
                </w:p>
              </w:tc>
              <w:tc>
                <w:tcPr>
                  <w:tcW w:w="2430" w:type="dxa"/>
                  <w:gridSpan w:val="2"/>
                  <w:tcBorders>
                    <w:tl2br w:val="nil"/>
                    <w:tr2bl w:val="nil"/>
                  </w:tcBorders>
                  <w:vAlign w:val="center"/>
                </w:tcPr>
                <w:p w14:paraId="2179EB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本项目属于锂离子电池制造业，</w:t>
                  </w:r>
                  <w:r>
                    <w:rPr>
                      <w:rFonts w:hint="eastAsia" w:ascii="Times New Roman" w:hAnsi="Times New Roman" w:eastAsia="宋体" w:cs="Times New Roman"/>
                      <w:color w:val="auto"/>
                      <w:kern w:val="0"/>
                      <w:sz w:val="21"/>
                      <w:szCs w:val="21"/>
                      <w:highlight w:val="none"/>
                      <w:u w:val="none" w:color="auto"/>
                      <w:lang w:val="en-US" w:eastAsia="zh-CN"/>
                    </w:rPr>
                    <w:t>不涉及三类工业、印染、印刷电路板、半导体材料制造项目</w:t>
                  </w:r>
                  <w:r>
                    <w:rPr>
                      <w:rFonts w:hint="default" w:ascii="Times New Roman" w:hAnsi="Times New Roman" w:eastAsia="宋体" w:cs="Times New Roman"/>
                      <w:color w:val="auto"/>
                      <w:kern w:val="0"/>
                      <w:sz w:val="21"/>
                      <w:szCs w:val="21"/>
                      <w:highlight w:val="none"/>
                      <w:u w:val="none" w:color="auto"/>
                      <w:lang w:val="en-US" w:eastAsia="zh-CN"/>
                    </w:rPr>
                    <w:t>及《新田县产业准入负面清单》中所列产业</w:t>
                  </w:r>
                  <w:r>
                    <w:rPr>
                      <w:rFonts w:hint="eastAsia" w:ascii="Times New Roman" w:hAnsi="Times New Roman" w:eastAsia="宋体" w:cs="Times New Roman"/>
                      <w:color w:val="auto"/>
                      <w:kern w:val="0"/>
                      <w:sz w:val="21"/>
                      <w:szCs w:val="21"/>
                      <w:highlight w:val="none"/>
                      <w:u w:val="none" w:color="auto"/>
                      <w:lang w:val="en-US" w:eastAsia="zh-CN"/>
                    </w:rPr>
                    <w:t>；运营期废气采取有效治理措施后，排放量小，对周边环境影响小。</w:t>
                  </w:r>
                </w:p>
              </w:tc>
              <w:tc>
                <w:tcPr>
                  <w:tcW w:w="541" w:type="dxa"/>
                  <w:tcBorders>
                    <w:tl2br w:val="nil"/>
                    <w:tr2bl w:val="nil"/>
                  </w:tcBorders>
                  <w:vAlign w:val="center"/>
                </w:tcPr>
                <w:p w14:paraId="3D744A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符合</w:t>
                  </w:r>
                </w:p>
              </w:tc>
            </w:tr>
            <w:tr w14:paraId="40DECBCB">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66" w:type="dxa"/>
                  <w:gridSpan w:val="2"/>
                  <w:tcBorders>
                    <w:tl2br w:val="nil"/>
                    <w:tr2bl w:val="nil"/>
                  </w:tcBorders>
                  <w:vAlign w:val="center"/>
                </w:tcPr>
                <w:p w14:paraId="2C5FD0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污染物排放管控</w:t>
                  </w:r>
                </w:p>
              </w:tc>
              <w:tc>
                <w:tcPr>
                  <w:tcW w:w="3714" w:type="dxa"/>
                  <w:gridSpan w:val="7"/>
                  <w:tcBorders>
                    <w:tl2br w:val="nil"/>
                    <w:tr2bl w:val="nil"/>
                  </w:tcBorders>
                  <w:vAlign w:val="center"/>
                </w:tcPr>
                <w:p w14:paraId="53919A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eastAsia" w:ascii="Times New Roman" w:hAnsi="Times New Roman" w:eastAsia="宋体" w:cs="Times New Roman"/>
                      <w:color w:val="auto"/>
                      <w:kern w:val="0"/>
                      <w:sz w:val="21"/>
                      <w:szCs w:val="21"/>
                      <w:highlight w:val="none"/>
                      <w:u w:val="none" w:color="auto"/>
                      <w:lang w:val="en-US" w:eastAsia="zh-CN"/>
                    </w:rPr>
                    <w:t>（</w:t>
                  </w:r>
                  <w:r>
                    <w:rPr>
                      <w:rFonts w:hint="default" w:ascii="Times New Roman" w:hAnsi="Times New Roman" w:eastAsia="宋体" w:cs="Times New Roman"/>
                      <w:color w:val="auto"/>
                      <w:kern w:val="0"/>
                      <w:sz w:val="21"/>
                      <w:szCs w:val="21"/>
                      <w:highlight w:val="none"/>
                      <w:u w:val="none" w:color="auto"/>
                      <w:lang w:val="en-US" w:eastAsia="zh-CN"/>
                    </w:rPr>
                    <w:t>2.1</w:t>
                  </w:r>
                  <w:r>
                    <w:rPr>
                      <w:rFonts w:hint="eastAsia" w:ascii="Times New Roman" w:hAnsi="Times New Roman" w:eastAsia="宋体" w:cs="Times New Roman"/>
                      <w:color w:val="auto"/>
                      <w:kern w:val="0"/>
                      <w:sz w:val="21"/>
                      <w:szCs w:val="21"/>
                      <w:highlight w:val="none"/>
                      <w:u w:val="none" w:color="auto"/>
                      <w:lang w:val="en-US" w:eastAsia="zh-CN"/>
                    </w:rPr>
                    <w:t>）</w:t>
                  </w:r>
                  <w:r>
                    <w:rPr>
                      <w:rFonts w:hint="default" w:ascii="Times New Roman" w:hAnsi="Times New Roman" w:eastAsia="宋体" w:cs="Times New Roman"/>
                      <w:color w:val="auto"/>
                      <w:kern w:val="0"/>
                      <w:sz w:val="21"/>
                      <w:szCs w:val="21"/>
                      <w:highlight w:val="none"/>
                      <w:u w:val="none" w:color="auto"/>
                      <w:lang w:val="en-US" w:eastAsia="zh-CN"/>
                    </w:rPr>
                    <w:t>废水</w:t>
                  </w:r>
                  <w:r>
                    <w:rPr>
                      <w:rFonts w:hint="eastAsia" w:ascii="Times New Roman" w:hAnsi="Times New Roman" w:eastAsia="宋体" w:cs="Times New Roman"/>
                      <w:color w:val="auto"/>
                      <w:kern w:val="0"/>
                      <w:sz w:val="21"/>
                      <w:szCs w:val="21"/>
                      <w:highlight w:val="none"/>
                      <w:u w:val="none" w:color="auto"/>
                      <w:lang w:val="en-US" w:eastAsia="zh-CN"/>
                    </w:rPr>
                    <w:t>：</w:t>
                  </w:r>
                  <w:r>
                    <w:rPr>
                      <w:rFonts w:hint="default" w:ascii="Times New Roman" w:hAnsi="Times New Roman" w:eastAsia="宋体" w:cs="Times New Roman"/>
                      <w:color w:val="auto"/>
                      <w:kern w:val="0"/>
                      <w:sz w:val="21"/>
                      <w:szCs w:val="21"/>
                      <w:highlight w:val="none"/>
                      <w:u w:val="none" w:color="auto"/>
                      <w:lang w:val="en-US" w:eastAsia="zh-CN"/>
                    </w:rPr>
                    <w:t>开发区实行雨污分流，废污水依托新田县污水处理厂处理达标后排入新田河</w:t>
                  </w:r>
                  <w:r>
                    <w:rPr>
                      <w:rFonts w:hint="eastAsia" w:ascii="Times New Roman" w:hAnsi="Times New Roman" w:eastAsia="宋体" w:cs="Times New Roman"/>
                      <w:color w:val="auto"/>
                      <w:kern w:val="0"/>
                      <w:sz w:val="21"/>
                      <w:szCs w:val="21"/>
                      <w:highlight w:val="none"/>
                      <w:u w:val="none" w:color="auto"/>
                      <w:lang w:val="en-US" w:eastAsia="zh-CN"/>
                    </w:rPr>
                    <w:t>；</w:t>
                  </w:r>
                  <w:r>
                    <w:rPr>
                      <w:rFonts w:hint="default" w:ascii="Times New Roman" w:hAnsi="Times New Roman" w:eastAsia="宋体" w:cs="Times New Roman"/>
                      <w:color w:val="auto"/>
                      <w:kern w:val="0"/>
                      <w:sz w:val="21"/>
                      <w:szCs w:val="21"/>
                      <w:highlight w:val="none"/>
                      <w:u w:val="none" w:color="auto"/>
                      <w:lang w:val="en-US" w:eastAsia="zh-CN"/>
                    </w:rPr>
                    <w:t>雨水通过雨水管网排入新田河，初期雨水可能产生环境污染的企业应建设初期雨水池。</w:t>
                  </w:r>
                </w:p>
                <w:p w14:paraId="08FE42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eastAsia" w:ascii="Times New Roman" w:hAnsi="Times New Roman" w:eastAsia="宋体" w:cs="Times New Roman"/>
                      <w:color w:val="auto"/>
                      <w:kern w:val="0"/>
                      <w:sz w:val="21"/>
                      <w:szCs w:val="21"/>
                      <w:highlight w:val="none"/>
                      <w:u w:val="none" w:color="auto"/>
                      <w:lang w:val="en-US" w:eastAsia="zh-CN"/>
                    </w:rPr>
                    <w:t>（</w:t>
                  </w:r>
                  <w:r>
                    <w:rPr>
                      <w:rFonts w:hint="default" w:ascii="Times New Roman" w:hAnsi="Times New Roman" w:eastAsia="宋体" w:cs="Times New Roman"/>
                      <w:color w:val="auto"/>
                      <w:kern w:val="0"/>
                      <w:sz w:val="21"/>
                      <w:szCs w:val="21"/>
                      <w:highlight w:val="none"/>
                      <w:u w:val="none" w:color="auto"/>
                      <w:lang w:val="en-US" w:eastAsia="zh-CN"/>
                    </w:rPr>
                    <w:t>2.2</w:t>
                  </w:r>
                  <w:r>
                    <w:rPr>
                      <w:rFonts w:hint="eastAsia" w:ascii="Times New Roman" w:hAnsi="Times New Roman" w:eastAsia="宋体" w:cs="Times New Roman"/>
                      <w:color w:val="auto"/>
                      <w:kern w:val="0"/>
                      <w:sz w:val="21"/>
                      <w:szCs w:val="21"/>
                      <w:highlight w:val="none"/>
                      <w:u w:val="none" w:color="auto"/>
                      <w:lang w:val="en-US" w:eastAsia="zh-CN"/>
                    </w:rPr>
                    <w:t>）</w:t>
                  </w:r>
                  <w:r>
                    <w:rPr>
                      <w:rFonts w:hint="default" w:ascii="Times New Roman" w:hAnsi="Times New Roman" w:eastAsia="宋体" w:cs="Times New Roman"/>
                      <w:color w:val="auto"/>
                      <w:kern w:val="0"/>
                      <w:sz w:val="21"/>
                      <w:szCs w:val="21"/>
                      <w:highlight w:val="none"/>
                      <w:u w:val="none" w:color="auto"/>
                      <w:lang w:val="en-US" w:eastAsia="zh-CN"/>
                    </w:rPr>
                    <w:t>废气</w:t>
                  </w:r>
                  <w:r>
                    <w:rPr>
                      <w:rFonts w:hint="eastAsia" w:ascii="Times New Roman" w:hAnsi="Times New Roman" w:eastAsia="宋体" w:cs="Times New Roman"/>
                      <w:color w:val="auto"/>
                      <w:kern w:val="0"/>
                      <w:sz w:val="21"/>
                      <w:szCs w:val="21"/>
                      <w:highlight w:val="none"/>
                      <w:u w:val="none" w:color="auto"/>
                      <w:lang w:val="en-US" w:eastAsia="zh-CN"/>
                    </w:rPr>
                    <w:t>：</w:t>
                  </w:r>
                  <w:r>
                    <w:rPr>
                      <w:rFonts w:hint="default" w:ascii="Times New Roman" w:hAnsi="Times New Roman" w:eastAsia="宋体" w:cs="Times New Roman"/>
                      <w:color w:val="auto"/>
                      <w:kern w:val="0"/>
                      <w:sz w:val="21"/>
                      <w:szCs w:val="21"/>
                      <w:highlight w:val="none"/>
                      <w:u w:val="none" w:color="auto"/>
                      <w:lang w:val="en-US" w:eastAsia="zh-CN"/>
                    </w:rPr>
                    <w:t>新、改、扩建涉及VOCs排放项目，从原辅材料和工艺过程大力推广使用低</w:t>
                  </w:r>
                  <w:r>
                    <w:rPr>
                      <w:rFonts w:hint="eastAsia" w:ascii="Times New Roman" w:hAnsi="Times New Roman" w:eastAsia="宋体" w:cs="Times New Roman"/>
                      <w:color w:val="auto"/>
                      <w:kern w:val="0"/>
                      <w:sz w:val="21"/>
                      <w:szCs w:val="21"/>
                      <w:highlight w:val="none"/>
                      <w:u w:val="none" w:color="auto"/>
                      <w:lang w:val="en-US" w:eastAsia="zh-CN"/>
                    </w:rPr>
                    <w:t>（</w:t>
                  </w:r>
                  <w:r>
                    <w:rPr>
                      <w:rFonts w:hint="default" w:ascii="Times New Roman" w:hAnsi="Times New Roman" w:eastAsia="宋体" w:cs="Times New Roman"/>
                      <w:color w:val="auto"/>
                      <w:kern w:val="0"/>
                      <w:sz w:val="21"/>
                      <w:szCs w:val="21"/>
                      <w:highlight w:val="none"/>
                      <w:u w:val="none" w:color="auto"/>
                      <w:lang w:val="en-US" w:eastAsia="zh-CN"/>
                    </w:rPr>
                    <w:t>无</w:t>
                  </w:r>
                  <w:r>
                    <w:rPr>
                      <w:rFonts w:hint="eastAsia" w:ascii="Times New Roman" w:hAnsi="Times New Roman" w:eastAsia="宋体" w:cs="Times New Roman"/>
                      <w:color w:val="auto"/>
                      <w:kern w:val="0"/>
                      <w:sz w:val="21"/>
                      <w:szCs w:val="21"/>
                      <w:highlight w:val="none"/>
                      <w:u w:val="none" w:color="auto"/>
                      <w:lang w:val="en-US" w:eastAsia="zh-CN"/>
                    </w:rPr>
                    <w:t>）</w:t>
                  </w:r>
                  <w:r>
                    <w:rPr>
                      <w:rFonts w:hint="default" w:ascii="Times New Roman" w:hAnsi="Times New Roman" w:eastAsia="宋体" w:cs="Times New Roman"/>
                      <w:color w:val="auto"/>
                      <w:kern w:val="0"/>
                      <w:sz w:val="21"/>
                      <w:szCs w:val="21"/>
                      <w:highlight w:val="none"/>
                      <w:u w:val="none" w:color="auto"/>
                      <w:lang w:val="en-US" w:eastAsia="zh-CN"/>
                    </w:rPr>
                    <w:t>VOCs含量的涂料、有机溶剂、胶黏剂、油墨等原辅材料，配套改进生产工艺。开发区内水泥等行业大气污染物排放应满足《湖南省生态环境厅关于执行污染物特别排放限值</w:t>
                  </w:r>
                  <w:r>
                    <w:rPr>
                      <w:rFonts w:hint="eastAsia" w:ascii="Times New Roman" w:hAnsi="Times New Roman" w:eastAsia="宋体" w:cs="Times New Roman"/>
                      <w:color w:val="auto"/>
                      <w:kern w:val="0"/>
                      <w:sz w:val="21"/>
                      <w:szCs w:val="21"/>
                      <w:highlight w:val="none"/>
                      <w:u w:val="none" w:color="auto"/>
                      <w:lang w:val="en-US" w:eastAsia="zh-CN"/>
                    </w:rPr>
                    <w:t>（</w:t>
                  </w:r>
                  <w:r>
                    <w:rPr>
                      <w:rFonts w:hint="default" w:ascii="Times New Roman" w:hAnsi="Times New Roman" w:eastAsia="宋体" w:cs="Times New Roman"/>
                      <w:color w:val="auto"/>
                      <w:kern w:val="0"/>
                      <w:sz w:val="21"/>
                      <w:szCs w:val="21"/>
                      <w:highlight w:val="none"/>
                      <w:u w:val="none" w:color="auto"/>
                      <w:lang w:val="en-US" w:eastAsia="zh-CN"/>
                    </w:rPr>
                    <w:t>第一批</w:t>
                  </w:r>
                  <w:r>
                    <w:rPr>
                      <w:rFonts w:hint="eastAsia" w:ascii="Times New Roman" w:hAnsi="Times New Roman" w:eastAsia="宋体" w:cs="Times New Roman"/>
                      <w:color w:val="auto"/>
                      <w:kern w:val="0"/>
                      <w:sz w:val="21"/>
                      <w:szCs w:val="21"/>
                      <w:highlight w:val="none"/>
                      <w:u w:val="none" w:color="auto"/>
                      <w:lang w:val="en-US" w:eastAsia="zh-CN"/>
                    </w:rPr>
                    <w:t>）</w:t>
                  </w:r>
                  <w:r>
                    <w:rPr>
                      <w:rFonts w:hint="default" w:ascii="Times New Roman" w:hAnsi="Times New Roman" w:eastAsia="宋体" w:cs="Times New Roman"/>
                      <w:color w:val="auto"/>
                      <w:kern w:val="0"/>
                      <w:sz w:val="21"/>
                      <w:szCs w:val="21"/>
                      <w:highlight w:val="none"/>
                      <w:u w:val="none" w:color="auto"/>
                      <w:lang w:val="en-US" w:eastAsia="zh-CN"/>
                    </w:rPr>
                    <w:t>的公告》中的要求。</w:t>
                  </w:r>
                </w:p>
                <w:p w14:paraId="1E5032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eastAsia" w:ascii="Times New Roman" w:hAnsi="Times New Roman" w:eastAsia="宋体" w:cs="Times New Roman"/>
                      <w:color w:val="auto"/>
                      <w:kern w:val="0"/>
                      <w:sz w:val="21"/>
                      <w:szCs w:val="21"/>
                      <w:highlight w:val="none"/>
                      <w:u w:val="none" w:color="auto"/>
                      <w:lang w:val="en-US" w:eastAsia="zh-CN"/>
                    </w:rPr>
                    <w:t>（2.3）</w:t>
                  </w:r>
                  <w:r>
                    <w:rPr>
                      <w:rFonts w:hint="default" w:ascii="Times New Roman" w:hAnsi="Times New Roman" w:eastAsia="宋体" w:cs="Times New Roman"/>
                      <w:color w:val="auto"/>
                      <w:kern w:val="0"/>
                      <w:sz w:val="21"/>
                      <w:szCs w:val="21"/>
                      <w:highlight w:val="none"/>
                      <w:u w:val="none" w:color="auto"/>
                      <w:lang w:val="en-US" w:eastAsia="zh-CN"/>
                    </w:rPr>
                    <w:t>固废</w:t>
                  </w:r>
                  <w:r>
                    <w:rPr>
                      <w:rFonts w:hint="eastAsia" w:ascii="Times New Roman" w:hAnsi="Times New Roman" w:eastAsia="宋体" w:cs="Times New Roman"/>
                      <w:color w:val="auto"/>
                      <w:kern w:val="0"/>
                      <w:sz w:val="21"/>
                      <w:szCs w:val="21"/>
                      <w:highlight w:val="none"/>
                      <w:u w:val="none" w:color="auto"/>
                      <w:lang w:val="en-US" w:eastAsia="zh-CN"/>
                    </w:rPr>
                    <w:t>：</w:t>
                  </w:r>
                  <w:r>
                    <w:rPr>
                      <w:rFonts w:hint="default" w:ascii="Times New Roman" w:hAnsi="Times New Roman" w:eastAsia="宋体" w:cs="Times New Roman"/>
                      <w:color w:val="auto"/>
                      <w:kern w:val="0"/>
                      <w:sz w:val="21"/>
                      <w:szCs w:val="21"/>
                      <w:highlight w:val="none"/>
                      <w:u w:val="none" w:color="auto"/>
                      <w:lang w:val="en-US" w:eastAsia="zh-CN"/>
                    </w:rPr>
                    <w:t>开发区应建立统一的固废收集、贮存、运输、综合利用和安全处置的运营管理体系，做好工业固体废物和生活垃圾的分类收集、转运、综合利用和无害化处理。对各类工业企业产生固体废物特别是危险固废应严格按照国家有关规定综合利用或妥善处置，严防二次污染。</w:t>
                  </w:r>
                </w:p>
              </w:tc>
              <w:tc>
                <w:tcPr>
                  <w:tcW w:w="2430" w:type="dxa"/>
                  <w:gridSpan w:val="2"/>
                  <w:tcBorders>
                    <w:tl2br w:val="nil"/>
                    <w:tr2bl w:val="nil"/>
                  </w:tcBorders>
                  <w:vAlign w:val="center"/>
                </w:tcPr>
                <w:p w14:paraId="6AD080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项目运营</w:t>
                  </w:r>
                  <w:r>
                    <w:rPr>
                      <w:rFonts w:hint="eastAsia" w:ascii="Times New Roman" w:hAnsi="Times New Roman" w:eastAsia="宋体" w:cs="Times New Roman"/>
                      <w:color w:val="auto"/>
                      <w:kern w:val="0"/>
                      <w:sz w:val="21"/>
                      <w:szCs w:val="21"/>
                      <w:highlight w:val="none"/>
                      <w:u w:val="none" w:color="auto"/>
                      <w:lang w:val="en-US" w:eastAsia="zh-CN"/>
                    </w:rPr>
                    <w:t>期废水经</w:t>
                  </w:r>
                  <w:r>
                    <w:rPr>
                      <w:rFonts w:hint="eastAsia" w:cs="Times New Roman"/>
                      <w:color w:val="auto"/>
                      <w:kern w:val="0"/>
                      <w:sz w:val="21"/>
                      <w:szCs w:val="21"/>
                      <w:highlight w:val="none"/>
                      <w:u w:val="none" w:color="auto"/>
                      <w:lang w:val="en-US" w:eastAsia="zh-CN"/>
                    </w:rPr>
                    <w:t>处理达标</w:t>
                  </w:r>
                  <w:r>
                    <w:rPr>
                      <w:rFonts w:hint="eastAsia" w:ascii="Times New Roman" w:hAnsi="Times New Roman" w:eastAsia="宋体" w:cs="Times New Roman"/>
                      <w:color w:val="auto"/>
                      <w:kern w:val="0"/>
                      <w:sz w:val="21"/>
                      <w:szCs w:val="21"/>
                      <w:highlight w:val="none"/>
                      <w:u w:val="none" w:color="auto"/>
                      <w:lang w:val="en-US" w:eastAsia="zh-CN"/>
                    </w:rPr>
                    <w:t>后</w:t>
                  </w:r>
                  <w:r>
                    <w:rPr>
                      <w:rFonts w:hint="eastAsia" w:cs="Times New Roman"/>
                      <w:color w:val="auto"/>
                      <w:kern w:val="0"/>
                      <w:sz w:val="21"/>
                      <w:szCs w:val="21"/>
                      <w:highlight w:val="none"/>
                      <w:u w:val="none" w:color="auto"/>
                      <w:lang w:val="en-US" w:eastAsia="zh-CN"/>
                    </w:rPr>
                    <w:t>排放</w:t>
                  </w:r>
                  <w:r>
                    <w:rPr>
                      <w:rFonts w:hint="eastAsia" w:ascii="Times New Roman" w:hAnsi="Times New Roman" w:eastAsia="宋体" w:cs="Times New Roman"/>
                      <w:color w:val="auto"/>
                      <w:kern w:val="0"/>
                      <w:sz w:val="21"/>
                      <w:szCs w:val="21"/>
                      <w:highlight w:val="none"/>
                      <w:u w:val="none" w:color="auto"/>
                      <w:lang w:val="en-US" w:eastAsia="zh-CN"/>
                    </w:rPr>
                    <w:t>；</w:t>
                  </w:r>
                  <w:r>
                    <w:rPr>
                      <w:rFonts w:hint="eastAsia" w:cs="Times New Roman"/>
                      <w:color w:val="auto"/>
                      <w:kern w:val="0"/>
                      <w:sz w:val="21"/>
                      <w:szCs w:val="21"/>
                      <w:highlight w:val="none"/>
                      <w:u w:val="none" w:color="auto"/>
                      <w:lang w:val="en-US" w:eastAsia="zh-CN"/>
                    </w:rPr>
                    <w:t>烘干</w:t>
                  </w:r>
                  <w:r>
                    <w:rPr>
                      <w:rFonts w:hint="eastAsia" w:ascii="Times New Roman" w:hAnsi="Times New Roman" w:eastAsia="宋体" w:cs="Times New Roman"/>
                      <w:color w:val="auto"/>
                      <w:kern w:val="0"/>
                      <w:sz w:val="21"/>
                      <w:szCs w:val="21"/>
                      <w:highlight w:val="none"/>
                      <w:u w:val="none" w:color="auto"/>
                      <w:lang w:val="en-US" w:eastAsia="zh-CN"/>
                    </w:rPr>
                    <w:t>废气配套NMP回收系统处理后经</w:t>
                  </w:r>
                  <w:r>
                    <w:rPr>
                      <w:rFonts w:hint="eastAsia" w:cs="Times New Roman"/>
                      <w:color w:val="auto"/>
                      <w:kern w:val="0"/>
                      <w:sz w:val="21"/>
                      <w:szCs w:val="21"/>
                      <w:highlight w:val="none"/>
                      <w:u w:val="none" w:color="auto"/>
                      <w:lang w:val="en-US" w:eastAsia="zh-CN"/>
                    </w:rPr>
                    <w:t>约25</w:t>
                  </w:r>
                  <w:r>
                    <w:rPr>
                      <w:rFonts w:hint="eastAsia" w:ascii="Times New Roman" w:hAnsi="Times New Roman" w:eastAsia="宋体" w:cs="Times New Roman"/>
                      <w:color w:val="auto"/>
                      <w:kern w:val="0"/>
                      <w:sz w:val="21"/>
                      <w:szCs w:val="21"/>
                      <w:highlight w:val="none"/>
                      <w:u w:val="none" w:color="auto"/>
                      <w:lang w:val="en-US" w:eastAsia="zh-CN"/>
                    </w:rPr>
                    <w:t>m高排气筒排放</w:t>
                  </w:r>
                  <w:r>
                    <w:rPr>
                      <w:rFonts w:hint="default" w:ascii="Times New Roman" w:hAnsi="Times New Roman" w:eastAsia="宋体" w:cs="Times New Roman"/>
                      <w:color w:val="auto"/>
                      <w:kern w:val="0"/>
                      <w:sz w:val="21"/>
                      <w:szCs w:val="21"/>
                      <w:highlight w:val="none"/>
                      <w:u w:val="none" w:color="auto"/>
                      <w:lang w:val="en-US" w:eastAsia="zh-CN"/>
                    </w:rPr>
                    <w:t>；固废按要求处置</w:t>
                  </w:r>
                  <w:r>
                    <w:rPr>
                      <w:rFonts w:hint="eastAsia" w:cs="Times New Roman"/>
                      <w:color w:val="auto"/>
                      <w:kern w:val="0"/>
                      <w:sz w:val="21"/>
                      <w:szCs w:val="21"/>
                      <w:highlight w:val="none"/>
                      <w:u w:val="none" w:color="auto"/>
                      <w:lang w:val="en-US" w:eastAsia="zh-CN"/>
                    </w:rPr>
                    <w:t>，不外排</w:t>
                  </w:r>
                </w:p>
              </w:tc>
              <w:tc>
                <w:tcPr>
                  <w:tcW w:w="541" w:type="dxa"/>
                  <w:tcBorders>
                    <w:tl2br w:val="nil"/>
                    <w:tr2bl w:val="nil"/>
                  </w:tcBorders>
                  <w:vAlign w:val="center"/>
                </w:tcPr>
                <w:p w14:paraId="2E5AB7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符合</w:t>
                  </w:r>
                </w:p>
              </w:tc>
            </w:tr>
            <w:tr w14:paraId="2D9235DF">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66" w:type="dxa"/>
                  <w:gridSpan w:val="2"/>
                  <w:tcBorders>
                    <w:tl2br w:val="nil"/>
                    <w:tr2bl w:val="nil"/>
                  </w:tcBorders>
                  <w:vAlign w:val="center"/>
                </w:tcPr>
                <w:p w14:paraId="37A5FA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环境风险防控</w:t>
                  </w:r>
                </w:p>
              </w:tc>
              <w:tc>
                <w:tcPr>
                  <w:tcW w:w="3714" w:type="dxa"/>
                  <w:gridSpan w:val="7"/>
                  <w:tcBorders>
                    <w:tl2br w:val="nil"/>
                    <w:tr2bl w:val="nil"/>
                  </w:tcBorders>
                  <w:vAlign w:val="center"/>
                </w:tcPr>
                <w:p w14:paraId="4AA8D4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eastAsia" w:ascii="Times New Roman" w:hAnsi="Times New Roman" w:eastAsia="宋体" w:cs="Times New Roman"/>
                      <w:color w:val="auto"/>
                      <w:kern w:val="0"/>
                      <w:sz w:val="21"/>
                      <w:szCs w:val="21"/>
                      <w:highlight w:val="none"/>
                      <w:u w:val="none" w:color="auto"/>
                      <w:lang w:val="en-US" w:eastAsia="zh-CN"/>
                    </w:rPr>
                    <w:t>（</w:t>
                  </w:r>
                  <w:r>
                    <w:rPr>
                      <w:rFonts w:hint="default" w:ascii="Times New Roman" w:hAnsi="Times New Roman" w:eastAsia="宋体" w:cs="Times New Roman"/>
                      <w:color w:val="auto"/>
                      <w:kern w:val="0"/>
                      <w:sz w:val="21"/>
                      <w:szCs w:val="21"/>
                      <w:highlight w:val="none"/>
                      <w:u w:val="none" w:color="auto"/>
                      <w:lang w:val="en-US" w:eastAsia="zh-CN"/>
                    </w:rPr>
                    <w:t>3.1</w:t>
                  </w:r>
                  <w:r>
                    <w:rPr>
                      <w:rFonts w:hint="eastAsia" w:ascii="Times New Roman" w:hAnsi="Times New Roman" w:eastAsia="宋体" w:cs="Times New Roman"/>
                      <w:color w:val="auto"/>
                      <w:kern w:val="0"/>
                      <w:sz w:val="21"/>
                      <w:szCs w:val="21"/>
                      <w:highlight w:val="none"/>
                      <w:u w:val="none" w:color="auto"/>
                      <w:lang w:val="en-US" w:eastAsia="zh-CN"/>
                    </w:rPr>
                    <w:t>）</w:t>
                  </w:r>
                  <w:r>
                    <w:rPr>
                      <w:rFonts w:hint="default" w:ascii="Times New Roman" w:hAnsi="Times New Roman" w:eastAsia="宋体" w:cs="Times New Roman"/>
                      <w:color w:val="auto"/>
                      <w:kern w:val="0"/>
                      <w:sz w:val="21"/>
                      <w:szCs w:val="21"/>
                      <w:highlight w:val="none"/>
                      <w:u w:val="none" w:color="auto"/>
                      <w:lang w:val="en-US" w:eastAsia="zh-CN"/>
                    </w:rPr>
                    <w:t>开发区应建立健全环境风险防控体系，组织严格落实开发区突发环境事件应急预案的相关要求，加强环境风险事故防范和应急管理。</w:t>
                  </w:r>
                </w:p>
                <w:p w14:paraId="13A935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eastAsia" w:ascii="Times New Roman" w:hAnsi="Times New Roman" w:eastAsia="宋体" w:cs="Times New Roman"/>
                      <w:color w:val="auto"/>
                      <w:kern w:val="0"/>
                      <w:sz w:val="21"/>
                      <w:szCs w:val="21"/>
                      <w:highlight w:val="none"/>
                      <w:u w:val="none" w:color="auto"/>
                      <w:lang w:val="en-US" w:eastAsia="zh-CN"/>
                    </w:rPr>
                    <w:t>（</w:t>
                  </w:r>
                  <w:r>
                    <w:rPr>
                      <w:rFonts w:hint="default" w:ascii="Times New Roman" w:hAnsi="Times New Roman" w:eastAsia="宋体" w:cs="Times New Roman"/>
                      <w:color w:val="auto"/>
                      <w:kern w:val="0"/>
                      <w:sz w:val="21"/>
                      <w:szCs w:val="21"/>
                      <w:highlight w:val="none"/>
                      <w:u w:val="none" w:color="auto"/>
                      <w:lang w:val="en-US" w:eastAsia="zh-CN"/>
                    </w:rPr>
                    <w:t>3.2</w:t>
                  </w:r>
                  <w:r>
                    <w:rPr>
                      <w:rFonts w:hint="eastAsia" w:ascii="Times New Roman" w:hAnsi="Times New Roman" w:eastAsia="宋体" w:cs="Times New Roman"/>
                      <w:color w:val="auto"/>
                      <w:kern w:val="0"/>
                      <w:sz w:val="21"/>
                      <w:szCs w:val="21"/>
                      <w:highlight w:val="none"/>
                      <w:u w:val="none" w:color="auto"/>
                      <w:lang w:val="en-US" w:eastAsia="zh-CN"/>
                    </w:rPr>
                    <w:t>）</w:t>
                  </w:r>
                  <w:r>
                    <w:rPr>
                      <w:rFonts w:hint="default" w:ascii="Times New Roman" w:hAnsi="Times New Roman" w:eastAsia="宋体" w:cs="Times New Roman"/>
                      <w:color w:val="auto"/>
                      <w:kern w:val="0"/>
                      <w:sz w:val="21"/>
                      <w:szCs w:val="21"/>
                      <w:highlight w:val="none"/>
                      <w:u w:val="none" w:color="auto"/>
                      <w:lang w:val="en-US" w:eastAsia="zh-CN"/>
                    </w:rPr>
                    <w:t>开发区可能发生突发环境事件的污染物排放企业，生产、储存、运输、使用危险化学品的企业，产生、收集、贮存、运输危险废物的企业，应当编制和实施环境应急预案</w:t>
                  </w:r>
                  <w:r>
                    <w:rPr>
                      <w:rFonts w:hint="eastAsia" w:ascii="Times New Roman" w:hAnsi="Times New Roman" w:eastAsia="宋体" w:cs="Times New Roman"/>
                      <w:color w:val="auto"/>
                      <w:kern w:val="0"/>
                      <w:sz w:val="21"/>
                      <w:szCs w:val="21"/>
                      <w:highlight w:val="none"/>
                      <w:u w:val="none" w:color="auto"/>
                      <w:lang w:val="en-US" w:eastAsia="zh-CN"/>
                    </w:rPr>
                    <w:t>；</w:t>
                  </w:r>
                  <w:r>
                    <w:rPr>
                      <w:rFonts w:hint="default" w:ascii="Times New Roman" w:hAnsi="Times New Roman" w:eastAsia="宋体" w:cs="Times New Roman"/>
                      <w:color w:val="auto"/>
                      <w:kern w:val="0"/>
                      <w:sz w:val="21"/>
                      <w:szCs w:val="21"/>
                      <w:highlight w:val="none"/>
                      <w:u w:val="none" w:color="auto"/>
                      <w:lang w:val="en-US" w:eastAsia="zh-CN"/>
                    </w:rPr>
                    <w:t>鼓励其他企业制定单独的环境应急预案，或在突发事件应急预案中制定环境应急预案专章，并备案。</w:t>
                  </w:r>
                </w:p>
              </w:tc>
              <w:tc>
                <w:tcPr>
                  <w:tcW w:w="2430" w:type="dxa"/>
                  <w:gridSpan w:val="2"/>
                  <w:tcBorders>
                    <w:tl2br w:val="nil"/>
                    <w:tr2bl w:val="nil"/>
                  </w:tcBorders>
                  <w:vAlign w:val="center"/>
                </w:tcPr>
                <w:p w14:paraId="5BDFFE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项目拟按要求完善环境风险防控措施、编制和实施环境应急预案</w:t>
                  </w:r>
                </w:p>
              </w:tc>
              <w:tc>
                <w:tcPr>
                  <w:tcW w:w="541" w:type="dxa"/>
                  <w:tcBorders>
                    <w:tl2br w:val="nil"/>
                    <w:tr2bl w:val="nil"/>
                  </w:tcBorders>
                  <w:vAlign w:val="center"/>
                </w:tcPr>
                <w:p w14:paraId="362FBF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符合</w:t>
                  </w:r>
                </w:p>
              </w:tc>
            </w:tr>
            <w:tr w14:paraId="23E7F754">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66" w:type="dxa"/>
                  <w:gridSpan w:val="2"/>
                  <w:tcBorders>
                    <w:tl2br w:val="nil"/>
                    <w:tr2bl w:val="nil"/>
                  </w:tcBorders>
                  <w:vAlign w:val="center"/>
                </w:tcPr>
                <w:p w14:paraId="1AB4E2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资源开发效率要求</w:t>
                  </w:r>
                </w:p>
              </w:tc>
              <w:tc>
                <w:tcPr>
                  <w:tcW w:w="3714" w:type="dxa"/>
                  <w:gridSpan w:val="7"/>
                  <w:tcBorders>
                    <w:tl2br w:val="nil"/>
                    <w:tr2bl w:val="nil"/>
                  </w:tcBorders>
                  <w:vAlign w:val="center"/>
                </w:tcPr>
                <w:p w14:paraId="5FCF45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eastAsia" w:ascii="Times New Roman" w:hAnsi="Times New Roman" w:eastAsia="宋体" w:cs="Times New Roman"/>
                      <w:color w:val="auto"/>
                      <w:kern w:val="0"/>
                      <w:sz w:val="21"/>
                      <w:szCs w:val="21"/>
                      <w:highlight w:val="none"/>
                      <w:u w:val="none" w:color="auto"/>
                      <w:lang w:val="en-US" w:eastAsia="zh-CN"/>
                    </w:rPr>
                    <w:t>（</w:t>
                  </w:r>
                  <w:r>
                    <w:rPr>
                      <w:rFonts w:hint="default" w:ascii="Times New Roman" w:hAnsi="Times New Roman" w:eastAsia="宋体" w:cs="Times New Roman"/>
                      <w:color w:val="auto"/>
                      <w:kern w:val="0"/>
                      <w:sz w:val="21"/>
                      <w:szCs w:val="21"/>
                      <w:highlight w:val="none"/>
                      <w:u w:val="none" w:color="auto"/>
                      <w:lang w:val="en-US" w:eastAsia="zh-CN"/>
                    </w:rPr>
                    <w:t>4.1</w:t>
                  </w:r>
                  <w:r>
                    <w:rPr>
                      <w:rFonts w:hint="eastAsia" w:ascii="Times New Roman" w:hAnsi="Times New Roman" w:eastAsia="宋体" w:cs="Times New Roman"/>
                      <w:color w:val="auto"/>
                      <w:kern w:val="0"/>
                      <w:sz w:val="21"/>
                      <w:szCs w:val="21"/>
                      <w:highlight w:val="none"/>
                      <w:u w:val="none" w:color="auto"/>
                      <w:lang w:val="en-US" w:eastAsia="zh-CN"/>
                    </w:rPr>
                    <w:t>）</w:t>
                  </w:r>
                  <w:r>
                    <w:rPr>
                      <w:rFonts w:hint="default" w:ascii="Times New Roman" w:hAnsi="Times New Roman" w:eastAsia="宋体" w:cs="Times New Roman"/>
                      <w:color w:val="auto"/>
                      <w:kern w:val="0"/>
                      <w:sz w:val="21"/>
                      <w:szCs w:val="21"/>
                      <w:highlight w:val="none"/>
                      <w:u w:val="none" w:color="auto"/>
                      <w:lang w:val="en-US" w:eastAsia="zh-CN"/>
                    </w:rPr>
                    <w:t>能源</w:t>
                  </w:r>
                  <w:r>
                    <w:rPr>
                      <w:rFonts w:hint="eastAsia" w:ascii="Times New Roman" w:hAnsi="Times New Roman" w:eastAsia="宋体" w:cs="Times New Roman"/>
                      <w:color w:val="auto"/>
                      <w:kern w:val="0"/>
                      <w:sz w:val="21"/>
                      <w:szCs w:val="21"/>
                      <w:highlight w:val="none"/>
                      <w:u w:val="none" w:color="auto"/>
                      <w:lang w:val="en-US" w:eastAsia="zh-CN"/>
                    </w:rPr>
                    <w:t>：</w:t>
                  </w:r>
                  <w:r>
                    <w:rPr>
                      <w:rFonts w:hint="default" w:ascii="Times New Roman" w:hAnsi="Times New Roman" w:eastAsia="宋体" w:cs="Times New Roman"/>
                      <w:color w:val="auto"/>
                      <w:kern w:val="0"/>
                      <w:sz w:val="21"/>
                      <w:szCs w:val="21"/>
                      <w:highlight w:val="none"/>
                      <w:u w:val="none" w:color="auto"/>
                      <w:lang w:val="en-US" w:eastAsia="zh-CN"/>
                    </w:rPr>
                    <w:t>全面淘汰燃煤锅炉，全面推广天然气等清洁能源。到2025年，园区单位GDP能耗控制在0.152吨标准煤/万元</w:t>
                  </w:r>
                  <w:r>
                    <w:rPr>
                      <w:rFonts w:hint="eastAsia" w:ascii="Times New Roman" w:hAnsi="Times New Roman" w:eastAsia="宋体" w:cs="Times New Roman"/>
                      <w:color w:val="auto"/>
                      <w:kern w:val="0"/>
                      <w:sz w:val="21"/>
                      <w:szCs w:val="21"/>
                      <w:highlight w:val="none"/>
                      <w:u w:val="none" w:color="auto"/>
                      <w:lang w:val="en-US" w:eastAsia="zh-CN"/>
                    </w:rPr>
                    <w:t>，</w:t>
                  </w:r>
                  <w:r>
                    <w:rPr>
                      <w:rFonts w:hint="default" w:ascii="Times New Roman" w:hAnsi="Times New Roman" w:eastAsia="宋体" w:cs="Times New Roman"/>
                      <w:color w:val="auto"/>
                      <w:kern w:val="0"/>
                      <w:sz w:val="21"/>
                      <w:szCs w:val="21"/>
                      <w:highlight w:val="none"/>
                      <w:u w:val="none" w:color="auto"/>
                      <w:lang w:val="en-US" w:eastAsia="zh-CN"/>
                    </w:rPr>
                    <w:t>能源消费总量控制在39866.40吨标准煤</w:t>
                  </w:r>
                  <w:r>
                    <w:rPr>
                      <w:rFonts w:hint="eastAsia" w:ascii="Times New Roman" w:hAnsi="Times New Roman" w:eastAsia="宋体" w:cs="Times New Roman"/>
                      <w:color w:val="auto"/>
                      <w:kern w:val="0"/>
                      <w:sz w:val="21"/>
                      <w:szCs w:val="21"/>
                      <w:highlight w:val="none"/>
                      <w:u w:val="none" w:color="auto"/>
                      <w:lang w:val="en-US" w:eastAsia="zh-CN"/>
                    </w:rPr>
                    <w:t>（</w:t>
                  </w:r>
                  <w:r>
                    <w:rPr>
                      <w:rFonts w:hint="default" w:ascii="Times New Roman" w:hAnsi="Times New Roman" w:eastAsia="宋体" w:cs="Times New Roman"/>
                      <w:color w:val="auto"/>
                      <w:kern w:val="0"/>
                      <w:sz w:val="21"/>
                      <w:szCs w:val="21"/>
                      <w:highlight w:val="none"/>
                      <w:u w:val="none" w:color="auto"/>
                      <w:lang w:val="en-US" w:eastAsia="zh-CN"/>
                    </w:rPr>
                    <w:t>当量值</w:t>
                  </w:r>
                  <w:r>
                    <w:rPr>
                      <w:rFonts w:hint="eastAsia" w:ascii="Times New Roman" w:hAnsi="Times New Roman" w:eastAsia="宋体" w:cs="Times New Roman"/>
                      <w:color w:val="auto"/>
                      <w:kern w:val="0"/>
                      <w:sz w:val="21"/>
                      <w:szCs w:val="21"/>
                      <w:highlight w:val="none"/>
                      <w:u w:val="none" w:color="auto"/>
                      <w:lang w:val="en-US" w:eastAsia="zh-CN"/>
                    </w:rPr>
                    <w:t>）</w:t>
                  </w:r>
                  <w:r>
                    <w:rPr>
                      <w:rFonts w:hint="default" w:ascii="Times New Roman" w:hAnsi="Times New Roman" w:eastAsia="宋体" w:cs="Times New Roman"/>
                      <w:color w:val="auto"/>
                      <w:kern w:val="0"/>
                      <w:sz w:val="21"/>
                      <w:szCs w:val="21"/>
                      <w:highlight w:val="none"/>
                      <w:u w:val="none" w:color="auto"/>
                      <w:lang w:val="en-US" w:eastAsia="zh-CN"/>
                    </w:rPr>
                    <w:t>以内。</w:t>
                  </w:r>
                </w:p>
                <w:p w14:paraId="612FD2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eastAsia" w:ascii="Times New Roman" w:hAnsi="Times New Roman" w:eastAsia="宋体" w:cs="Times New Roman"/>
                      <w:color w:val="auto"/>
                      <w:kern w:val="0"/>
                      <w:sz w:val="21"/>
                      <w:szCs w:val="21"/>
                      <w:highlight w:val="none"/>
                      <w:u w:val="none" w:color="auto"/>
                      <w:lang w:val="en-US" w:eastAsia="zh-CN"/>
                    </w:rPr>
                    <w:t>（</w:t>
                  </w:r>
                  <w:r>
                    <w:rPr>
                      <w:rFonts w:hint="default" w:ascii="Times New Roman" w:hAnsi="Times New Roman" w:eastAsia="宋体" w:cs="Times New Roman"/>
                      <w:color w:val="auto"/>
                      <w:kern w:val="0"/>
                      <w:sz w:val="21"/>
                      <w:szCs w:val="21"/>
                      <w:highlight w:val="none"/>
                      <w:u w:val="none" w:color="auto"/>
                      <w:lang w:val="en-US" w:eastAsia="zh-CN"/>
                    </w:rPr>
                    <w:t>4.2</w:t>
                  </w:r>
                  <w:r>
                    <w:rPr>
                      <w:rFonts w:hint="eastAsia" w:ascii="Times New Roman" w:hAnsi="Times New Roman" w:eastAsia="宋体" w:cs="Times New Roman"/>
                      <w:color w:val="auto"/>
                      <w:kern w:val="0"/>
                      <w:sz w:val="21"/>
                      <w:szCs w:val="21"/>
                      <w:highlight w:val="none"/>
                      <w:u w:val="none" w:color="auto"/>
                      <w:lang w:val="en-US" w:eastAsia="zh-CN"/>
                    </w:rPr>
                    <w:t>）</w:t>
                  </w:r>
                  <w:r>
                    <w:rPr>
                      <w:rFonts w:hint="default" w:ascii="Times New Roman" w:hAnsi="Times New Roman" w:eastAsia="宋体" w:cs="Times New Roman"/>
                      <w:color w:val="auto"/>
                      <w:kern w:val="0"/>
                      <w:sz w:val="21"/>
                      <w:szCs w:val="21"/>
                      <w:highlight w:val="none"/>
                      <w:u w:val="none" w:color="auto"/>
                      <w:lang w:val="en-US" w:eastAsia="zh-CN"/>
                    </w:rPr>
                    <w:t>水资源</w:t>
                  </w:r>
                  <w:r>
                    <w:rPr>
                      <w:rFonts w:hint="eastAsia" w:ascii="Times New Roman" w:hAnsi="Times New Roman" w:eastAsia="宋体" w:cs="Times New Roman"/>
                      <w:color w:val="auto"/>
                      <w:kern w:val="0"/>
                      <w:sz w:val="21"/>
                      <w:szCs w:val="21"/>
                      <w:highlight w:val="none"/>
                      <w:u w:val="none" w:color="auto"/>
                      <w:lang w:val="en-US" w:eastAsia="zh-CN"/>
                    </w:rPr>
                    <w:t>：</w:t>
                  </w:r>
                  <w:r>
                    <w:rPr>
                      <w:rFonts w:hint="default" w:ascii="Times New Roman" w:hAnsi="Times New Roman" w:eastAsia="宋体" w:cs="Times New Roman"/>
                      <w:color w:val="auto"/>
                      <w:kern w:val="0"/>
                      <w:sz w:val="21"/>
                      <w:szCs w:val="21"/>
                      <w:highlight w:val="none"/>
                      <w:u w:val="none" w:color="auto"/>
                      <w:lang w:val="en-US" w:eastAsia="zh-CN"/>
                    </w:rPr>
                    <w:t>到2025年，开发区指标应符合相应行政区域的管控要求，新田县用水总量目标为15187万m</w:t>
                  </w:r>
                  <w:r>
                    <w:rPr>
                      <w:rFonts w:hint="default" w:ascii="Times New Roman" w:hAnsi="Times New Roman" w:eastAsia="宋体" w:cs="Times New Roman"/>
                      <w:color w:val="auto"/>
                      <w:kern w:val="0"/>
                      <w:sz w:val="21"/>
                      <w:szCs w:val="21"/>
                      <w:highlight w:val="none"/>
                      <w:u w:val="none" w:color="auto"/>
                      <w:vertAlign w:val="superscript"/>
                      <w:lang w:val="en-US" w:eastAsia="zh-CN"/>
                    </w:rPr>
                    <w:t>3</w:t>
                  </w:r>
                  <w:r>
                    <w:rPr>
                      <w:rFonts w:hint="default" w:ascii="Times New Roman" w:hAnsi="Times New Roman" w:eastAsia="宋体" w:cs="Times New Roman"/>
                      <w:color w:val="auto"/>
                      <w:kern w:val="0"/>
                      <w:sz w:val="21"/>
                      <w:szCs w:val="21"/>
                      <w:highlight w:val="none"/>
                      <w:u w:val="none" w:color="auto"/>
                      <w:lang w:val="en-US" w:eastAsia="zh-CN"/>
                    </w:rPr>
                    <w:t>，万元地区生产总值用水量、万元工业增加值用水量分别比2020年降低18.06%、8.87%。</w:t>
                  </w:r>
                </w:p>
                <w:p w14:paraId="5DA713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eastAsia" w:ascii="Times New Roman" w:hAnsi="Times New Roman" w:eastAsia="宋体" w:cs="Times New Roman"/>
                      <w:color w:val="auto"/>
                      <w:kern w:val="0"/>
                      <w:sz w:val="21"/>
                      <w:szCs w:val="21"/>
                      <w:highlight w:val="none"/>
                      <w:u w:val="none" w:color="auto"/>
                      <w:lang w:val="en-US" w:eastAsia="zh-CN"/>
                    </w:rPr>
                    <w:t>（</w:t>
                  </w:r>
                  <w:r>
                    <w:rPr>
                      <w:rFonts w:hint="default" w:ascii="Times New Roman" w:hAnsi="Times New Roman" w:eastAsia="宋体" w:cs="Times New Roman"/>
                      <w:color w:val="auto"/>
                      <w:kern w:val="0"/>
                      <w:sz w:val="21"/>
                      <w:szCs w:val="21"/>
                      <w:highlight w:val="none"/>
                      <w:u w:val="none" w:color="auto"/>
                      <w:lang w:val="en-US" w:eastAsia="zh-CN"/>
                    </w:rPr>
                    <w:t>4.3</w:t>
                  </w:r>
                  <w:r>
                    <w:rPr>
                      <w:rFonts w:hint="eastAsia" w:ascii="Times New Roman" w:hAnsi="Times New Roman" w:eastAsia="宋体" w:cs="Times New Roman"/>
                      <w:color w:val="auto"/>
                      <w:kern w:val="0"/>
                      <w:sz w:val="21"/>
                      <w:szCs w:val="21"/>
                      <w:highlight w:val="none"/>
                      <w:u w:val="none" w:color="auto"/>
                      <w:lang w:val="en-US" w:eastAsia="zh-CN"/>
                    </w:rPr>
                    <w:t>）</w:t>
                  </w:r>
                  <w:r>
                    <w:rPr>
                      <w:rFonts w:hint="default" w:ascii="Times New Roman" w:hAnsi="Times New Roman" w:eastAsia="宋体" w:cs="Times New Roman"/>
                      <w:color w:val="auto"/>
                      <w:kern w:val="0"/>
                      <w:sz w:val="21"/>
                      <w:szCs w:val="21"/>
                      <w:highlight w:val="none"/>
                      <w:u w:val="none" w:color="auto"/>
                      <w:lang w:val="en-US" w:eastAsia="zh-CN"/>
                    </w:rPr>
                    <w:t>土地资源</w:t>
                  </w:r>
                  <w:r>
                    <w:rPr>
                      <w:rFonts w:hint="eastAsia" w:ascii="Times New Roman" w:hAnsi="Times New Roman" w:eastAsia="宋体" w:cs="Times New Roman"/>
                      <w:color w:val="auto"/>
                      <w:kern w:val="0"/>
                      <w:sz w:val="21"/>
                      <w:szCs w:val="21"/>
                      <w:highlight w:val="none"/>
                      <w:u w:val="none" w:color="auto"/>
                      <w:lang w:val="en-US" w:eastAsia="zh-CN"/>
                    </w:rPr>
                    <w:t>：</w:t>
                  </w:r>
                  <w:r>
                    <w:rPr>
                      <w:rFonts w:hint="default" w:ascii="Times New Roman" w:hAnsi="Times New Roman" w:eastAsia="宋体" w:cs="Times New Roman"/>
                      <w:color w:val="auto"/>
                      <w:kern w:val="0"/>
                      <w:sz w:val="21"/>
                      <w:szCs w:val="21"/>
                      <w:highlight w:val="none"/>
                      <w:u w:val="none" w:color="auto"/>
                      <w:lang w:val="en-US" w:eastAsia="zh-CN"/>
                    </w:rPr>
                    <w:t>按照严控增量、盘活存量、管住总量、集约高效的原则，着力调整建设用地结构，保障重点建设项目用地，加大存量建设用地盘活力度，提高土地利用效益，切实推进土地利用向集约型利用方式转变。促进园区土地高质量利用</w:t>
                  </w:r>
                  <w:r>
                    <w:rPr>
                      <w:rFonts w:hint="eastAsia" w:ascii="Times New Roman" w:hAnsi="Times New Roman" w:eastAsia="宋体" w:cs="Times New Roman"/>
                      <w:color w:val="auto"/>
                      <w:kern w:val="0"/>
                      <w:sz w:val="21"/>
                      <w:szCs w:val="21"/>
                      <w:highlight w:val="none"/>
                      <w:u w:val="none" w:color="auto"/>
                      <w:lang w:val="en-US" w:eastAsia="zh-CN"/>
                    </w:rPr>
                    <w:t>：</w:t>
                  </w:r>
                  <w:r>
                    <w:rPr>
                      <w:rFonts w:hint="default" w:ascii="Times New Roman" w:hAnsi="Times New Roman" w:eastAsia="宋体" w:cs="Times New Roman"/>
                      <w:color w:val="auto"/>
                      <w:kern w:val="0"/>
                      <w:sz w:val="21"/>
                      <w:szCs w:val="21"/>
                      <w:highlight w:val="none"/>
                      <w:u w:val="none" w:color="auto"/>
                      <w:lang w:val="en-US" w:eastAsia="zh-CN"/>
                    </w:rPr>
                    <w:t>在详细规划编制、用地预审与选址、用地报批、土地出让、规划许可竣工验收等环节，全面推行工业项目建设用地引导指标和工业项目供地负面清单管理，园区工业用地固定资产投入强度达到250万元/亩，工业用地地均税收达到15万元/亩。</w:t>
                  </w:r>
                </w:p>
              </w:tc>
              <w:tc>
                <w:tcPr>
                  <w:tcW w:w="2430" w:type="dxa"/>
                  <w:gridSpan w:val="2"/>
                  <w:tcBorders>
                    <w:tl2br w:val="nil"/>
                    <w:tr2bl w:val="nil"/>
                  </w:tcBorders>
                  <w:vAlign w:val="center"/>
                </w:tcPr>
                <w:p w14:paraId="1CC1FA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项目使用资源主要为水、电等</w:t>
                  </w:r>
                  <w:r>
                    <w:rPr>
                      <w:rFonts w:hint="eastAsia" w:ascii="Times New Roman" w:hAnsi="Times New Roman" w:eastAsia="宋体" w:cs="Times New Roman"/>
                      <w:color w:val="auto"/>
                      <w:kern w:val="0"/>
                      <w:sz w:val="21"/>
                      <w:szCs w:val="21"/>
                      <w:highlight w:val="none"/>
                      <w:u w:val="none" w:color="auto"/>
                      <w:lang w:val="en-US" w:eastAsia="zh-CN"/>
                    </w:rPr>
                    <w:t>，本项目施工期生活、施工用水取自市政自来水管网，用水量较当地供水量所占比例较小。项目建成运行后通过内部管理、设备选择、原辅材料的选用和管理、废物回收利用、污染治理等多方面采取可行的防治措施，以“节能、降耗、减污”为目标，有效地控制污染，项目的水、电等资源不会突破区域的资源利用上线</w:t>
                  </w:r>
                </w:p>
              </w:tc>
              <w:tc>
                <w:tcPr>
                  <w:tcW w:w="541" w:type="dxa"/>
                  <w:tcBorders>
                    <w:tl2br w:val="nil"/>
                    <w:tr2bl w:val="nil"/>
                  </w:tcBorders>
                  <w:vAlign w:val="center"/>
                </w:tcPr>
                <w:p w14:paraId="5B811C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符合</w:t>
                  </w:r>
                </w:p>
              </w:tc>
            </w:tr>
          </w:tbl>
          <w:p w14:paraId="15502F3E">
            <w:pPr>
              <w:ind w:firstLine="482"/>
              <w:rPr>
                <w:rFonts w:hint="default" w:ascii="Times New Roman" w:hAnsi="Times New Roman" w:cs="Times New Roman"/>
                <w:b/>
                <w:bCs/>
                <w:color w:val="auto"/>
                <w:u w:val="none" w:color="auto"/>
                <w:lang w:val="en-US" w:eastAsia="zh-CN"/>
              </w:rPr>
            </w:pPr>
            <w:r>
              <w:rPr>
                <w:rFonts w:hint="eastAsia" w:ascii="Times New Roman" w:hAnsi="Times New Roman" w:cs="Times New Roman"/>
                <w:b/>
                <w:bCs/>
                <w:color w:val="auto"/>
                <w:u w:val="none" w:color="auto"/>
                <w:lang w:val="en-US" w:eastAsia="zh-CN"/>
              </w:rPr>
              <w:t>（三）</w:t>
            </w:r>
            <w:r>
              <w:rPr>
                <w:rFonts w:hint="default" w:ascii="Times New Roman" w:hAnsi="Times New Roman" w:cs="Times New Roman"/>
                <w:b/>
                <w:bCs/>
                <w:color w:val="auto"/>
                <w:u w:val="none" w:color="auto"/>
                <w:lang w:val="en-US" w:eastAsia="zh-CN"/>
              </w:rPr>
              <w:t>选址合理性分析</w:t>
            </w:r>
          </w:p>
          <w:p w14:paraId="070B4F19">
            <w:pPr>
              <w:bidi w:val="0"/>
              <w:rPr>
                <w:rFonts w:hint="default"/>
                <w:color w:val="auto"/>
                <w:u w:val="none" w:color="auto"/>
              </w:rPr>
            </w:pPr>
            <w:r>
              <w:rPr>
                <w:rFonts w:hint="eastAsia"/>
                <w:color w:val="auto"/>
                <w:u w:val="none" w:color="auto"/>
                <w:lang w:eastAsia="zh-CN"/>
              </w:rPr>
              <w:t>（</w:t>
            </w:r>
            <w:r>
              <w:rPr>
                <w:rFonts w:hint="eastAsia"/>
                <w:color w:val="auto"/>
                <w:u w:val="none" w:color="auto"/>
                <w:lang w:val="en-US" w:eastAsia="zh-CN"/>
              </w:rPr>
              <w:t>1</w:t>
            </w:r>
            <w:r>
              <w:rPr>
                <w:rFonts w:hint="eastAsia"/>
                <w:color w:val="auto"/>
                <w:u w:val="none" w:color="auto"/>
                <w:lang w:eastAsia="zh-CN"/>
              </w:rPr>
              <w:t>）</w:t>
            </w:r>
            <w:r>
              <w:rPr>
                <w:rFonts w:hint="default"/>
                <w:color w:val="auto"/>
                <w:u w:val="none" w:color="auto"/>
              </w:rPr>
              <w:t>规划符合性</w:t>
            </w:r>
          </w:p>
          <w:p w14:paraId="357ABAC3">
            <w:pPr>
              <w:bidi w:val="0"/>
              <w:rPr>
                <w:rFonts w:hint="eastAsia"/>
                <w:color w:val="auto"/>
                <w:u w:val="none" w:color="auto"/>
                <w:lang w:val="en-US" w:eastAsia="zh-CN"/>
              </w:rPr>
            </w:pPr>
            <w:r>
              <w:rPr>
                <w:rFonts w:hint="default"/>
                <w:color w:val="auto"/>
                <w:u w:val="none" w:color="auto"/>
              </w:rPr>
              <w:t>本项目位于</w:t>
            </w:r>
            <w:r>
              <w:rPr>
                <w:rFonts w:hint="eastAsia"/>
                <w:color w:val="auto"/>
                <w:u w:val="none" w:color="auto"/>
                <w:lang w:val="en-US" w:eastAsia="zh-CN"/>
              </w:rPr>
              <w:t>湖南省永州市新田县龙泉街道新田县工业园内（新能源新材料区17号栋标准厂房）</w:t>
            </w:r>
            <w:r>
              <w:rPr>
                <w:rFonts w:hint="default"/>
                <w:color w:val="auto"/>
                <w:u w:val="none" w:color="auto"/>
              </w:rPr>
              <w:t>，附近区域无自然保护区、世界文化和自然遗产及等需要特殊保护的生态敏感区，无风景名胜区、森林公园、地质公园、重要湿地等重要生态敏感区</w:t>
            </w:r>
            <w:r>
              <w:rPr>
                <w:rFonts w:hint="eastAsia"/>
                <w:color w:val="auto"/>
                <w:u w:val="none" w:color="auto"/>
                <w:lang w:eastAsia="zh-CN"/>
              </w:rPr>
              <w:t>。</w:t>
            </w:r>
            <w:r>
              <w:rPr>
                <w:rFonts w:hint="eastAsia"/>
                <w:color w:val="auto"/>
                <w:u w:val="none" w:color="auto"/>
                <w:lang w:val="en-US" w:eastAsia="zh-CN"/>
              </w:rPr>
              <w:t>根据《新田工业集中区规划环境影响跟踪评价报告书》要求：南区（新嘉公路以南区域）以异地扶贫安置小区的名义建设了集中居民区，后续开发应严格控制其周边邻近区块的产业布局，不得新落户气型污染明显的项目，并对已落户的产业加强污染控制，且根据湖南省生态环境厅关于发布《湖南省生态环境分区管控总体管控要求暨省级以上产业园区生态环境准入清单》的函（湘环函[2024]26号）中空间布局约束相关内容：严格限制大气污染物排放量较大的企业，防止对县城空气质量产生不利影响。</w:t>
            </w:r>
          </w:p>
          <w:p w14:paraId="5F977256">
            <w:pPr>
              <w:bidi w:val="0"/>
              <w:rPr>
                <w:rFonts w:hint="default"/>
                <w:color w:val="auto"/>
                <w:u w:val="none" w:color="auto"/>
              </w:rPr>
            </w:pPr>
            <w:r>
              <w:rPr>
                <w:rFonts w:hint="eastAsia"/>
                <w:color w:val="auto"/>
                <w:u w:val="none" w:color="auto"/>
                <w:lang w:val="en-US" w:eastAsia="zh-CN"/>
              </w:rPr>
              <w:t>项目位于工业园内，异地扶贫安置小区位于本项目北侧约260m，根据大气环境影响和保护措施分析可知，本项目建设了一套NMP冷凝回收装置对正极涂布烘干废气进行回收处理，经处理达《电池工业污染物排放标准》（GB30484-2013）中的标准限值后引至楼顶排放，项目废气污染物排放量少，对周边环境影响小，</w:t>
            </w:r>
            <w:r>
              <w:rPr>
                <w:rFonts w:hint="eastAsia"/>
                <w:color w:val="auto"/>
                <w:u w:val="none" w:color="auto"/>
                <w:lang w:eastAsia="zh-CN"/>
              </w:rPr>
              <w:t>整体来看</w:t>
            </w:r>
            <w:r>
              <w:rPr>
                <w:rFonts w:hint="default"/>
                <w:color w:val="auto"/>
                <w:u w:val="none" w:color="auto"/>
              </w:rPr>
              <w:t>选址</w:t>
            </w:r>
            <w:r>
              <w:rPr>
                <w:rFonts w:hint="eastAsia"/>
                <w:color w:val="auto"/>
                <w:u w:val="none" w:color="auto"/>
                <w:lang w:eastAsia="zh-CN"/>
              </w:rPr>
              <w:t>是</w:t>
            </w:r>
            <w:r>
              <w:rPr>
                <w:rFonts w:hint="default"/>
                <w:color w:val="auto"/>
                <w:u w:val="none" w:color="auto"/>
              </w:rPr>
              <w:t>合理。</w:t>
            </w:r>
          </w:p>
          <w:p w14:paraId="520C44D8">
            <w:pPr>
              <w:bidi w:val="0"/>
              <w:rPr>
                <w:rFonts w:hint="eastAsia" w:eastAsia="宋体"/>
                <w:color w:val="auto"/>
                <w:u w:val="none" w:color="auto"/>
                <w:lang w:eastAsia="zh-CN"/>
              </w:rPr>
            </w:pPr>
            <w:r>
              <w:rPr>
                <w:rFonts w:hint="default"/>
                <w:color w:val="auto"/>
                <w:u w:val="none" w:color="auto"/>
              </w:rPr>
              <w:t>（2）</w:t>
            </w:r>
            <w:r>
              <w:rPr>
                <w:rFonts w:hint="eastAsia"/>
                <w:color w:val="auto"/>
                <w:u w:val="none" w:color="auto"/>
                <w:lang w:eastAsia="zh-CN"/>
              </w:rPr>
              <w:t>与</w:t>
            </w:r>
            <w:r>
              <w:rPr>
                <w:rFonts w:hint="default"/>
                <w:color w:val="auto"/>
                <w:u w:val="none" w:color="auto"/>
              </w:rPr>
              <w:t>周边环境功能</w:t>
            </w:r>
            <w:r>
              <w:rPr>
                <w:rFonts w:hint="eastAsia"/>
                <w:color w:val="auto"/>
                <w:u w:val="none" w:color="auto"/>
                <w:lang w:eastAsia="zh-CN"/>
              </w:rPr>
              <w:t>相容性</w:t>
            </w:r>
          </w:p>
          <w:p w14:paraId="2CB751AF">
            <w:pPr>
              <w:bidi w:val="0"/>
              <w:rPr>
                <w:color w:val="auto"/>
                <w:u w:val="none" w:color="auto"/>
              </w:rPr>
            </w:pPr>
            <w:r>
              <w:rPr>
                <w:rFonts w:hint="default"/>
                <w:color w:val="auto"/>
                <w:u w:val="none" w:color="auto"/>
              </w:rPr>
              <w:t>项目</w:t>
            </w:r>
            <w:r>
              <w:rPr>
                <w:rFonts w:hint="eastAsia"/>
                <w:color w:val="auto"/>
                <w:u w:val="none" w:color="auto"/>
                <w:lang w:eastAsia="zh-CN"/>
              </w:rPr>
              <w:t>所在</w:t>
            </w:r>
            <w:r>
              <w:rPr>
                <w:rFonts w:hint="default"/>
                <w:color w:val="auto"/>
                <w:u w:val="none" w:color="auto"/>
              </w:rPr>
              <w:t>区域环境质量现状良好，有较大的环境容量；各</w:t>
            </w:r>
            <w:r>
              <w:rPr>
                <w:rFonts w:hint="eastAsia"/>
                <w:color w:val="auto"/>
                <w:u w:val="none" w:color="auto"/>
                <w:lang w:eastAsia="zh-CN"/>
              </w:rPr>
              <w:t>污染</w:t>
            </w:r>
            <w:r>
              <w:rPr>
                <w:rFonts w:hint="default"/>
                <w:color w:val="auto"/>
                <w:u w:val="none" w:color="auto"/>
              </w:rPr>
              <w:t>物均得到妥善处理，做到达标排放或综合利用，排放的污染物符合区域总量控制要求；</w:t>
            </w:r>
            <w:r>
              <w:rPr>
                <w:rFonts w:hint="default"/>
                <w:color w:val="auto"/>
                <w:u w:val="none" w:color="auto"/>
                <w:lang w:val="en-US" w:eastAsia="zh-CN"/>
              </w:rPr>
              <w:t>根据</w:t>
            </w:r>
            <w:r>
              <w:rPr>
                <w:rFonts w:hint="default"/>
                <w:color w:val="auto"/>
                <w:u w:val="none" w:color="auto"/>
              </w:rPr>
              <w:t>环境影响分析表明，本</w:t>
            </w:r>
            <w:r>
              <w:rPr>
                <w:rFonts w:hint="eastAsia"/>
                <w:color w:val="auto"/>
                <w:u w:val="none" w:color="auto"/>
                <w:lang w:eastAsia="zh-CN"/>
              </w:rPr>
              <w:t>项目</w:t>
            </w:r>
            <w:r>
              <w:rPr>
                <w:rFonts w:hint="default"/>
                <w:color w:val="auto"/>
                <w:u w:val="none" w:color="auto"/>
              </w:rPr>
              <w:t>正常生产情况下对</w:t>
            </w:r>
            <w:r>
              <w:rPr>
                <w:rFonts w:hint="eastAsia"/>
                <w:color w:val="auto"/>
                <w:u w:val="none" w:color="auto"/>
                <w:lang w:eastAsia="zh-CN"/>
              </w:rPr>
              <w:t>周边</w:t>
            </w:r>
            <w:r>
              <w:rPr>
                <w:rFonts w:hint="default"/>
                <w:color w:val="auto"/>
                <w:u w:val="none" w:color="auto"/>
              </w:rPr>
              <w:t>地表水环境、环境空气和声环境影响</w:t>
            </w:r>
            <w:r>
              <w:rPr>
                <w:rFonts w:hint="eastAsia"/>
                <w:color w:val="auto"/>
                <w:u w:val="none" w:color="auto"/>
                <w:lang w:eastAsia="zh-CN"/>
              </w:rPr>
              <w:t>可接受</w:t>
            </w:r>
            <w:r>
              <w:rPr>
                <w:rFonts w:hint="default"/>
                <w:color w:val="auto"/>
                <w:u w:val="none" w:color="auto"/>
              </w:rPr>
              <w:t>，满足相应的环境质量要求；且项目从生产原料到生产工艺潜在的环境风险小</w:t>
            </w:r>
            <w:r>
              <w:rPr>
                <w:rFonts w:hint="eastAsia"/>
                <w:color w:val="auto"/>
                <w:u w:val="none" w:color="auto"/>
                <w:lang w:eastAsia="zh-CN"/>
              </w:rPr>
              <w:t>。</w:t>
            </w:r>
          </w:p>
          <w:p w14:paraId="0188ED2E">
            <w:pPr>
              <w:bidi w:val="0"/>
              <w:rPr>
                <w:rFonts w:hint="eastAsia"/>
                <w:color w:val="auto"/>
                <w:u w:val="none" w:color="auto"/>
                <w:lang w:eastAsia="zh-CN"/>
              </w:rPr>
            </w:pPr>
            <w:r>
              <w:rPr>
                <w:rFonts w:hint="eastAsia"/>
                <w:color w:val="auto"/>
                <w:u w:val="none" w:color="auto"/>
                <w:lang w:eastAsia="zh-CN"/>
              </w:rPr>
              <w:t>本项目所在</w:t>
            </w:r>
            <w:r>
              <w:rPr>
                <w:rFonts w:hint="eastAsia" w:eastAsia="宋体"/>
                <w:color w:val="auto"/>
                <w:u w:val="none" w:color="auto"/>
                <w:lang w:eastAsia="zh-CN"/>
              </w:rPr>
              <w:t>的</w:t>
            </w:r>
            <w:r>
              <w:rPr>
                <w:rFonts w:hint="eastAsia" w:eastAsia="宋体"/>
                <w:color w:val="auto"/>
                <w:u w:val="none" w:color="auto"/>
                <w:lang w:val="en-US" w:eastAsia="zh-CN"/>
              </w:rPr>
              <w:t>新能源新材料产业区已聚集多家锂离子电池项目，</w:t>
            </w:r>
            <w:r>
              <w:rPr>
                <w:rFonts w:hint="eastAsia"/>
                <w:color w:val="auto"/>
                <w:u w:val="none" w:color="auto"/>
                <w:lang w:val="en-US" w:eastAsia="zh-CN"/>
              </w:rPr>
              <w:t>附近无食品、医药企业，</w:t>
            </w:r>
            <w:r>
              <w:rPr>
                <w:rFonts w:hint="eastAsia" w:eastAsia="宋体"/>
                <w:color w:val="auto"/>
                <w:u w:val="none" w:color="auto"/>
                <w:lang w:val="en-US" w:eastAsia="zh-CN"/>
              </w:rPr>
              <w:t>与周边企业的相容性较好。</w:t>
            </w:r>
          </w:p>
          <w:p w14:paraId="26F025B1">
            <w:pPr>
              <w:ind w:firstLine="482"/>
              <w:rPr>
                <w:rFonts w:ascii="Times New Roman" w:hAnsi="Times New Roman" w:cs="Times New Roman"/>
                <w:b/>
                <w:bCs/>
                <w:color w:val="auto"/>
                <w:u w:val="none" w:color="auto"/>
              </w:rPr>
            </w:pPr>
            <w:r>
              <w:rPr>
                <w:rFonts w:hint="eastAsia" w:ascii="Times New Roman" w:hAnsi="Times New Roman" w:cs="Times New Roman"/>
                <w:b/>
                <w:bCs/>
                <w:color w:val="auto"/>
                <w:u w:val="none" w:color="auto"/>
                <w:lang w:eastAsia="zh-CN"/>
              </w:rPr>
              <w:t>（四）</w:t>
            </w:r>
            <w:r>
              <w:rPr>
                <w:rFonts w:hint="eastAsia" w:cs="Times New Roman"/>
                <w:b/>
                <w:bCs/>
                <w:color w:val="auto"/>
                <w:u w:val="none" w:color="auto"/>
                <w:lang w:eastAsia="zh-CN"/>
              </w:rPr>
              <w:t>其他</w:t>
            </w:r>
            <w:r>
              <w:rPr>
                <w:rFonts w:ascii="Times New Roman" w:hAnsi="Times New Roman" w:cs="Times New Roman"/>
                <w:b/>
                <w:bCs/>
                <w:color w:val="auto"/>
                <w:u w:val="none" w:color="auto"/>
              </w:rPr>
              <w:t>相关规划符合性分析</w:t>
            </w:r>
          </w:p>
          <w:p w14:paraId="37E6CD54">
            <w:pPr>
              <w:ind w:firstLine="480"/>
              <w:rPr>
                <w:color w:val="auto"/>
                <w:u w:val="none" w:color="auto"/>
              </w:rPr>
            </w:pPr>
            <w:r>
              <w:rPr>
                <w:rFonts w:hint="eastAsia"/>
                <w:color w:val="auto"/>
                <w:u w:val="none" w:color="auto"/>
              </w:rPr>
              <w:t>1、</w:t>
            </w:r>
            <w:r>
              <w:rPr>
                <w:color w:val="auto"/>
                <w:u w:val="none" w:color="auto"/>
              </w:rPr>
              <w:t>与大气污染防治相关文件符合性分析。</w:t>
            </w:r>
          </w:p>
          <w:p w14:paraId="0241035B">
            <w:pPr>
              <w:pStyle w:val="11"/>
              <w:ind w:firstLine="482"/>
              <w:rPr>
                <w:b/>
                <w:bCs/>
                <w:color w:val="auto"/>
                <w:sz w:val="21"/>
                <w:szCs w:val="21"/>
                <w:u w:val="none" w:color="auto"/>
              </w:rPr>
            </w:pPr>
            <w:r>
              <w:rPr>
                <w:b/>
                <w:bCs/>
                <w:color w:val="auto"/>
                <w:sz w:val="21"/>
                <w:szCs w:val="21"/>
                <w:u w:val="none" w:color="auto"/>
              </w:rPr>
              <w:t>表1-</w:t>
            </w:r>
            <w:r>
              <w:rPr>
                <w:rFonts w:hint="eastAsia"/>
                <w:b/>
                <w:bCs/>
                <w:color w:val="auto"/>
                <w:sz w:val="21"/>
                <w:szCs w:val="21"/>
                <w:u w:val="none" w:color="auto"/>
                <w:lang w:val="en-US" w:eastAsia="zh-CN"/>
              </w:rPr>
              <w:t>3</w:t>
            </w:r>
            <w:r>
              <w:rPr>
                <w:b/>
                <w:bCs/>
                <w:color w:val="auto"/>
                <w:sz w:val="21"/>
                <w:szCs w:val="21"/>
                <w:u w:val="none" w:color="auto"/>
              </w:rPr>
              <w:t>与大气污染防治相关法律法规符合性分析</w:t>
            </w:r>
          </w:p>
          <w:tbl>
            <w:tblPr>
              <w:tblStyle w:val="28"/>
              <w:tblW w:w="4996" w:type="pct"/>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1055"/>
              <w:gridCol w:w="4226"/>
              <w:gridCol w:w="2200"/>
              <w:gridCol w:w="589"/>
            </w:tblGrid>
            <w:tr w14:paraId="07C36EBB">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3" w:type="pct"/>
                  <w:tcBorders>
                    <w:tl2br w:val="nil"/>
                    <w:tr2bl w:val="nil"/>
                  </w:tcBorders>
                  <w:noWrap w:val="0"/>
                  <w:tcMar>
                    <w:left w:w="28" w:type="dxa"/>
                    <w:right w:w="28" w:type="dxa"/>
                  </w:tcMar>
                  <w:vAlign w:val="center"/>
                </w:tcPr>
                <w:p w14:paraId="605953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文件名称</w:t>
                  </w:r>
                </w:p>
              </w:tc>
              <w:tc>
                <w:tcPr>
                  <w:tcW w:w="2618" w:type="pct"/>
                  <w:tcBorders>
                    <w:tl2br w:val="nil"/>
                    <w:tr2bl w:val="nil"/>
                  </w:tcBorders>
                  <w:noWrap w:val="0"/>
                  <w:tcMar>
                    <w:left w:w="28" w:type="dxa"/>
                    <w:right w:w="28" w:type="dxa"/>
                  </w:tcMar>
                  <w:vAlign w:val="center"/>
                </w:tcPr>
                <w:p w14:paraId="05D91E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文件要求</w:t>
                  </w:r>
                </w:p>
              </w:tc>
              <w:tc>
                <w:tcPr>
                  <w:tcW w:w="1362" w:type="pct"/>
                  <w:tcBorders>
                    <w:tl2br w:val="nil"/>
                    <w:tr2bl w:val="nil"/>
                  </w:tcBorders>
                  <w:noWrap w:val="0"/>
                  <w:tcMar>
                    <w:left w:w="28" w:type="dxa"/>
                    <w:right w:w="28" w:type="dxa"/>
                  </w:tcMar>
                  <w:vAlign w:val="center"/>
                </w:tcPr>
                <w:p w14:paraId="4F8DF1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本项目情况</w:t>
                  </w:r>
                </w:p>
              </w:tc>
              <w:tc>
                <w:tcPr>
                  <w:tcW w:w="364" w:type="pct"/>
                  <w:tcBorders>
                    <w:tl2br w:val="nil"/>
                    <w:tr2bl w:val="nil"/>
                  </w:tcBorders>
                  <w:noWrap w:val="0"/>
                  <w:tcMar>
                    <w:left w:w="28" w:type="dxa"/>
                    <w:right w:w="28" w:type="dxa"/>
                  </w:tcMar>
                  <w:vAlign w:val="center"/>
                </w:tcPr>
                <w:p w14:paraId="519D3D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符合性</w:t>
                  </w:r>
                </w:p>
              </w:tc>
            </w:tr>
            <w:tr w14:paraId="52A4C47A">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3" w:type="pct"/>
                  <w:tcBorders>
                    <w:tl2br w:val="nil"/>
                    <w:tr2bl w:val="nil"/>
                  </w:tcBorders>
                  <w:noWrap w:val="0"/>
                  <w:tcMar>
                    <w:left w:w="28" w:type="dxa"/>
                    <w:right w:w="28" w:type="dxa"/>
                  </w:tcMar>
                  <w:vAlign w:val="center"/>
                </w:tcPr>
                <w:p w14:paraId="693761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《挥发性有机物（VOC</w:t>
                  </w:r>
                  <w:r>
                    <w:rPr>
                      <w:rFonts w:hint="eastAsia" w:cs="Times New Roman"/>
                      <w:color w:val="auto"/>
                      <w:sz w:val="21"/>
                      <w:szCs w:val="21"/>
                      <w:highlight w:val="none"/>
                      <w:u w:val="none" w:color="auto"/>
                      <w:lang w:val="en-US" w:eastAsia="zh-CN"/>
                    </w:rPr>
                    <w:t>s</w:t>
                  </w:r>
                  <w:r>
                    <w:rPr>
                      <w:rFonts w:hint="eastAsia" w:ascii="Times New Roman" w:hAnsi="Times New Roman" w:eastAsia="宋体" w:cs="Times New Roman"/>
                      <w:color w:val="auto"/>
                      <w:sz w:val="21"/>
                      <w:szCs w:val="21"/>
                      <w:highlight w:val="none"/>
                      <w:u w:val="none" w:color="auto"/>
                      <w:lang w:val="en-US" w:eastAsia="zh-CN"/>
                    </w:rPr>
                    <w:t>）污染防治技术政策》</w:t>
                  </w:r>
                </w:p>
              </w:tc>
              <w:tc>
                <w:tcPr>
                  <w:tcW w:w="2618" w:type="pct"/>
                  <w:tcBorders>
                    <w:tl2br w:val="nil"/>
                    <w:tr2bl w:val="nil"/>
                  </w:tcBorders>
                  <w:noWrap w:val="0"/>
                  <w:tcMar>
                    <w:left w:w="28" w:type="dxa"/>
                    <w:right w:w="28" w:type="dxa"/>
                  </w:tcMar>
                  <w:vAlign w:val="center"/>
                </w:tcPr>
                <w:p w14:paraId="2A8124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VOCs污染防治应遵循源头和过程控制与末端治理相结合的综合防治原则。在工业生产中采用清洁生产技术，严格控制含VOCs原料与产品在生产和储运销过程中的VOCs排放，鼓励对资源和能源的回收利用;鼓励在生产和生活中使用不含VOCs的替代产品或低VOCs含量的产品。</w:t>
                  </w:r>
                </w:p>
              </w:tc>
              <w:tc>
                <w:tcPr>
                  <w:tcW w:w="1362" w:type="pct"/>
                  <w:tcBorders>
                    <w:tl2br w:val="nil"/>
                    <w:tr2bl w:val="nil"/>
                  </w:tcBorders>
                  <w:noWrap w:val="0"/>
                  <w:tcMar>
                    <w:left w:w="28" w:type="dxa"/>
                    <w:right w:w="28" w:type="dxa"/>
                  </w:tcMar>
                  <w:vAlign w:val="center"/>
                </w:tcPr>
                <w:p w14:paraId="0656D8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本项目</w:t>
                  </w:r>
                  <w:r>
                    <w:rPr>
                      <w:rFonts w:hint="eastAsia" w:ascii="Times New Roman" w:hAnsi="Times New Roman" w:eastAsia="宋体" w:cs="Times New Roman"/>
                      <w:color w:val="auto"/>
                      <w:sz w:val="21"/>
                      <w:szCs w:val="21"/>
                      <w:highlight w:val="none"/>
                      <w:u w:val="none" w:color="auto"/>
                      <w:lang w:val="en-US" w:eastAsia="zh-CN"/>
                    </w:rPr>
                    <w:t>VOCs污染防治</w:t>
                  </w:r>
                  <w:r>
                    <w:rPr>
                      <w:rFonts w:hint="eastAsia" w:cs="Times New Roman"/>
                      <w:color w:val="auto"/>
                      <w:sz w:val="21"/>
                      <w:szCs w:val="21"/>
                      <w:highlight w:val="none"/>
                      <w:u w:val="none" w:color="auto"/>
                      <w:lang w:val="en-US" w:eastAsia="zh-CN"/>
                    </w:rPr>
                    <w:t>符合</w:t>
                  </w:r>
                  <w:r>
                    <w:rPr>
                      <w:rFonts w:hint="eastAsia" w:ascii="Times New Roman" w:hAnsi="Times New Roman" w:eastAsia="宋体" w:cs="Times New Roman"/>
                      <w:color w:val="auto"/>
                      <w:sz w:val="21"/>
                      <w:szCs w:val="21"/>
                      <w:highlight w:val="none"/>
                      <w:u w:val="none" w:color="auto"/>
                      <w:lang w:val="en-US" w:eastAsia="zh-CN"/>
                    </w:rPr>
                    <w:t>源头和过程控制与末端治理相结合的综合防治原则</w:t>
                  </w:r>
                </w:p>
              </w:tc>
              <w:tc>
                <w:tcPr>
                  <w:tcW w:w="364" w:type="pct"/>
                  <w:tcBorders>
                    <w:tl2br w:val="nil"/>
                    <w:tr2bl w:val="nil"/>
                  </w:tcBorders>
                  <w:noWrap w:val="0"/>
                  <w:tcMar>
                    <w:left w:w="28" w:type="dxa"/>
                    <w:right w:w="28" w:type="dxa"/>
                  </w:tcMar>
                  <w:vAlign w:val="center"/>
                </w:tcPr>
                <w:p w14:paraId="5DB9EC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符合</w:t>
                  </w:r>
                </w:p>
              </w:tc>
            </w:tr>
            <w:tr w14:paraId="21C1FFCA">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3" w:type="pct"/>
                  <w:tcBorders>
                    <w:tl2br w:val="nil"/>
                    <w:tr2bl w:val="nil"/>
                  </w:tcBorders>
                  <w:noWrap w:val="0"/>
                  <w:tcMar>
                    <w:left w:w="28" w:type="dxa"/>
                    <w:right w:w="28" w:type="dxa"/>
                  </w:tcMar>
                  <w:vAlign w:val="center"/>
                </w:tcPr>
                <w:p w14:paraId="60BB01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《湖南省空气质量持续改善行动计划实施方案》（湘政办发[2024]33号）</w:t>
                  </w:r>
                </w:p>
              </w:tc>
              <w:tc>
                <w:tcPr>
                  <w:tcW w:w="2618" w:type="pct"/>
                  <w:tcBorders>
                    <w:tl2br w:val="nil"/>
                    <w:tr2bl w:val="nil"/>
                  </w:tcBorders>
                  <w:noWrap w:val="0"/>
                  <w:tcMar>
                    <w:left w:w="28" w:type="dxa"/>
                    <w:right w:w="28" w:type="dxa"/>
                  </w:tcMar>
                  <w:vAlign w:val="center"/>
                </w:tcPr>
                <w:p w14:paraId="727C95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深化VOCs全流程综合治理。全面开展VOCs收集治理设施排查整治，加快淘汰不合规定、低效失效、无法稳定达标的治理设施。落实非正常工况作业产生的VOCs废气、污水处理场所高浓度有机废气、含VOCs有机废水储罐和装置区集水井（池）有机废气收集处理要求。规范开展泄漏检测与修复，2025年年底前省级及以上石化、化工园区建立统一的泄漏检测与修复信息管理平台。</w:t>
                  </w:r>
                </w:p>
              </w:tc>
              <w:tc>
                <w:tcPr>
                  <w:tcW w:w="1362" w:type="pct"/>
                  <w:tcBorders>
                    <w:tl2br w:val="nil"/>
                    <w:tr2bl w:val="nil"/>
                  </w:tcBorders>
                  <w:noWrap w:val="0"/>
                  <w:tcMar>
                    <w:left w:w="28" w:type="dxa"/>
                    <w:right w:w="28" w:type="dxa"/>
                  </w:tcMar>
                  <w:vAlign w:val="center"/>
                </w:tcPr>
                <w:p w14:paraId="7DE8C2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本项目使用高效冷凝回收装置回收NMP废气</w:t>
                  </w:r>
                </w:p>
              </w:tc>
              <w:tc>
                <w:tcPr>
                  <w:tcW w:w="364" w:type="pct"/>
                  <w:tcBorders>
                    <w:tl2br w:val="nil"/>
                    <w:tr2bl w:val="nil"/>
                  </w:tcBorders>
                  <w:noWrap w:val="0"/>
                  <w:tcMar>
                    <w:left w:w="28" w:type="dxa"/>
                    <w:right w:w="28" w:type="dxa"/>
                  </w:tcMar>
                  <w:vAlign w:val="center"/>
                </w:tcPr>
                <w:p w14:paraId="65D480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符合</w:t>
                  </w:r>
                </w:p>
              </w:tc>
            </w:tr>
            <w:tr w14:paraId="672ACB66">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3" w:type="pct"/>
                  <w:tcBorders>
                    <w:tl2br w:val="nil"/>
                    <w:tr2bl w:val="nil"/>
                  </w:tcBorders>
                  <w:noWrap w:val="0"/>
                  <w:tcMar>
                    <w:left w:w="28" w:type="dxa"/>
                    <w:right w:w="28" w:type="dxa"/>
                  </w:tcMar>
                  <w:vAlign w:val="center"/>
                </w:tcPr>
                <w:p w14:paraId="4F9799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《湖南省大气污染防治“守护蓝天”攻坚行动计划（2023-2025）》（湘政办发〔2023〕34号）</w:t>
                  </w:r>
                </w:p>
              </w:tc>
              <w:tc>
                <w:tcPr>
                  <w:tcW w:w="2618" w:type="pct"/>
                  <w:tcBorders>
                    <w:tl2br w:val="nil"/>
                    <w:tr2bl w:val="nil"/>
                  </w:tcBorders>
                  <w:noWrap w:val="0"/>
                  <w:tcMar>
                    <w:left w:w="28" w:type="dxa"/>
                    <w:right w:w="28" w:type="dxa"/>
                  </w:tcMar>
                  <w:vAlign w:val="center"/>
                </w:tcPr>
                <w:p w14:paraId="5A4E97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加大低VOCs原辅材料替代力度。建立多部门联合执法机制，加大监督检查力度，确保生产、销售、使用符合VOCs含量限值标准的产品。以工业涂装、包装印刷和胶粘剂使用等为重点，在企业清洁生产审核中明确提出低VOCs原辅材料替代要求。</w:t>
                  </w:r>
                </w:p>
              </w:tc>
              <w:tc>
                <w:tcPr>
                  <w:tcW w:w="1362" w:type="pct"/>
                  <w:tcBorders>
                    <w:tl2br w:val="nil"/>
                    <w:tr2bl w:val="nil"/>
                  </w:tcBorders>
                  <w:noWrap w:val="0"/>
                  <w:tcMar>
                    <w:left w:w="28" w:type="dxa"/>
                    <w:right w:w="28" w:type="dxa"/>
                  </w:tcMar>
                  <w:vAlign w:val="center"/>
                </w:tcPr>
                <w:p w14:paraId="6AD222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本项目使用的原辅材料为低</w:t>
                  </w:r>
                  <w:r>
                    <w:rPr>
                      <w:rFonts w:hint="eastAsia" w:ascii="Times New Roman" w:hAnsi="Times New Roman" w:eastAsia="宋体" w:cs="Times New Roman"/>
                      <w:color w:val="auto"/>
                      <w:sz w:val="21"/>
                      <w:szCs w:val="21"/>
                      <w:highlight w:val="none"/>
                      <w:u w:val="none" w:color="auto"/>
                      <w:lang w:val="en-US" w:eastAsia="zh-CN"/>
                    </w:rPr>
                    <w:t>VOCs</w:t>
                  </w:r>
                  <w:r>
                    <w:rPr>
                      <w:rFonts w:hint="eastAsia" w:cs="Times New Roman"/>
                      <w:color w:val="auto"/>
                      <w:sz w:val="21"/>
                      <w:szCs w:val="21"/>
                      <w:highlight w:val="none"/>
                      <w:u w:val="none" w:color="auto"/>
                      <w:lang w:val="en-US" w:eastAsia="zh-CN"/>
                    </w:rPr>
                    <w:t>含量</w:t>
                  </w:r>
                </w:p>
              </w:tc>
              <w:tc>
                <w:tcPr>
                  <w:tcW w:w="364" w:type="pct"/>
                  <w:tcBorders>
                    <w:tl2br w:val="nil"/>
                    <w:tr2bl w:val="nil"/>
                  </w:tcBorders>
                  <w:noWrap w:val="0"/>
                  <w:tcMar>
                    <w:left w:w="28" w:type="dxa"/>
                    <w:right w:w="28" w:type="dxa"/>
                  </w:tcMar>
                  <w:vAlign w:val="center"/>
                </w:tcPr>
                <w:p w14:paraId="5FBD94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符合</w:t>
                  </w:r>
                </w:p>
              </w:tc>
            </w:tr>
            <w:tr w14:paraId="77E7CA3A">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3" w:type="pct"/>
                  <w:vMerge w:val="restart"/>
                  <w:tcBorders>
                    <w:tl2br w:val="nil"/>
                    <w:tr2bl w:val="nil"/>
                  </w:tcBorders>
                  <w:noWrap w:val="0"/>
                  <w:tcMar>
                    <w:left w:w="28" w:type="dxa"/>
                    <w:right w:w="28" w:type="dxa"/>
                  </w:tcMar>
                  <w:vAlign w:val="center"/>
                </w:tcPr>
                <w:p w14:paraId="5FCF4B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《重点行业挥发性有机物综合治理方案》</w:t>
                  </w:r>
                </w:p>
              </w:tc>
              <w:tc>
                <w:tcPr>
                  <w:tcW w:w="2618" w:type="pct"/>
                  <w:tcBorders>
                    <w:tl2br w:val="nil"/>
                    <w:tr2bl w:val="nil"/>
                  </w:tcBorders>
                  <w:noWrap w:val="0"/>
                  <w:tcMar>
                    <w:left w:w="28" w:type="dxa"/>
                    <w:right w:w="28" w:type="dxa"/>
                  </w:tcMar>
                  <w:vAlign w:val="center"/>
                </w:tcPr>
                <w:p w14:paraId="361B15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tc>
              <w:tc>
                <w:tcPr>
                  <w:tcW w:w="1362" w:type="pct"/>
                  <w:tcBorders>
                    <w:tl2br w:val="nil"/>
                    <w:tr2bl w:val="nil"/>
                  </w:tcBorders>
                  <w:noWrap w:val="0"/>
                  <w:tcMar>
                    <w:left w:w="28" w:type="dxa"/>
                    <w:right w:w="28" w:type="dxa"/>
                  </w:tcMar>
                  <w:vAlign w:val="center"/>
                </w:tcPr>
                <w:p w14:paraId="3DFE2F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项目对产生VOCs工序设收集装置，项目使用的NMP经回收装置处理后引至楼顶排放，少量注液废气经收集至厂外排放，以减少VOCs无组织排放</w:t>
                  </w:r>
                </w:p>
              </w:tc>
              <w:tc>
                <w:tcPr>
                  <w:tcW w:w="364" w:type="pct"/>
                  <w:tcBorders>
                    <w:tl2br w:val="nil"/>
                    <w:tr2bl w:val="nil"/>
                  </w:tcBorders>
                  <w:noWrap w:val="0"/>
                  <w:tcMar>
                    <w:left w:w="28" w:type="dxa"/>
                    <w:right w:w="28" w:type="dxa"/>
                  </w:tcMar>
                  <w:vAlign w:val="center"/>
                </w:tcPr>
                <w:p w14:paraId="1ACE45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符合</w:t>
                  </w:r>
                </w:p>
              </w:tc>
            </w:tr>
            <w:tr w14:paraId="12D16773">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3" w:type="pct"/>
                  <w:vMerge w:val="continue"/>
                  <w:tcBorders>
                    <w:tl2br w:val="nil"/>
                    <w:tr2bl w:val="nil"/>
                  </w:tcBorders>
                  <w:noWrap w:val="0"/>
                  <w:tcMar>
                    <w:left w:w="28" w:type="dxa"/>
                    <w:right w:w="28" w:type="dxa"/>
                  </w:tcMar>
                  <w:vAlign w:val="center"/>
                </w:tcPr>
                <w:p w14:paraId="6AF87B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p>
              </w:tc>
              <w:tc>
                <w:tcPr>
                  <w:tcW w:w="2618" w:type="pct"/>
                  <w:tcBorders>
                    <w:tl2br w:val="nil"/>
                    <w:tr2bl w:val="nil"/>
                  </w:tcBorders>
                  <w:noWrap w:val="0"/>
                  <w:tcMar>
                    <w:left w:w="28" w:type="dxa"/>
                    <w:right w:w="28" w:type="dxa"/>
                  </w:tcMar>
                  <w:vAlign w:val="center"/>
                </w:tcPr>
                <w:p w14:paraId="2834DC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加强设备与场所密闭管理。含VOCs物料应储存于密闭容器、包装袋，高效密封储罐，封闭式储库、料仓等。含VOCs物料转移和输送，应采用密闭管道或密闭容器、罐车等。高VOCs含量废水（废水液面上方100毫米处VOCs检测浓度超过100 ppm，其中，重点区域超过100ppm，以碳计）的集输、储存和处理过程，应加盖密闭。含VOCs物料生产和使用过程，应采取有效收集措施或在密闭空间中操作。</w:t>
                  </w:r>
                </w:p>
              </w:tc>
              <w:tc>
                <w:tcPr>
                  <w:tcW w:w="1362" w:type="pct"/>
                  <w:tcBorders>
                    <w:tl2br w:val="nil"/>
                    <w:tr2bl w:val="nil"/>
                  </w:tcBorders>
                  <w:noWrap w:val="0"/>
                  <w:tcMar>
                    <w:left w:w="28" w:type="dxa"/>
                    <w:right w:w="28" w:type="dxa"/>
                  </w:tcMar>
                  <w:vAlign w:val="center"/>
                </w:tcPr>
                <w:p w14:paraId="5DB7FA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含VOCs物料储存于密闭高效密封储罐。含VOCs物料转移和输送，采用密闭管道。本工程无高VOC含量废水；NMP、电解液等在使用过程均在密闭空间内。</w:t>
                  </w:r>
                </w:p>
              </w:tc>
              <w:tc>
                <w:tcPr>
                  <w:tcW w:w="364" w:type="pct"/>
                  <w:tcBorders>
                    <w:tl2br w:val="nil"/>
                    <w:tr2bl w:val="nil"/>
                  </w:tcBorders>
                  <w:noWrap w:val="0"/>
                  <w:tcMar>
                    <w:left w:w="28" w:type="dxa"/>
                    <w:right w:w="28" w:type="dxa"/>
                  </w:tcMar>
                  <w:vAlign w:val="center"/>
                </w:tcPr>
                <w:p w14:paraId="2F686E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符合</w:t>
                  </w:r>
                </w:p>
              </w:tc>
            </w:tr>
            <w:tr w14:paraId="0884FD08">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3" w:type="pct"/>
                  <w:vMerge w:val="continue"/>
                  <w:tcBorders>
                    <w:tl2br w:val="nil"/>
                    <w:tr2bl w:val="nil"/>
                  </w:tcBorders>
                  <w:noWrap w:val="0"/>
                  <w:tcMar>
                    <w:left w:w="28" w:type="dxa"/>
                    <w:right w:w="28" w:type="dxa"/>
                  </w:tcMar>
                  <w:vAlign w:val="center"/>
                </w:tcPr>
                <w:p w14:paraId="634F67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p>
              </w:tc>
              <w:tc>
                <w:tcPr>
                  <w:tcW w:w="2618" w:type="pct"/>
                  <w:tcBorders>
                    <w:tl2br w:val="nil"/>
                    <w:tr2bl w:val="nil"/>
                  </w:tcBorders>
                  <w:noWrap w:val="0"/>
                  <w:tcMar>
                    <w:left w:w="28" w:type="dxa"/>
                    <w:right w:w="28" w:type="dxa"/>
                  </w:tcMar>
                  <w:vAlign w:val="center"/>
                </w:tcPr>
                <w:p w14:paraId="666BAF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提高废气收集率。遵循“应收尽收、分质收集”的原则，科学设计废气收集系统，将无组织排放转变为有组织排放进行控制。采用局部集气罩的，距集气罩开口面最远处的VOCs无组织排放位置，控制风速应不低于0.3米/秒，有行业要求的按相关规定执行。</w:t>
                  </w:r>
                </w:p>
              </w:tc>
              <w:tc>
                <w:tcPr>
                  <w:tcW w:w="1362" w:type="pct"/>
                  <w:tcBorders>
                    <w:tl2br w:val="nil"/>
                    <w:tr2bl w:val="nil"/>
                  </w:tcBorders>
                  <w:noWrap w:val="0"/>
                  <w:tcMar>
                    <w:left w:w="28" w:type="dxa"/>
                    <w:right w:w="28" w:type="dxa"/>
                  </w:tcMar>
                  <w:vAlign w:val="center"/>
                </w:tcPr>
                <w:p w14:paraId="2B9AD1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按照“应收尽收、分质收集”的原则对NMP、电解液等物料使用产生的废气进行集中收集处理</w:t>
                  </w:r>
                </w:p>
              </w:tc>
              <w:tc>
                <w:tcPr>
                  <w:tcW w:w="364" w:type="pct"/>
                  <w:tcBorders>
                    <w:tl2br w:val="nil"/>
                    <w:tr2bl w:val="nil"/>
                  </w:tcBorders>
                  <w:noWrap w:val="0"/>
                  <w:tcMar>
                    <w:left w:w="28" w:type="dxa"/>
                    <w:right w:w="28" w:type="dxa"/>
                  </w:tcMar>
                  <w:vAlign w:val="center"/>
                </w:tcPr>
                <w:p w14:paraId="1DF331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符合</w:t>
                  </w:r>
                </w:p>
              </w:tc>
            </w:tr>
            <w:tr w14:paraId="5390B3E7">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3" w:type="pct"/>
                  <w:vMerge w:val="continue"/>
                  <w:tcBorders>
                    <w:tl2br w:val="nil"/>
                    <w:tr2bl w:val="nil"/>
                  </w:tcBorders>
                  <w:noWrap w:val="0"/>
                  <w:tcMar>
                    <w:left w:w="28" w:type="dxa"/>
                    <w:right w:w="28" w:type="dxa"/>
                  </w:tcMar>
                  <w:vAlign w:val="center"/>
                </w:tcPr>
                <w:p w14:paraId="786D94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p>
              </w:tc>
              <w:tc>
                <w:tcPr>
                  <w:tcW w:w="2618" w:type="pct"/>
                  <w:tcBorders>
                    <w:tl2br w:val="nil"/>
                    <w:tr2bl w:val="nil"/>
                  </w:tcBorders>
                  <w:noWrap w:val="0"/>
                  <w:tcMar>
                    <w:left w:w="28" w:type="dxa"/>
                    <w:right w:w="28" w:type="dxa"/>
                  </w:tcMar>
                  <w:vAlign w:val="center"/>
                </w:tcPr>
                <w:p w14:paraId="774231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三）推进建设适宜高效的治污设施。</w:t>
                  </w:r>
                </w:p>
                <w:p w14:paraId="0FBE9A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采用吸附处理工艺的，应满足《吸附法工业有机废气治理工程技术规范》要求。</w:t>
                  </w:r>
                </w:p>
              </w:tc>
              <w:tc>
                <w:tcPr>
                  <w:tcW w:w="1362" w:type="pct"/>
                  <w:tcBorders>
                    <w:tl2br w:val="nil"/>
                    <w:tr2bl w:val="nil"/>
                  </w:tcBorders>
                  <w:noWrap w:val="0"/>
                  <w:tcMar>
                    <w:left w:w="28" w:type="dxa"/>
                    <w:right w:w="28" w:type="dxa"/>
                  </w:tcMar>
                  <w:vAlign w:val="center"/>
                </w:tcPr>
                <w:p w14:paraId="5924C4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本项目产生的高浓度NMP废气使用一套</w:t>
                  </w:r>
                  <w:r>
                    <w:rPr>
                      <w:rFonts w:hint="eastAsia" w:cs="Times New Roman"/>
                      <w:color w:val="auto"/>
                      <w:sz w:val="21"/>
                      <w:szCs w:val="21"/>
                      <w:highlight w:val="none"/>
                      <w:u w:val="none" w:color="auto"/>
                      <w:lang w:val="en-US" w:eastAsia="zh-CN"/>
                    </w:rPr>
                    <w:t>高效</w:t>
                  </w:r>
                  <w:r>
                    <w:rPr>
                      <w:rFonts w:hint="eastAsia" w:ascii="Times New Roman" w:hAnsi="Times New Roman" w:eastAsia="宋体" w:cs="Times New Roman"/>
                      <w:color w:val="auto"/>
                      <w:sz w:val="21"/>
                      <w:szCs w:val="21"/>
                      <w:highlight w:val="none"/>
                      <w:u w:val="none" w:color="auto"/>
                      <w:lang w:val="en-US" w:eastAsia="zh-CN"/>
                    </w:rPr>
                    <w:t>冷凝回收系统进行处理，注液阶段产生的注液少量废气引至厂外排放，污染防治措施适宜</w:t>
                  </w:r>
                </w:p>
              </w:tc>
              <w:tc>
                <w:tcPr>
                  <w:tcW w:w="364" w:type="pct"/>
                  <w:tcBorders>
                    <w:tl2br w:val="nil"/>
                    <w:tr2bl w:val="nil"/>
                  </w:tcBorders>
                  <w:noWrap w:val="0"/>
                  <w:tcMar>
                    <w:left w:w="28" w:type="dxa"/>
                    <w:right w:w="28" w:type="dxa"/>
                  </w:tcMar>
                  <w:vAlign w:val="center"/>
                </w:tcPr>
                <w:p w14:paraId="7BD9E7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符合</w:t>
                  </w:r>
                </w:p>
              </w:tc>
            </w:tr>
            <w:tr w14:paraId="7C060673">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3" w:type="pct"/>
                  <w:vMerge w:val="continue"/>
                  <w:tcBorders>
                    <w:tl2br w:val="nil"/>
                    <w:tr2bl w:val="nil"/>
                  </w:tcBorders>
                  <w:noWrap w:val="0"/>
                  <w:tcMar>
                    <w:left w:w="28" w:type="dxa"/>
                    <w:right w:w="28" w:type="dxa"/>
                  </w:tcMar>
                  <w:vAlign w:val="center"/>
                </w:tcPr>
                <w:p w14:paraId="4E1F98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p>
              </w:tc>
              <w:tc>
                <w:tcPr>
                  <w:tcW w:w="2618" w:type="pct"/>
                  <w:tcBorders>
                    <w:tl2br w:val="nil"/>
                    <w:tr2bl w:val="nil"/>
                  </w:tcBorders>
                  <w:noWrap w:val="0"/>
                  <w:tcMar>
                    <w:left w:w="28" w:type="dxa"/>
                    <w:right w:w="28" w:type="dxa"/>
                  </w:tcMar>
                  <w:vAlign w:val="center"/>
                </w:tcPr>
                <w:p w14:paraId="54CDFA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实行重点排放源排放浓度与去除效率双重控制。车间或生产设施收集排放的废气，VOCs初始排放速率大于等于3kg/h、重点区域大于等于2kg/h的，应加大控制力度，除确保排放浓度稳定达标外，还应实行去除效率控制，去除效率不低于80%。</w:t>
                  </w:r>
                </w:p>
              </w:tc>
              <w:tc>
                <w:tcPr>
                  <w:tcW w:w="1362" w:type="pct"/>
                  <w:tcBorders>
                    <w:tl2br w:val="nil"/>
                    <w:tr2bl w:val="nil"/>
                  </w:tcBorders>
                  <w:noWrap w:val="0"/>
                  <w:tcMar>
                    <w:left w:w="28" w:type="dxa"/>
                    <w:right w:w="28" w:type="dxa"/>
                  </w:tcMar>
                  <w:vAlign w:val="center"/>
                </w:tcPr>
                <w:p w14:paraId="26B59F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本项目产生的高浓度NMP废气使用一套冷凝回收系统进行处理，注液阶段产生的注液少量废气引至厂外排放，污染防治措施适宜</w:t>
                  </w:r>
                </w:p>
              </w:tc>
              <w:tc>
                <w:tcPr>
                  <w:tcW w:w="364" w:type="pct"/>
                  <w:tcBorders>
                    <w:tl2br w:val="nil"/>
                    <w:tr2bl w:val="nil"/>
                  </w:tcBorders>
                  <w:noWrap w:val="0"/>
                  <w:tcMar>
                    <w:left w:w="28" w:type="dxa"/>
                    <w:right w:w="28" w:type="dxa"/>
                  </w:tcMar>
                  <w:vAlign w:val="center"/>
                </w:tcPr>
                <w:p w14:paraId="15BD0E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符合</w:t>
                  </w:r>
                </w:p>
              </w:tc>
            </w:tr>
            <w:tr w14:paraId="0007BBEE">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3" w:type="pct"/>
                  <w:vMerge w:val="restart"/>
                  <w:tcBorders>
                    <w:tl2br w:val="nil"/>
                    <w:tr2bl w:val="nil"/>
                  </w:tcBorders>
                  <w:noWrap w:val="0"/>
                  <w:tcMar>
                    <w:left w:w="28" w:type="dxa"/>
                    <w:right w:w="28" w:type="dxa"/>
                  </w:tcMar>
                  <w:vAlign w:val="center"/>
                </w:tcPr>
                <w:p w14:paraId="559EBA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《挥发性有机物无组织排放控制标准》</w:t>
                  </w:r>
                </w:p>
              </w:tc>
              <w:tc>
                <w:tcPr>
                  <w:tcW w:w="2618" w:type="pct"/>
                  <w:tcBorders>
                    <w:tl2br w:val="nil"/>
                    <w:tr2bl w:val="nil"/>
                  </w:tcBorders>
                  <w:noWrap w:val="0"/>
                  <w:tcMar>
                    <w:left w:w="28" w:type="dxa"/>
                    <w:right w:w="28" w:type="dxa"/>
                  </w:tcMar>
                  <w:vAlign w:val="center"/>
                </w:tcPr>
                <w:p w14:paraId="05F9B4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VOCs 物料应储存于密闭的容器、包装袋、储罐、出库、料仓中；盛装VOCs物料储罐应密封良好</w:t>
                  </w:r>
                </w:p>
              </w:tc>
              <w:tc>
                <w:tcPr>
                  <w:tcW w:w="1362" w:type="pct"/>
                  <w:tcBorders>
                    <w:tl2br w:val="nil"/>
                    <w:tr2bl w:val="nil"/>
                  </w:tcBorders>
                  <w:noWrap w:val="0"/>
                  <w:tcMar>
                    <w:left w:w="28" w:type="dxa"/>
                    <w:right w:w="28" w:type="dxa"/>
                  </w:tcMar>
                  <w:vAlign w:val="center"/>
                </w:tcPr>
                <w:p w14:paraId="0A50D5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NMP、电解液等物料存放于密闭桶内</w:t>
                  </w:r>
                </w:p>
              </w:tc>
              <w:tc>
                <w:tcPr>
                  <w:tcW w:w="364" w:type="pct"/>
                  <w:tcBorders>
                    <w:tl2br w:val="nil"/>
                    <w:tr2bl w:val="nil"/>
                  </w:tcBorders>
                  <w:noWrap w:val="0"/>
                  <w:tcMar>
                    <w:left w:w="28" w:type="dxa"/>
                    <w:right w:w="28" w:type="dxa"/>
                  </w:tcMar>
                  <w:vAlign w:val="center"/>
                </w:tcPr>
                <w:p w14:paraId="023D43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符合</w:t>
                  </w:r>
                </w:p>
              </w:tc>
            </w:tr>
            <w:tr w14:paraId="01BC37BF">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3" w:type="pct"/>
                  <w:vMerge w:val="continue"/>
                  <w:tcBorders>
                    <w:tl2br w:val="nil"/>
                    <w:tr2bl w:val="nil"/>
                  </w:tcBorders>
                  <w:noWrap w:val="0"/>
                  <w:tcMar>
                    <w:left w:w="28" w:type="dxa"/>
                    <w:right w:w="28" w:type="dxa"/>
                  </w:tcMar>
                  <w:vAlign w:val="center"/>
                </w:tcPr>
                <w:p w14:paraId="1AA687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p>
              </w:tc>
              <w:tc>
                <w:tcPr>
                  <w:tcW w:w="2618" w:type="pct"/>
                  <w:tcBorders>
                    <w:tl2br w:val="nil"/>
                    <w:tr2bl w:val="nil"/>
                  </w:tcBorders>
                  <w:noWrap w:val="0"/>
                  <w:tcMar>
                    <w:left w:w="28" w:type="dxa"/>
                    <w:right w:w="28" w:type="dxa"/>
                  </w:tcMar>
                  <w:vAlign w:val="center"/>
                </w:tcPr>
                <w:p w14:paraId="51DFC8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挥发性有机液体应采用底部装载方式</w:t>
                  </w:r>
                </w:p>
              </w:tc>
              <w:tc>
                <w:tcPr>
                  <w:tcW w:w="1362" w:type="pct"/>
                  <w:tcBorders>
                    <w:tl2br w:val="nil"/>
                    <w:tr2bl w:val="nil"/>
                  </w:tcBorders>
                  <w:noWrap w:val="0"/>
                  <w:tcMar>
                    <w:left w:w="28" w:type="dxa"/>
                    <w:right w:w="28" w:type="dxa"/>
                  </w:tcMar>
                  <w:vAlign w:val="center"/>
                </w:tcPr>
                <w:p w14:paraId="1ECB9E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NMP物料采用底部装载方式</w:t>
                  </w:r>
                </w:p>
              </w:tc>
              <w:tc>
                <w:tcPr>
                  <w:tcW w:w="364" w:type="pct"/>
                  <w:tcBorders>
                    <w:tl2br w:val="nil"/>
                    <w:tr2bl w:val="nil"/>
                  </w:tcBorders>
                  <w:noWrap w:val="0"/>
                  <w:tcMar>
                    <w:left w:w="28" w:type="dxa"/>
                    <w:right w:w="28" w:type="dxa"/>
                  </w:tcMar>
                  <w:vAlign w:val="center"/>
                </w:tcPr>
                <w:p w14:paraId="26A0F8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符合</w:t>
                  </w:r>
                </w:p>
              </w:tc>
            </w:tr>
            <w:tr w14:paraId="45359481">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3" w:type="pct"/>
                  <w:vMerge w:val="continue"/>
                  <w:tcBorders>
                    <w:tl2br w:val="nil"/>
                    <w:tr2bl w:val="nil"/>
                  </w:tcBorders>
                  <w:noWrap w:val="0"/>
                  <w:tcMar>
                    <w:left w:w="28" w:type="dxa"/>
                    <w:right w:w="28" w:type="dxa"/>
                  </w:tcMar>
                  <w:vAlign w:val="center"/>
                </w:tcPr>
                <w:p w14:paraId="65404E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p>
              </w:tc>
              <w:tc>
                <w:tcPr>
                  <w:tcW w:w="2618" w:type="pct"/>
                  <w:tcBorders>
                    <w:tl2br w:val="nil"/>
                    <w:tr2bl w:val="nil"/>
                  </w:tcBorders>
                  <w:noWrap w:val="0"/>
                  <w:tcMar>
                    <w:left w:w="28" w:type="dxa"/>
                    <w:right w:w="28" w:type="dxa"/>
                  </w:tcMar>
                  <w:vAlign w:val="center"/>
                </w:tcPr>
                <w:p w14:paraId="050461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液态VOCs 物料应采用密闭管道输送方式或采用高位槽（罐）、桶泵等给料方式密闭加料</w:t>
                  </w:r>
                </w:p>
              </w:tc>
              <w:tc>
                <w:tcPr>
                  <w:tcW w:w="1362" w:type="pct"/>
                  <w:tcBorders>
                    <w:tl2br w:val="nil"/>
                    <w:tr2bl w:val="nil"/>
                  </w:tcBorders>
                  <w:noWrap w:val="0"/>
                  <w:tcMar>
                    <w:left w:w="28" w:type="dxa"/>
                    <w:right w:w="28" w:type="dxa"/>
                  </w:tcMar>
                  <w:vAlign w:val="center"/>
                </w:tcPr>
                <w:p w14:paraId="572A3B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项目采用密闭管道输送物料，用泵将物料打入计量罐，计量后进入搅拌罐</w:t>
                  </w:r>
                </w:p>
              </w:tc>
              <w:tc>
                <w:tcPr>
                  <w:tcW w:w="364" w:type="pct"/>
                  <w:tcBorders>
                    <w:tl2br w:val="nil"/>
                    <w:tr2bl w:val="nil"/>
                  </w:tcBorders>
                  <w:noWrap w:val="0"/>
                  <w:tcMar>
                    <w:left w:w="28" w:type="dxa"/>
                    <w:right w:w="28" w:type="dxa"/>
                  </w:tcMar>
                  <w:vAlign w:val="center"/>
                </w:tcPr>
                <w:p w14:paraId="6C0796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符合</w:t>
                  </w:r>
                </w:p>
              </w:tc>
            </w:tr>
            <w:tr w14:paraId="03DBCE9A">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53" w:type="pct"/>
                  <w:vMerge w:val="continue"/>
                  <w:tcBorders>
                    <w:tl2br w:val="nil"/>
                    <w:tr2bl w:val="nil"/>
                  </w:tcBorders>
                  <w:noWrap w:val="0"/>
                  <w:tcMar>
                    <w:left w:w="28" w:type="dxa"/>
                    <w:right w:w="28" w:type="dxa"/>
                  </w:tcMar>
                  <w:vAlign w:val="center"/>
                </w:tcPr>
                <w:p w14:paraId="557279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p>
              </w:tc>
              <w:tc>
                <w:tcPr>
                  <w:tcW w:w="2618" w:type="pct"/>
                  <w:tcBorders>
                    <w:tl2br w:val="nil"/>
                    <w:tr2bl w:val="nil"/>
                  </w:tcBorders>
                  <w:noWrap w:val="0"/>
                  <w:tcMar>
                    <w:left w:w="28" w:type="dxa"/>
                    <w:right w:w="28" w:type="dxa"/>
                  </w:tcMar>
                  <w:vAlign w:val="center"/>
                </w:tcPr>
                <w:p w14:paraId="71A0F2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生产：有机聚合物产品用于制品生产的过程中，在混合/混炼、加工成型（挤出、注射、压制、压延、发泡、纺丝等）等作业中应采用密闭设备或在密闭空间内操作，废气应排至VOCs废气收集处理系统；无法密闭的，应采取局部气体收集措施，废气应排至VOCs废气收集处理系统。</w:t>
                  </w:r>
                </w:p>
              </w:tc>
              <w:tc>
                <w:tcPr>
                  <w:tcW w:w="1362" w:type="pct"/>
                  <w:tcBorders>
                    <w:tl2br w:val="nil"/>
                    <w:tr2bl w:val="nil"/>
                  </w:tcBorders>
                  <w:noWrap w:val="0"/>
                  <w:tcMar>
                    <w:left w:w="28" w:type="dxa"/>
                    <w:right w:w="28" w:type="dxa"/>
                  </w:tcMar>
                  <w:vAlign w:val="center"/>
                </w:tcPr>
                <w:p w14:paraId="7D24C1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本评价要求项目在密闭空间操作，废气应排至收集处理系统</w:t>
                  </w:r>
                </w:p>
              </w:tc>
              <w:tc>
                <w:tcPr>
                  <w:tcW w:w="364" w:type="pct"/>
                  <w:tcBorders>
                    <w:tl2br w:val="nil"/>
                    <w:tr2bl w:val="nil"/>
                  </w:tcBorders>
                  <w:noWrap w:val="0"/>
                  <w:tcMar>
                    <w:left w:w="28" w:type="dxa"/>
                    <w:right w:w="28" w:type="dxa"/>
                  </w:tcMar>
                  <w:vAlign w:val="center"/>
                </w:tcPr>
                <w:p w14:paraId="338789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符合</w:t>
                  </w:r>
                </w:p>
              </w:tc>
            </w:tr>
            <w:tr w14:paraId="18B3DDA6">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3" w:type="pct"/>
                  <w:vMerge w:val="continue"/>
                  <w:tcBorders>
                    <w:tl2br w:val="nil"/>
                    <w:tr2bl w:val="nil"/>
                  </w:tcBorders>
                  <w:noWrap w:val="0"/>
                  <w:tcMar>
                    <w:left w:w="28" w:type="dxa"/>
                    <w:right w:w="28" w:type="dxa"/>
                  </w:tcMar>
                  <w:vAlign w:val="center"/>
                </w:tcPr>
                <w:p w14:paraId="25FB22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p>
              </w:tc>
              <w:tc>
                <w:tcPr>
                  <w:tcW w:w="2618" w:type="pct"/>
                  <w:tcBorders>
                    <w:tl2br w:val="nil"/>
                    <w:tr2bl w:val="nil"/>
                  </w:tcBorders>
                  <w:noWrap w:val="0"/>
                  <w:tcMar>
                    <w:left w:w="28" w:type="dxa"/>
                    <w:right w:w="28" w:type="dxa"/>
                  </w:tcMar>
                  <w:vAlign w:val="center"/>
                </w:tcPr>
                <w:p w14:paraId="74683F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企业应建立台账，记录含VOCs原辅材料和含VOCs产品的名称、使用量、回收量、废弃量、去向以及VOCs含量等信息。台账保存期限不少于3年。</w:t>
                  </w:r>
                </w:p>
              </w:tc>
              <w:tc>
                <w:tcPr>
                  <w:tcW w:w="1362" w:type="pct"/>
                  <w:tcBorders>
                    <w:tl2br w:val="nil"/>
                    <w:tr2bl w:val="nil"/>
                  </w:tcBorders>
                  <w:noWrap w:val="0"/>
                  <w:tcMar>
                    <w:left w:w="28" w:type="dxa"/>
                    <w:right w:w="28" w:type="dxa"/>
                  </w:tcMar>
                  <w:vAlign w:val="center"/>
                </w:tcPr>
                <w:p w14:paraId="302EFD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本次要求项目运行期间建立有机废气管理台账，保存时间不少于3年</w:t>
                  </w:r>
                </w:p>
              </w:tc>
              <w:tc>
                <w:tcPr>
                  <w:tcW w:w="364" w:type="pct"/>
                  <w:tcBorders>
                    <w:tl2br w:val="nil"/>
                    <w:tr2bl w:val="nil"/>
                  </w:tcBorders>
                  <w:noWrap w:val="0"/>
                  <w:tcMar>
                    <w:left w:w="28" w:type="dxa"/>
                    <w:right w:w="28" w:type="dxa"/>
                  </w:tcMar>
                  <w:vAlign w:val="center"/>
                </w:tcPr>
                <w:p w14:paraId="56C494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符合</w:t>
                  </w:r>
                </w:p>
              </w:tc>
            </w:tr>
          </w:tbl>
          <w:p w14:paraId="086B064C">
            <w:pPr>
              <w:bidi w:val="0"/>
              <w:rPr>
                <w:rFonts w:hint="eastAsia"/>
                <w:color w:val="auto"/>
                <w:u w:val="none" w:color="auto"/>
              </w:rPr>
            </w:pPr>
            <w:r>
              <w:rPr>
                <w:rFonts w:hint="eastAsia"/>
                <w:color w:val="auto"/>
                <w:u w:val="none" w:color="auto"/>
              </w:rPr>
              <w:t>2、与《锂离子电池行业规范条件（2021年本）》的符合性分析</w:t>
            </w:r>
          </w:p>
          <w:p w14:paraId="434FB2AB">
            <w:pPr>
              <w:spacing w:line="240" w:lineRule="auto"/>
              <w:ind w:firstLine="422"/>
              <w:jc w:val="center"/>
              <w:rPr>
                <w:rFonts w:hint="eastAsia"/>
                <w:b/>
                <w:bCs/>
                <w:color w:val="auto"/>
                <w:sz w:val="21"/>
                <w:szCs w:val="21"/>
                <w:u w:val="none" w:color="auto"/>
              </w:rPr>
            </w:pPr>
            <w:r>
              <w:rPr>
                <w:b/>
                <w:bCs/>
                <w:color w:val="auto"/>
                <w:sz w:val="21"/>
                <w:szCs w:val="21"/>
                <w:u w:val="none" w:color="auto"/>
              </w:rPr>
              <w:t>表1-</w:t>
            </w:r>
            <w:r>
              <w:rPr>
                <w:rFonts w:hint="eastAsia"/>
                <w:b/>
                <w:bCs/>
                <w:color w:val="auto"/>
                <w:sz w:val="21"/>
                <w:szCs w:val="21"/>
                <w:u w:val="none" w:color="auto"/>
                <w:lang w:val="en-US" w:eastAsia="zh-CN"/>
              </w:rPr>
              <w:t>4</w:t>
            </w:r>
            <w:r>
              <w:rPr>
                <w:b/>
                <w:bCs/>
                <w:color w:val="auto"/>
                <w:sz w:val="21"/>
                <w:szCs w:val="21"/>
                <w:u w:val="none" w:color="auto"/>
              </w:rPr>
              <w:t>与</w:t>
            </w:r>
            <w:r>
              <w:rPr>
                <w:rFonts w:hint="eastAsia"/>
                <w:b/>
                <w:bCs/>
                <w:color w:val="auto"/>
                <w:sz w:val="21"/>
                <w:szCs w:val="21"/>
                <w:u w:val="none" w:color="auto"/>
              </w:rPr>
              <w:t>锂离子电池行业规范条件</w:t>
            </w:r>
            <w:r>
              <w:rPr>
                <w:b/>
                <w:bCs/>
                <w:color w:val="auto"/>
                <w:sz w:val="21"/>
                <w:szCs w:val="21"/>
                <w:u w:val="none" w:color="auto"/>
              </w:rPr>
              <w:t>符合性分析</w:t>
            </w:r>
          </w:p>
          <w:tbl>
            <w:tblPr>
              <w:tblStyle w:val="28"/>
              <w:tblW w:w="8174" w:type="dxa"/>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04"/>
              <w:gridCol w:w="785"/>
              <w:gridCol w:w="4026"/>
              <w:gridCol w:w="2110"/>
              <w:gridCol w:w="749"/>
            </w:tblGrid>
            <w:tr w14:paraId="01150D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08" w:type="pct"/>
                  <w:noWrap w:val="0"/>
                  <w:vAlign w:val="center"/>
                </w:tcPr>
                <w:p w14:paraId="6660EDB2">
                  <w:pPr>
                    <w:spacing w:line="240" w:lineRule="auto"/>
                    <w:ind w:firstLine="0" w:firstLineChars="0"/>
                    <w:jc w:val="center"/>
                    <w:rPr>
                      <w:color w:val="auto"/>
                      <w:sz w:val="21"/>
                      <w:szCs w:val="21"/>
                      <w:u w:val="none" w:color="auto"/>
                    </w:rPr>
                  </w:pPr>
                  <w:r>
                    <w:rPr>
                      <w:color w:val="auto"/>
                      <w:sz w:val="21"/>
                      <w:szCs w:val="21"/>
                      <w:u w:val="none" w:color="auto"/>
                    </w:rPr>
                    <w:t>序号</w:t>
                  </w:r>
                </w:p>
              </w:tc>
              <w:tc>
                <w:tcPr>
                  <w:tcW w:w="480" w:type="pct"/>
                  <w:noWrap w:val="0"/>
                  <w:vAlign w:val="center"/>
                </w:tcPr>
                <w:p w14:paraId="1BD62317">
                  <w:pPr>
                    <w:spacing w:line="240" w:lineRule="auto"/>
                    <w:ind w:firstLine="0" w:firstLineChars="0"/>
                    <w:jc w:val="center"/>
                    <w:rPr>
                      <w:rFonts w:hint="eastAsia"/>
                      <w:color w:val="auto"/>
                      <w:sz w:val="21"/>
                      <w:szCs w:val="21"/>
                      <w:u w:val="none" w:color="auto"/>
                    </w:rPr>
                  </w:pPr>
                  <w:r>
                    <w:rPr>
                      <w:color w:val="auto"/>
                      <w:sz w:val="21"/>
                      <w:szCs w:val="21"/>
                      <w:u w:val="none" w:color="auto"/>
                    </w:rPr>
                    <w:t>规划</w:t>
                  </w:r>
                  <w:r>
                    <w:rPr>
                      <w:rFonts w:hint="eastAsia"/>
                      <w:color w:val="auto"/>
                      <w:sz w:val="21"/>
                      <w:szCs w:val="21"/>
                      <w:u w:val="none" w:color="auto"/>
                    </w:rPr>
                    <w:t>内容</w:t>
                  </w:r>
                </w:p>
              </w:tc>
              <w:tc>
                <w:tcPr>
                  <w:tcW w:w="2461" w:type="pct"/>
                  <w:noWrap w:val="0"/>
                  <w:vAlign w:val="center"/>
                </w:tcPr>
                <w:p w14:paraId="0F1C235F">
                  <w:pPr>
                    <w:spacing w:line="240" w:lineRule="auto"/>
                    <w:ind w:firstLine="0" w:firstLineChars="0"/>
                    <w:jc w:val="center"/>
                    <w:rPr>
                      <w:color w:val="auto"/>
                      <w:sz w:val="21"/>
                      <w:szCs w:val="21"/>
                      <w:u w:val="none" w:color="auto"/>
                    </w:rPr>
                  </w:pPr>
                  <w:r>
                    <w:rPr>
                      <w:color w:val="auto"/>
                      <w:sz w:val="21"/>
                      <w:szCs w:val="21"/>
                      <w:u w:val="none" w:color="auto"/>
                    </w:rPr>
                    <w:t>相关要求</w:t>
                  </w:r>
                </w:p>
              </w:tc>
              <w:tc>
                <w:tcPr>
                  <w:tcW w:w="1290" w:type="pct"/>
                  <w:noWrap w:val="0"/>
                  <w:vAlign w:val="center"/>
                </w:tcPr>
                <w:p w14:paraId="43A079E9">
                  <w:pPr>
                    <w:spacing w:line="240" w:lineRule="auto"/>
                    <w:ind w:firstLine="0" w:firstLineChars="0"/>
                    <w:jc w:val="center"/>
                    <w:rPr>
                      <w:color w:val="auto"/>
                      <w:sz w:val="21"/>
                      <w:szCs w:val="21"/>
                      <w:u w:val="none" w:color="auto"/>
                    </w:rPr>
                  </w:pPr>
                  <w:r>
                    <w:rPr>
                      <w:color w:val="auto"/>
                      <w:sz w:val="21"/>
                      <w:szCs w:val="21"/>
                      <w:u w:val="none" w:color="auto"/>
                    </w:rPr>
                    <w:t>本项目情况</w:t>
                  </w:r>
                </w:p>
              </w:tc>
              <w:tc>
                <w:tcPr>
                  <w:tcW w:w="458" w:type="pct"/>
                  <w:noWrap w:val="0"/>
                  <w:vAlign w:val="center"/>
                </w:tcPr>
                <w:p w14:paraId="671B35DC">
                  <w:pPr>
                    <w:spacing w:line="240" w:lineRule="auto"/>
                    <w:ind w:firstLine="0" w:firstLineChars="0"/>
                    <w:jc w:val="center"/>
                    <w:rPr>
                      <w:color w:val="auto"/>
                      <w:sz w:val="21"/>
                      <w:szCs w:val="21"/>
                      <w:u w:val="none" w:color="auto"/>
                    </w:rPr>
                  </w:pPr>
                  <w:r>
                    <w:rPr>
                      <w:color w:val="auto"/>
                      <w:sz w:val="21"/>
                      <w:szCs w:val="21"/>
                      <w:u w:val="none" w:color="auto"/>
                    </w:rPr>
                    <w:t>符合性</w:t>
                  </w:r>
                </w:p>
              </w:tc>
            </w:tr>
            <w:tr w14:paraId="3E700D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3" w:hRule="atLeast"/>
              </w:trPr>
              <w:tc>
                <w:tcPr>
                  <w:tcW w:w="308" w:type="pct"/>
                  <w:vMerge w:val="restart"/>
                  <w:noWrap w:val="0"/>
                  <w:vAlign w:val="center"/>
                </w:tcPr>
                <w:p w14:paraId="1BA80486">
                  <w:pPr>
                    <w:spacing w:line="240" w:lineRule="auto"/>
                    <w:ind w:firstLine="0" w:firstLineChars="0"/>
                    <w:jc w:val="center"/>
                    <w:rPr>
                      <w:color w:val="auto"/>
                      <w:sz w:val="21"/>
                      <w:szCs w:val="21"/>
                      <w:u w:val="none" w:color="auto"/>
                    </w:rPr>
                  </w:pPr>
                  <w:r>
                    <w:rPr>
                      <w:color w:val="auto"/>
                      <w:sz w:val="21"/>
                      <w:szCs w:val="21"/>
                      <w:u w:val="none" w:color="auto"/>
                    </w:rPr>
                    <w:t>1</w:t>
                  </w:r>
                </w:p>
              </w:tc>
              <w:tc>
                <w:tcPr>
                  <w:tcW w:w="480" w:type="pct"/>
                  <w:vMerge w:val="restart"/>
                  <w:noWrap w:val="0"/>
                  <w:vAlign w:val="center"/>
                </w:tcPr>
                <w:p w14:paraId="201C9F21">
                  <w:pPr>
                    <w:spacing w:line="240" w:lineRule="auto"/>
                    <w:ind w:firstLine="0" w:firstLineChars="0"/>
                    <w:jc w:val="center"/>
                    <w:rPr>
                      <w:color w:val="auto"/>
                      <w:sz w:val="21"/>
                      <w:szCs w:val="21"/>
                      <w:u w:val="none" w:color="auto"/>
                    </w:rPr>
                  </w:pPr>
                  <w:r>
                    <w:rPr>
                      <w:color w:val="auto"/>
                      <w:sz w:val="21"/>
                      <w:szCs w:val="21"/>
                      <w:u w:val="none" w:color="auto"/>
                    </w:rPr>
                    <w:t>产业布局和项目设立</w:t>
                  </w:r>
                </w:p>
              </w:tc>
              <w:tc>
                <w:tcPr>
                  <w:tcW w:w="2461" w:type="pct"/>
                  <w:tcBorders>
                    <w:bottom w:val="single" w:color="auto" w:sz="4" w:space="0"/>
                  </w:tcBorders>
                  <w:noWrap w:val="0"/>
                  <w:vAlign w:val="center"/>
                </w:tcPr>
                <w:p w14:paraId="46F6020E">
                  <w:pPr>
                    <w:spacing w:line="240" w:lineRule="auto"/>
                    <w:ind w:firstLine="0" w:firstLineChars="0"/>
                    <w:jc w:val="center"/>
                    <w:rPr>
                      <w:color w:val="auto"/>
                      <w:sz w:val="21"/>
                      <w:szCs w:val="21"/>
                      <w:u w:val="none" w:color="auto"/>
                    </w:rPr>
                  </w:pPr>
                  <w:r>
                    <w:rPr>
                      <w:color w:val="auto"/>
                      <w:sz w:val="21"/>
                      <w:szCs w:val="21"/>
                      <w:u w:val="none" w:color="auto"/>
                    </w:rPr>
                    <w:t>（一）锂离子电池企业及项目应符合国家资源开发利用、生态环境保护、节能管理、安全生产等法律法规要求，符合国家产业政策和相关产业规划及布局要求，符合当地国土空间规划和生态环境保护专项规划等要求，满足‘三线一单’生态环境分区管控要求。</w:t>
                  </w:r>
                </w:p>
              </w:tc>
              <w:tc>
                <w:tcPr>
                  <w:tcW w:w="1290" w:type="pct"/>
                  <w:tcBorders>
                    <w:bottom w:val="single" w:color="auto" w:sz="4" w:space="0"/>
                  </w:tcBorders>
                  <w:noWrap w:val="0"/>
                  <w:vAlign w:val="center"/>
                </w:tcPr>
                <w:p w14:paraId="361B1C1F">
                  <w:pPr>
                    <w:spacing w:line="240" w:lineRule="auto"/>
                    <w:ind w:firstLine="0" w:firstLineChars="0"/>
                    <w:jc w:val="center"/>
                    <w:rPr>
                      <w:color w:val="auto"/>
                      <w:sz w:val="21"/>
                      <w:szCs w:val="21"/>
                      <w:u w:val="none" w:color="auto"/>
                    </w:rPr>
                  </w:pPr>
                  <w:r>
                    <w:rPr>
                      <w:color w:val="auto"/>
                      <w:sz w:val="21"/>
                      <w:szCs w:val="21"/>
                      <w:u w:val="none" w:color="auto"/>
                    </w:rPr>
                    <w:t>本项目符合法律法规要求</w:t>
                  </w:r>
                  <w:r>
                    <w:rPr>
                      <w:rFonts w:hint="eastAsia"/>
                      <w:color w:val="auto"/>
                      <w:sz w:val="21"/>
                      <w:szCs w:val="21"/>
                      <w:u w:val="none" w:color="auto"/>
                    </w:rPr>
                    <w:t>，符合</w:t>
                  </w:r>
                  <w:r>
                    <w:rPr>
                      <w:color w:val="auto"/>
                      <w:sz w:val="21"/>
                      <w:szCs w:val="21"/>
                      <w:u w:val="none" w:color="auto"/>
                    </w:rPr>
                    <w:t>国家产业政策和相关产业规划及布局要求，符合当地国土空间规划和生态环境保护专项规划等要求，满足‘三线一单’生态环境分区管控要求</w:t>
                  </w:r>
                </w:p>
              </w:tc>
              <w:tc>
                <w:tcPr>
                  <w:tcW w:w="458" w:type="pct"/>
                  <w:tcBorders>
                    <w:bottom w:val="single" w:color="auto" w:sz="4" w:space="0"/>
                  </w:tcBorders>
                  <w:noWrap w:val="0"/>
                  <w:vAlign w:val="center"/>
                </w:tcPr>
                <w:p w14:paraId="54C4A131">
                  <w:pPr>
                    <w:spacing w:line="240" w:lineRule="auto"/>
                    <w:ind w:firstLine="0" w:firstLineChars="0"/>
                    <w:jc w:val="center"/>
                    <w:rPr>
                      <w:color w:val="auto"/>
                      <w:sz w:val="21"/>
                      <w:szCs w:val="21"/>
                      <w:u w:val="none" w:color="auto"/>
                    </w:rPr>
                  </w:pPr>
                  <w:r>
                    <w:rPr>
                      <w:color w:val="auto"/>
                      <w:sz w:val="21"/>
                      <w:szCs w:val="21"/>
                      <w:u w:val="none" w:color="auto"/>
                    </w:rPr>
                    <w:t>符合</w:t>
                  </w:r>
                </w:p>
              </w:tc>
            </w:tr>
            <w:tr w14:paraId="5F42C8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90" w:hRule="atLeast"/>
              </w:trPr>
              <w:tc>
                <w:tcPr>
                  <w:tcW w:w="308" w:type="pct"/>
                  <w:vMerge w:val="continue"/>
                  <w:noWrap w:val="0"/>
                  <w:vAlign w:val="center"/>
                </w:tcPr>
                <w:p w14:paraId="31970C02">
                  <w:pPr>
                    <w:spacing w:line="240" w:lineRule="auto"/>
                    <w:ind w:firstLine="0" w:firstLineChars="0"/>
                    <w:jc w:val="center"/>
                    <w:rPr>
                      <w:color w:val="auto"/>
                      <w:sz w:val="21"/>
                      <w:szCs w:val="21"/>
                      <w:u w:val="none" w:color="auto"/>
                    </w:rPr>
                  </w:pPr>
                </w:p>
              </w:tc>
              <w:tc>
                <w:tcPr>
                  <w:tcW w:w="480" w:type="pct"/>
                  <w:vMerge w:val="continue"/>
                  <w:noWrap w:val="0"/>
                  <w:vAlign w:val="center"/>
                </w:tcPr>
                <w:p w14:paraId="1F9EA7ED">
                  <w:pPr>
                    <w:spacing w:line="240" w:lineRule="auto"/>
                    <w:ind w:firstLine="0" w:firstLineChars="0"/>
                    <w:jc w:val="center"/>
                    <w:rPr>
                      <w:color w:val="auto"/>
                      <w:sz w:val="21"/>
                      <w:szCs w:val="21"/>
                      <w:u w:val="none" w:color="auto"/>
                    </w:rPr>
                  </w:pPr>
                </w:p>
              </w:tc>
              <w:tc>
                <w:tcPr>
                  <w:tcW w:w="2461" w:type="pct"/>
                  <w:tcBorders>
                    <w:top w:val="single" w:color="auto" w:sz="4" w:space="0"/>
                    <w:bottom w:val="single" w:color="000000" w:sz="6" w:space="0"/>
                  </w:tcBorders>
                  <w:noWrap w:val="0"/>
                  <w:vAlign w:val="center"/>
                </w:tcPr>
                <w:p w14:paraId="355FEB51">
                  <w:pPr>
                    <w:spacing w:line="240" w:lineRule="auto"/>
                    <w:ind w:firstLine="0" w:firstLineChars="0"/>
                    <w:jc w:val="center"/>
                    <w:rPr>
                      <w:color w:val="auto"/>
                      <w:sz w:val="21"/>
                      <w:szCs w:val="21"/>
                      <w:u w:val="none" w:color="auto"/>
                    </w:rPr>
                  </w:pPr>
                  <w:r>
                    <w:rPr>
                      <w:color w:val="auto"/>
                      <w:sz w:val="21"/>
                      <w:szCs w:val="21"/>
                      <w:u w:val="none" w:color="auto"/>
                    </w:rPr>
                    <w:t>（二）在规划确定的永久基本农田、生态保护红线，以及国家法律法规、规章规定禁止建设工业企业的区域不得建设锂离子电池及配套项目。上述区域内的现有企业应按照法律法规要求拆除关闭，或严格控制规模、逐步迁出。</w:t>
                  </w:r>
                </w:p>
              </w:tc>
              <w:tc>
                <w:tcPr>
                  <w:tcW w:w="1290" w:type="pct"/>
                  <w:tcBorders>
                    <w:top w:val="single" w:color="auto" w:sz="4" w:space="0"/>
                    <w:bottom w:val="single" w:color="000000" w:sz="6" w:space="0"/>
                  </w:tcBorders>
                  <w:noWrap w:val="0"/>
                  <w:vAlign w:val="center"/>
                </w:tcPr>
                <w:p w14:paraId="7682298D">
                  <w:pPr>
                    <w:spacing w:line="240" w:lineRule="auto"/>
                    <w:ind w:firstLine="0" w:firstLineChars="0"/>
                    <w:jc w:val="center"/>
                    <w:rPr>
                      <w:color w:val="auto"/>
                      <w:sz w:val="21"/>
                      <w:szCs w:val="21"/>
                      <w:u w:val="none" w:color="auto"/>
                    </w:rPr>
                  </w:pPr>
                  <w:r>
                    <w:rPr>
                      <w:rFonts w:hint="eastAsia"/>
                      <w:color w:val="auto"/>
                      <w:sz w:val="21"/>
                      <w:szCs w:val="21"/>
                      <w:u w:val="none" w:color="auto"/>
                    </w:rPr>
                    <w:t>本项目位于规划的工业园区</w:t>
                  </w:r>
                </w:p>
              </w:tc>
              <w:tc>
                <w:tcPr>
                  <w:tcW w:w="458" w:type="pct"/>
                  <w:tcBorders>
                    <w:top w:val="single" w:color="auto" w:sz="4" w:space="0"/>
                    <w:bottom w:val="single" w:color="000000" w:sz="6" w:space="0"/>
                  </w:tcBorders>
                  <w:noWrap w:val="0"/>
                  <w:vAlign w:val="center"/>
                </w:tcPr>
                <w:p w14:paraId="47ADB88D">
                  <w:pPr>
                    <w:spacing w:line="240" w:lineRule="auto"/>
                    <w:ind w:firstLine="0" w:firstLineChars="0"/>
                    <w:jc w:val="center"/>
                    <w:rPr>
                      <w:color w:val="auto"/>
                      <w:sz w:val="21"/>
                      <w:szCs w:val="21"/>
                      <w:u w:val="none" w:color="auto"/>
                    </w:rPr>
                  </w:pPr>
                  <w:r>
                    <w:rPr>
                      <w:color w:val="auto"/>
                      <w:sz w:val="21"/>
                      <w:szCs w:val="21"/>
                      <w:u w:val="none" w:color="auto"/>
                    </w:rPr>
                    <w:t>符合</w:t>
                  </w:r>
                </w:p>
              </w:tc>
            </w:tr>
            <w:tr w14:paraId="1925DE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4" w:hRule="atLeast"/>
              </w:trPr>
              <w:tc>
                <w:tcPr>
                  <w:tcW w:w="308" w:type="pct"/>
                  <w:vMerge w:val="continue"/>
                  <w:tcBorders>
                    <w:bottom w:val="single" w:color="000000" w:sz="6" w:space="0"/>
                  </w:tcBorders>
                  <w:noWrap w:val="0"/>
                  <w:vAlign w:val="center"/>
                </w:tcPr>
                <w:p w14:paraId="49F9487C">
                  <w:pPr>
                    <w:spacing w:line="240" w:lineRule="auto"/>
                    <w:ind w:firstLine="0" w:firstLineChars="0"/>
                    <w:jc w:val="center"/>
                    <w:rPr>
                      <w:color w:val="auto"/>
                      <w:sz w:val="21"/>
                      <w:szCs w:val="21"/>
                      <w:u w:val="none" w:color="auto"/>
                    </w:rPr>
                  </w:pPr>
                </w:p>
              </w:tc>
              <w:tc>
                <w:tcPr>
                  <w:tcW w:w="480" w:type="pct"/>
                  <w:vMerge w:val="continue"/>
                  <w:tcBorders>
                    <w:bottom w:val="single" w:color="000000" w:sz="6" w:space="0"/>
                  </w:tcBorders>
                  <w:noWrap w:val="0"/>
                  <w:vAlign w:val="center"/>
                </w:tcPr>
                <w:p w14:paraId="4904E848">
                  <w:pPr>
                    <w:spacing w:line="240" w:lineRule="auto"/>
                    <w:ind w:firstLine="0" w:firstLineChars="0"/>
                    <w:jc w:val="center"/>
                    <w:rPr>
                      <w:color w:val="auto"/>
                      <w:sz w:val="21"/>
                      <w:szCs w:val="21"/>
                      <w:u w:val="none" w:color="auto"/>
                    </w:rPr>
                  </w:pPr>
                </w:p>
              </w:tc>
              <w:tc>
                <w:tcPr>
                  <w:tcW w:w="2461" w:type="pct"/>
                  <w:tcBorders>
                    <w:top w:val="single" w:color="000000" w:sz="6" w:space="0"/>
                    <w:bottom w:val="single" w:color="000000" w:sz="6" w:space="0"/>
                  </w:tcBorders>
                  <w:noWrap w:val="0"/>
                  <w:vAlign w:val="center"/>
                </w:tcPr>
                <w:p w14:paraId="67C75750">
                  <w:pPr>
                    <w:spacing w:line="240" w:lineRule="auto"/>
                    <w:ind w:firstLine="0" w:firstLineChars="0"/>
                    <w:jc w:val="center"/>
                    <w:rPr>
                      <w:color w:val="auto"/>
                      <w:sz w:val="21"/>
                      <w:szCs w:val="21"/>
                      <w:u w:val="none" w:color="auto"/>
                    </w:rPr>
                  </w:pPr>
                  <w:r>
                    <w:rPr>
                      <w:rFonts w:hint="eastAsia" w:ascii="Times New Roman" w:hAnsi="Times New Roman" w:eastAsia="宋体" w:cs="Times New Roman"/>
                      <w:color w:val="auto"/>
                      <w:sz w:val="21"/>
                      <w:szCs w:val="21"/>
                      <w:highlight w:val="none"/>
                      <w:u w:val="none" w:color="auto"/>
                      <w:lang w:val="en-US" w:eastAsia="zh-CN"/>
                    </w:rPr>
                    <w:t>（三）引导企业减少单纯扩大产能的制造项目，加强技术创新、提高产品质量、降低生产成本。</w:t>
                  </w:r>
                </w:p>
              </w:tc>
              <w:tc>
                <w:tcPr>
                  <w:tcW w:w="1290" w:type="pct"/>
                  <w:tcBorders>
                    <w:top w:val="single" w:color="000000" w:sz="6" w:space="0"/>
                    <w:bottom w:val="single" w:color="000000" w:sz="6" w:space="0"/>
                  </w:tcBorders>
                  <w:noWrap w:val="0"/>
                  <w:vAlign w:val="center"/>
                </w:tcPr>
                <w:p w14:paraId="4C7D980B">
                  <w:pPr>
                    <w:spacing w:line="240" w:lineRule="auto"/>
                    <w:ind w:firstLine="0" w:firstLineChars="0"/>
                    <w:jc w:val="center"/>
                    <w:rPr>
                      <w:rFonts w:hint="eastAsia"/>
                      <w:color w:val="auto"/>
                      <w:sz w:val="21"/>
                      <w:szCs w:val="21"/>
                      <w:u w:val="none" w:color="auto"/>
                    </w:rPr>
                  </w:pPr>
                  <w:r>
                    <w:rPr>
                      <w:rFonts w:hint="eastAsia" w:ascii="Times New Roman" w:hAnsi="Times New Roman" w:eastAsia="宋体" w:cs="Times New Roman"/>
                      <w:color w:val="auto"/>
                      <w:sz w:val="21"/>
                      <w:szCs w:val="21"/>
                      <w:highlight w:val="none"/>
                      <w:u w:val="none" w:color="auto"/>
                      <w:lang w:val="en-US" w:eastAsia="zh-CN"/>
                    </w:rPr>
                    <w:t>项目不属于单纯扩大产能、技术水平低的锂离子电池（含配套）项目</w:t>
                  </w:r>
                </w:p>
              </w:tc>
              <w:tc>
                <w:tcPr>
                  <w:tcW w:w="458" w:type="pct"/>
                  <w:tcBorders>
                    <w:top w:val="single" w:color="000000" w:sz="6" w:space="0"/>
                    <w:bottom w:val="single" w:color="000000" w:sz="6" w:space="0"/>
                  </w:tcBorders>
                  <w:noWrap w:val="0"/>
                  <w:vAlign w:val="center"/>
                </w:tcPr>
                <w:p w14:paraId="0A5A10A7">
                  <w:pPr>
                    <w:spacing w:line="240" w:lineRule="auto"/>
                    <w:ind w:firstLine="0" w:firstLineChars="0"/>
                    <w:jc w:val="center"/>
                    <w:rPr>
                      <w:color w:val="auto"/>
                      <w:sz w:val="21"/>
                      <w:szCs w:val="21"/>
                      <w:u w:val="none" w:color="auto"/>
                    </w:rPr>
                  </w:pPr>
                  <w:r>
                    <w:rPr>
                      <w:color w:val="auto"/>
                      <w:sz w:val="21"/>
                      <w:szCs w:val="21"/>
                      <w:u w:val="none" w:color="auto"/>
                    </w:rPr>
                    <w:t>符合</w:t>
                  </w:r>
                </w:p>
              </w:tc>
            </w:tr>
            <w:tr w14:paraId="77EB2A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9" w:hRule="atLeast"/>
              </w:trPr>
              <w:tc>
                <w:tcPr>
                  <w:tcW w:w="308" w:type="pct"/>
                  <w:vMerge w:val="restart"/>
                  <w:tcBorders>
                    <w:top w:val="single" w:color="000000" w:sz="6" w:space="0"/>
                  </w:tcBorders>
                  <w:noWrap w:val="0"/>
                  <w:vAlign w:val="center"/>
                </w:tcPr>
                <w:p w14:paraId="154589E6">
                  <w:pPr>
                    <w:spacing w:line="240" w:lineRule="auto"/>
                    <w:ind w:firstLine="0" w:firstLineChars="0"/>
                    <w:jc w:val="center"/>
                    <w:rPr>
                      <w:rFonts w:hint="eastAsia" w:eastAsia="宋体"/>
                      <w:color w:val="auto"/>
                      <w:sz w:val="21"/>
                      <w:szCs w:val="21"/>
                      <w:u w:val="none" w:color="auto"/>
                      <w:lang w:val="en-US" w:eastAsia="zh-CN"/>
                    </w:rPr>
                  </w:pPr>
                  <w:r>
                    <w:rPr>
                      <w:rFonts w:hint="eastAsia"/>
                      <w:color w:val="auto"/>
                      <w:sz w:val="21"/>
                      <w:szCs w:val="21"/>
                      <w:u w:val="none" w:color="auto"/>
                      <w:lang w:val="en-US" w:eastAsia="zh-CN"/>
                    </w:rPr>
                    <w:t>2</w:t>
                  </w:r>
                </w:p>
              </w:tc>
              <w:tc>
                <w:tcPr>
                  <w:tcW w:w="480" w:type="pct"/>
                  <w:vMerge w:val="restart"/>
                  <w:tcBorders>
                    <w:top w:val="single" w:color="000000" w:sz="6" w:space="0"/>
                  </w:tcBorders>
                  <w:noWrap w:val="0"/>
                  <w:vAlign w:val="center"/>
                </w:tcPr>
                <w:p w14:paraId="297FFF59">
                  <w:pPr>
                    <w:spacing w:line="240" w:lineRule="auto"/>
                    <w:ind w:firstLine="0" w:firstLineChars="0"/>
                    <w:jc w:val="center"/>
                    <w:rPr>
                      <w:color w:val="auto"/>
                      <w:sz w:val="21"/>
                      <w:szCs w:val="21"/>
                      <w:u w:val="none" w:color="auto"/>
                    </w:rPr>
                  </w:pPr>
                  <w:r>
                    <w:rPr>
                      <w:rFonts w:hint="eastAsia" w:ascii="Times New Roman" w:hAnsi="Times New Roman" w:eastAsia="宋体" w:cs="Times New Roman"/>
                      <w:color w:val="auto"/>
                      <w:sz w:val="21"/>
                      <w:szCs w:val="21"/>
                      <w:highlight w:val="none"/>
                      <w:u w:val="none" w:color="auto"/>
                      <w:lang w:val="en-US" w:eastAsia="zh-CN"/>
                    </w:rPr>
                    <w:t>工艺技术和质量管理</w:t>
                  </w:r>
                </w:p>
              </w:tc>
              <w:tc>
                <w:tcPr>
                  <w:tcW w:w="2461" w:type="pct"/>
                  <w:tcBorders>
                    <w:top w:val="single" w:color="000000" w:sz="6" w:space="0"/>
                    <w:bottom w:val="single" w:color="000000" w:sz="6" w:space="0"/>
                  </w:tcBorders>
                  <w:noWrap w:val="0"/>
                  <w:vAlign w:val="center"/>
                </w:tcPr>
                <w:p w14:paraId="36BF8F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一）企业符合以下条件：在中华人民共和国境内依法注册成立、具有独立法人资格；具有锂离子电池行业相关产品的独立生产、销售和服务能力；研发经费不低于当年企业主营业务收入的3%，鼓励企业取得省级以上独立研发机构、技术中心或高新技术企业资质；主要产品具有技术发明专利</w:t>
                  </w:r>
                  <w:r>
                    <w:rPr>
                      <w:rFonts w:hint="eastAsia" w:cs="Times New Roman"/>
                      <w:color w:val="auto"/>
                      <w:sz w:val="21"/>
                      <w:szCs w:val="21"/>
                      <w:highlight w:val="none"/>
                      <w:u w:val="none" w:color="auto"/>
                      <w:lang w:val="en-US" w:eastAsia="zh-CN"/>
                    </w:rPr>
                    <w:t>；</w:t>
                  </w:r>
                  <w:r>
                    <w:rPr>
                      <w:rFonts w:hint="eastAsia" w:ascii="Times New Roman" w:hAnsi="Times New Roman" w:eastAsia="宋体" w:cs="Times New Roman"/>
                      <w:color w:val="auto"/>
                      <w:sz w:val="21"/>
                      <w:szCs w:val="21"/>
                      <w:highlight w:val="none"/>
                      <w:u w:val="none" w:color="auto"/>
                      <w:lang w:val="en-US" w:eastAsia="zh-CN"/>
                    </w:rPr>
                    <w:t>申报时上一年实际产量不低于当年实际产能的50%。</w:t>
                  </w:r>
                </w:p>
              </w:tc>
              <w:tc>
                <w:tcPr>
                  <w:tcW w:w="1290" w:type="pct"/>
                  <w:tcBorders>
                    <w:top w:val="single" w:color="000000" w:sz="6" w:space="0"/>
                    <w:bottom w:val="single" w:color="000000" w:sz="6" w:space="0"/>
                  </w:tcBorders>
                  <w:noWrap w:val="0"/>
                  <w:vAlign w:val="center"/>
                </w:tcPr>
                <w:p w14:paraId="72EBABC9">
                  <w:pPr>
                    <w:spacing w:line="240" w:lineRule="auto"/>
                    <w:ind w:firstLine="0" w:firstLineChars="0"/>
                    <w:jc w:val="center"/>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项目具有锂离子电池行业相关产品的独立生产、销售和服务能力</w:t>
                  </w:r>
                </w:p>
              </w:tc>
              <w:tc>
                <w:tcPr>
                  <w:tcW w:w="458" w:type="pct"/>
                  <w:tcBorders>
                    <w:top w:val="single" w:color="000000" w:sz="6" w:space="0"/>
                    <w:bottom w:val="single" w:color="000000" w:sz="6" w:space="0"/>
                  </w:tcBorders>
                  <w:noWrap w:val="0"/>
                  <w:vAlign w:val="center"/>
                </w:tcPr>
                <w:p w14:paraId="6D5E63F6">
                  <w:pPr>
                    <w:spacing w:line="240" w:lineRule="auto"/>
                    <w:ind w:firstLine="0" w:firstLineChars="0"/>
                    <w:jc w:val="center"/>
                    <w:rPr>
                      <w:color w:val="auto"/>
                      <w:sz w:val="21"/>
                      <w:szCs w:val="21"/>
                      <w:u w:val="none" w:color="auto"/>
                    </w:rPr>
                  </w:pPr>
                  <w:r>
                    <w:rPr>
                      <w:color w:val="auto"/>
                      <w:sz w:val="21"/>
                      <w:szCs w:val="21"/>
                      <w:u w:val="none" w:color="auto"/>
                    </w:rPr>
                    <w:t>符合</w:t>
                  </w:r>
                </w:p>
              </w:tc>
            </w:tr>
            <w:tr w14:paraId="4F1ED7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308" w:type="pct"/>
                  <w:vMerge w:val="continue"/>
                  <w:noWrap w:val="0"/>
                  <w:vAlign w:val="center"/>
                </w:tcPr>
                <w:p w14:paraId="5FB42FEC">
                  <w:pPr>
                    <w:spacing w:line="240" w:lineRule="auto"/>
                    <w:ind w:firstLine="0" w:firstLineChars="0"/>
                    <w:jc w:val="center"/>
                    <w:rPr>
                      <w:rFonts w:hint="eastAsia"/>
                      <w:color w:val="auto"/>
                      <w:sz w:val="21"/>
                      <w:szCs w:val="21"/>
                      <w:u w:val="none" w:color="auto"/>
                      <w:lang w:val="en-US" w:eastAsia="zh-CN"/>
                    </w:rPr>
                  </w:pPr>
                </w:p>
              </w:tc>
              <w:tc>
                <w:tcPr>
                  <w:tcW w:w="480" w:type="pct"/>
                  <w:vMerge w:val="continue"/>
                  <w:noWrap w:val="0"/>
                  <w:vAlign w:val="center"/>
                </w:tcPr>
                <w:p w14:paraId="05F346E7">
                  <w:pPr>
                    <w:spacing w:line="240" w:lineRule="auto"/>
                    <w:ind w:firstLine="0" w:firstLineChars="0"/>
                    <w:jc w:val="center"/>
                    <w:rPr>
                      <w:rFonts w:hint="eastAsia" w:ascii="Times New Roman" w:hAnsi="Times New Roman" w:eastAsia="宋体" w:cs="Times New Roman"/>
                      <w:color w:val="auto"/>
                      <w:sz w:val="21"/>
                      <w:szCs w:val="21"/>
                      <w:highlight w:val="none"/>
                      <w:u w:val="none" w:color="auto"/>
                      <w:lang w:val="en-US" w:eastAsia="zh-CN"/>
                    </w:rPr>
                  </w:pPr>
                </w:p>
              </w:tc>
              <w:tc>
                <w:tcPr>
                  <w:tcW w:w="2461" w:type="pct"/>
                  <w:tcBorders>
                    <w:top w:val="single" w:color="000000" w:sz="6" w:space="0"/>
                    <w:bottom w:val="single" w:color="000000" w:sz="6" w:space="0"/>
                  </w:tcBorders>
                  <w:noWrap w:val="0"/>
                  <w:vAlign w:val="center"/>
                </w:tcPr>
                <w:p w14:paraId="6143EBCB">
                  <w:pPr>
                    <w:spacing w:line="240" w:lineRule="auto"/>
                    <w:ind w:firstLine="0" w:firstLineChars="0"/>
                    <w:jc w:val="center"/>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（二）企业应采用技术先进、节能环保、安全稳定、智能化程度高的生产工艺和设备。</w:t>
                  </w:r>
                </w:p>
              </w:tc>
              <w:tc>
                <w:tcPr>
                  <w:tcW w:w="1290" w:type="pct"/>
                  <w:tcBorders>
                    <w:top w:val="single" w:color="000000" w:sz="6" w:space="0"/>
                    <w:bottom w:val="single" w:color="000000" w:sz="6" w:space="0"/>
                  </w:tcBorders>
                  <w:noWrap w:val="0"/>
                  <w:vAlign w:val="center"/>
                </w:tcPr>
                <w:p w14:paraId="7327AAE7">
                  <w:pPr>
                    <w:spacing w:line="240" w:lineRule="auto"/>
                    <w:ind w:firstLine="0" w:firstLineChars="0"/>
                    <w:jc w:val="center"/>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项目</w:t>
                  </w:r>
                  <w:r>
                    <w:rPr>
                      <w:rFonts w:hint="eastAsia" w:ascii="Times New Roman" w:hAnsi="Times New Roman" w:cs="Times New Roman"/>
                      <w:color w:val="auto"/>
                      <w:sz w:val="21"/>
                      <w:szCs w:val="21"/>
                      <w:highlight w:val="none"/>
                      <w:u w:val="none" w:color="auto"/>
                      <w:lang w:val="en-US" w:eastAsia="zh-CN"/>
                    </w:rPr>
                    <w:t>采用</w:t>
                  </w:r>
                  <w:r>
                    <w:rPr>
                      <w:rFonts w:hint="eastAsia" w:ascii="Times New Roman" w:hAnsi="Times New Roman" w:eastAsia="宋体" w:cs="Times New Roman"/>
                      <w:color w:val="auto"/>
                      <w:sz w:val="21"/>
                      <w:szCs w:val="21"/>
                      <w:highlight w:val="none"/>
                      <w:u w:val="none" w:color="auto"/>
                      <w:lang w:val="en-US" w:eastAsia="zh-CN"/>
                    </w:rPr>
                    <w:t>技术先进、节能环保、安全稳定、智能化程度高的生产工艺和设备，技术、装备及相关配套设施满足所列要求</w:t>
                  </w:r>
                </w:p>
              </w:tc>
              <w:tc>
                <w:tcPr>
                  <w:tcW w:w="458" w:type="pct"/>
                  <w:tcBorders>
                    <w:top w:val="single" w:color="000000" w:sz="6" w:space="0"/>
                    <w:bottom w:val="single" w:color="000000" w:sz="6" w:space="0"/>
                  </w:tcBorders>
                  <w:noWrap w:val="0"/>
                  <w:vAlign w:val="center"/>
                </w:tcPr>
                <w:p w14:paraId="784C228A">
                  <w:pPr>
                    <w:spacing w:line="240" w:lineRule="auto"/>
                    <w:ind w:firstLine="0" w:firstLineChars="0"/>
                    <w:jc w:val="center"/>
                    <w:rPr>
                      <w:color w:val="auto"/>
                      <w:sz w:val="21"/>
                      <w:szCs w:val="21"/>
                      <w:u w:val="none" w:color="auto"/>
                    </w:rPr>
                  </w:pPr>
                  <w:r>
                    <w:rPr>
                      <w:color w:val="auto"/>
                      <w:sz w:val="21"/>
                      <w:szCs w:val="21"/>
                      <w:u w:val="none" w:color="auto"/>
                    </w:rPr>
                    <w:t>符合</w:t>
                  </w:r>
                </w:p>
              </w:tc>
            </w:tr>
            <w:tr w14:paraId="78D695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308" w:type="pct"/>
                  <w:vMerge w:val="continue"/>
                  <w:noWrap w:val="0"/>
                  <w:vAlign w:val="center"/>
                </w:tcPr>
                <w:p w14:paraId="1F649678">
                  <w:pPr>
                    <w:spacing w:line="240" w:lineRule="auto"/>
                    <w:ind w:firstLine="0" w:firstLineChars="0"/>
                    <w:jc w:val="center"/>
                    <w:rPr>
                      <w:rFonts w:hint="eastAsia"/>
                      <w:color w:val="auto"/>
                      <w:sz w:val="21"/>
                      <w:szCs w:val="21"/>
                      <w:u w:val="none" w:color="auto"/>
                      <w:lang w:val="en-US" w:eastAsia="zh-CN"/>
                    </w:rPr>
                  </w:pPr>
                </w:p>
              </w:tc>
              <w:tc>
                <w:tcPr>
                  <w:tcW w:w="480" w:type="pct"/>
                  <w:vMerge w:val="continue"/>
                  <w:noWrap w:val="0"/>
                  <w:vAlign w:val="center"/>
                </w:tcPr>
                <w:p w14:paraId="278D807B">
                  <w:pPr>
                    <w:spacing w:line="240" w:lineRule="auto"/>
                    <w:ind w:firstLine="0" w:firstLineChars="0"/>
                    <w:jc w:val="center"/>
                    <w:rPr>
                      <w:rFonts w:hint="eastAsia" w:ascii="Times New Roman" w:hAnsi="Times New Roman" w:eastAsia="宋体" w:cs="Times New Roman"/>
                      <w:color w:val="auto"/>
                      <w:sz w:val="21"/>
                      <w:szCs w:val="21"/>
                      <w:highlight w:val="none"/>
                      <w:u w:val="none" w:color="auto"/>
                      <w:lang w:val="en-US" w:eastAsia="zh-CN"/>
                    </w:rPr>
                  </w:pPr>
                </w:p>
              </w:tc>
              <w:tc>
                <w:tcPr>
                  <w:tcW w:w="2461" w:type="pct"/>
                  <w:tcBorders>
                    <w:top w:val="single" w:color="000000" w:sz="6" w:space="0"/>
                    <w:bottom w:val="single" w:color="000000" w:sz="6" w:space="0"/>
                  </w:tcBorders>
                  <w:noWrap w:val="0"/>
                  <w:vAlign w:val="center"/>
                </w:tcPr>
                <w:p w14:paraId="0E62AA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三）企业应建立质量管理体系，质量管理体系至少包括质量方面的控制流程、防止和发现内部短路故障的控制程序、试验数据和质量记录、对不符合UN38.3测试的电芯或电池采取的控制措施等内容，鼓励通过第三方认证</w:t>
                  </w:r>
                  <w:r>
                    <w:rPr>
                      <w:rFonts w:hint="eastAsia" w:cs="Times New Roman"/>
                      <w:color w:val="auto"/>
                      <w:sz w:val="21"/>
                      <w:szCs w:val="21"/>
                      <w:highlight w:val="none"/>
                      <w:u w:val="none" w:color="auto"/>
                      <w:lang w:val="en-US" w:eastAsia="zh-CN"/>
                    </w:rPr>
                    <w:t>，</w:t>
                  </w:r>
                  <w:r>
                    <w:rPr>
                      <w:rFonts w:hint="eastAsia" w:ascii="Times New Roman" w:hAnsi="Times New Roman" w:eastAsia="宋体" w:cs="Times New Roman"/>
                      <w:color w:val="auto"/>
                      <w:sz w:val="21"/>
                      <w:szCs w:val="21"/>
                      <w:highlight w:val="none"/>
                      <w:u w:val="none" w:color="auto"/>
                      <w:lang w:val="en-US" w:eastAsia="zh-CN"/>
                    </w:rPr>
                    <w:t>设立质量检查部门，配备专职检验人员。</w:t>
                  </w:r>
                </w:p>
              </w:tc>
              <w:tc>
                <w:tcPr>
                  <w:tcW w:w="1290" w:type="pct"/>
                  <w:tcBorders>
                    <w:top w:val="single" w:color="000000" w:sz="6" w:space="0"/>
                    <w:bottom w:val="single" w:color="000000" w:sz="6" w:space="0"/>
                  </w:tcBorders>
                  <w:noWrap w:val="0"/>
                  <w:vAlign w:val="center"/>
                </w:tcPr>
                <w:p w14:paraId="7FCC2906">
                  <w:pPr>
                    <w:spacing w:line="240" w:lineRule="auto"/>
                    <w:ind w:firstLine="0" w:firstLineChars="0"/>
                    <w:jc w:val="center"/>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企业将建立质量管理体系</w:t>
                  </w:r>
                </w:p>
              </w:tc>
              <w:tc>
                <w:tcPr>
                  <w:tcW w:w="458" w:type="pct"/>
                  <w:tcBorders>
                    <w:top w:val="single" w:color="000000" w:sz="6" w:space="0"/>
                    <w:bottom w:val="single" w:color="000000" w:sz="6" w:space="0"/>
                  </w:tcBorders>
                  <w:noWrap w:val="0"/>
                  <w:vAlign w:val="center"/>
                </w:tcPr>
                <w:p w14:paraId="209B2D06">
                  <w:pPr>
                    <w:spacing w:line="240" w:lineRule="auto"/>
                    <w:ind w:firstLine="0" w:firstLineChars="0"/>
                    <w:jc w:val="center"/>
                    <w:rPr>
                      <w:color w:val="auto"/>
                      <w:sz w:val="21"/>
                      <w:szCs w:val="21"/>
                      <w:u w:val="none" w:color="auto"/>
                    </w:rPr>
                  </w:pPr>
                  <w:r>
                    <w:rPr>
                      <w:color w:val="auto"/>
                      <w:sz w:val="21"/>
                      <w:szCs w:val="21"/>
                      <w:u w:val="none" w:color="auto"/>
                    </w:rPr>
                    <w:t>符合</w:t>
                  </w:r>
                </w:p>
              </w:tc>
            </w:tr>
            <w:tr w14:paraId="33E9CF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7" w:hRule="atLeast"/>
              </w:trPr>
              <w:tc>
                <w:tcPr>
                  <w:tcW w:w="308" w:type="pct"/>
                  <w:vMerge w:val="continue"/>
                  <w:noWrap w:val="0"/>
                  <w:vAlign w:val="center"/>
                </w:tcPr>
                <w:p w14:paraId="74CF7BF5">
                  <w:pPr>
                    <w:spacing w:line="240" w:lineRule="auto"/>
                    <w:ind w:firstLine="0" w:firstLineChars="0"/>
                    <w:jc w:val="center"/>
                    <w:rPr>
                      <w:rFonts w:hint="eastAsia"/>
                      <w:color w:val="auto"/>
                      <w:sz w:val="21"/>
                      <w:szCs w:val="21"/>
                      <w:u w:val="none" w:color="auto"/>
                      <w:lang w:val="en-US" w:eastAsia="zh-CN"/>
                    </w:rPr>
                  </w:pPr>
                </w:p>
              </w:tc>
              <w:tc>
                <w:tcPr>
                  <w:tcW w:w="480" w:type="pct"/>
                  <w:vMerge w:val="continue"/>
                  <w:noWrap w:val="0"/>
                  <w:vAlign w:val="center"/>
                </w:tcPr>
                <w:p w14:paraId="47C92984">
                  <w:pPr>
                    <w:spacing w:line="240" w:lineRule="auto"/>
                    <w:ind w:firstLine="0" w:firstLineChars="0"/>
                    <w:jc w:val="center"/>
                    <w:rPr>
                      <w:rFonts w:hint="eastAsia" w:ascii="Times New Roman" w:hAnsi="Times New Roman" w:eastAsia="宋体" w:cs="Times New Roman"/>
                      <w:color w:val="auto"/>
                      <w:sz w:val="21"/>
                      <w:szCs w:val="21"/>
                      <w:highlight w:val="none"/>
                      <w:u w:val="none" w:color="auto"/>
                      <w:lang w:val="en-US" w:eastAsia="zh-CN"/>
                    </w:rPr>
                  </w:pPr>
                </w:p>
              </w:tc>
              <w:tc>
                <w:tcPr>
                  <w:tcW w:w="2461" w:type="pct"/>
                  <w:tcBorders>
                    <w:top w:val="single" w:color="000000" w:sz="6" w:space="0"/>
                  </w:tcBorders>
                  <w:noWrap w:val="0"/>
                  <w:vAlign w:val="center"/>
                </w:tcPr>
                <w:p w14:paraId="059B8507">
                  <w:pPr>
                    <w:spacing w:line="240" w:lineRule="auto"/>
                    <w:ind w:firstLine="0" w:firstLineChars="0"/>
                    <w:jc w:val="center"/>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（四）企业应依据有关政策及标准，对锂离子电池产品开展编码并建立全生命周期溯源体系，鼓励企业应用主动溯源技术。</w:t>
                  </w:r>
                </w:p>
              </w:tc>
              <w:tc>
                <w:tcPr>
                  <w:tcW w:w="1290" w:type="pct"/>
                  <w:tcBorders>
                    <w:top w:val="single" w:color="000000" w:sz="6" w:space="0"/>
                  </w:tcBorders>
                  <w:noWrap w:val="0"/>
                  <w:vAlign w:val="center"/>
                </w:tcPr>
                <w:p w14:paraId="5E8A8A01">
                  <w:pPr>
                    <w:spacing w:line="240" w:lineRule="auto"/>
                    <w:ind w:firstLine="0" w:firstLineChars="0"/>
                    <w:jc w:val="center"/>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项目</w:t>
                  </w:r>
                  <w:r>
                    <w:rPr>
                      <w:rFonts w:hint="eastAsia" w:ascii="Times New Roman" w:hAnsi="Times New Roman" w:eastAsia="宋体" w:cs="Times New Roman"/>
                      <w:color w:val="auto"/>
                      <w:sz w:val="21"/>
                      <w:szCs w:val="21"/>
                      <w:highlight w:val="none"/>
                      <w:u w:val="none" w:color="auto"/>
                      <w:lang w:val="en-US" w:eastAsia="zh-CN"/>
                    </w:rPr>
                    <w:t>对锂离子电池产品开展编码并建立全生命周期溯源体系，鼓励企业应用主动溯源技术</w:t>
                  </w:r>
                </w:p>
              </w:tc>
              <w:tc>
                <w:tcPr>
                  <w:tcW w:w="458" w:type="pct"/>
                  <w:tcBorders>
                    <w:top w:val="single" w:color="000000" w:sz="6" w:space="0"/>
                  </w:tcBorders>
                  <w:noWrap w:val="0"/>
                  <w:vAlign w:val="center"/>
                </w:tcPr>
                <w:p w14:paraId="173D4438">
                  <w:pPr>
                    <w:spacing w:line="240" w:lineRule="auto"/>
                    <w:ind w:firstLine="0" w:firstLineChars="0"/>
                    <w:jc w:val="center"/>
                    <w:rPr>
                      <w:color w:val="auto"/>
                      <w:sz w:val="21"/>
                      <w:szCs w:val="21"/>
                      <w:u w:val="none" w:color="auto"/>
                    </w:rPr>
                  </w:pPr>
                  <w:r>
                    <w:rPr>
                      <w:color w:val="auto"/>
                      <w:sz w:val="21"/>
                      <w:szCs w:val="21"/>
                      <w:u w:val="none" w:color="auto"/>
                    </w:rPr>
                    <w:t>符合</w:t>
                  </w:r>
                </w:p>
              </w:tc>
            </w:tr>
            <w:tr w14:paraId="4A2C4C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93" w:hRule="atLeast"/>
              </w:trPr>
              <w:tc>
                <w:tcPr>
                  <w:tcW w:w="308" w:type="pct"/>
                  <w:vMerge w:val="restart"/>
                  <w:noWrap w:val="0"/>
                  <w:vAlign w:val="center"/>
                </w:tcPr>
                <w:p w14:paraId="4D8B1484">
                  <w:pPr>
                    <w:spacing w:line="240" w:lineRule="auto"/>
                    <w:ind w:firstLine="0" w:firstLineChars="0"/>
                    <w:jc w:val="center"/>
                    <w:rPr>
                      <w:rFonts w:hint="eastAsia" w:eastAsia="宋体"/>
                      <w:color w:val="auto"/>
                      <w:sz w:val="21"/>
                      <w:szCs w:val="21"/>
                      <w:u w:val="none" w:color="auto"/>
                      <w:lang w:eastAsia="zh-CN"/>
                    </w:rPr>
                  </w:pPr>
                  <w:r>
                    <w:rPr>
                      <w:rFonts w:hint="eastAsia"/>
                      <w:color w:val="auto"/>
                      <w:sz w:val="21"/>
                      <w:szCs w:val="21"/>
                      <w:u w:val="none" w:color="auto"/>
                      <w:lang w:val="en-US" w:eastAsia="zh-CN"/>
                    </w:rPr>
                    <w:t>3</w:t>
                  </w:r>
                </w:p>
              </w:tc>
              <w:tc>
                <w:tcPr>
                  <w:tcW w:w="480" w:type="pct"/>
                  <w:vMerge w:val="restart"/>
                  <w:noWrap w:val="0"/>
                  <w:vAlign w:val="center"/>
                </w:tcPr>
                <w:p w14:paraId="434BDED9">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资源综合利用及环境保护</w:t>
                  </w:r>
                </w:p>
              </w:tc>
              <w:tc>
                <w:tcPr>
                  <w:tcW w:w="2461" w:type="pct"/>
                  <w:noWrap w:val="0"/>
                  <w:vAlign w:val="center"/>
                </w:tcPr>
                <w:p w14:paraId="3F534323">
                  <w:pPr>
                    <w:spacing w:line="240" w:lineRule="auto"/>
                    <w:ind w:firstLine="0" w:firstLineChars="0"/>
                    <w:jc w:val="center"/>
                    <w:rPr>
                      <w:color w:val="auto"/>
                      <w:sz w:val="21"/>
                      <w:szCs w:val="21"/>
                      <w:u w:val="none" w:color="auto"/>
                    </w:rPr>
                  </w:pPr>
                  <w:r>
                    <w:rPr>
                      <w:color w:val="auto"/>
                      <w:sz w:val="21"/>
                      <w:szCs w:val="21"/>
                      <w:u w:val="none" w:color="auto"/>
                    </w:rPr>
                    <w:t>（一）企业及项目应符合国家出台的土地使用标准，严格保护耕地，节约集约用地。</w:t>
                  </w:r>
                </w:p>
              </w:tc>
              <w:tc>
                <w:tcPr>
                  <w:tcW w:w="1290" w:type="pct"/>
                  <w:noWrap w:val="0"/>
                  <w:vAlign w:val="center"/>
                </w:tcPr>
                <w:p w14:paraId="03186EB8">
                  <w:pPr>
                    <w:spacing w:line="240" w:lineRule="auto"/>
                    <w:ind w:firstLine="0" w:firstLineChars="0"/>
                    <w:jc w:val="center"/>
                    <w:rPr>
                      <w:color w:val="auto"/>
                      <w:sz w:val="21"/>
                      <w:szCs w:val="21"/>
                      <w:u w:val="none" w:color="auto"/>
                    </w:rPr>
                  </w:pPr>
                  <w:r>
                    <w:rPr>
                      <w:rFonts w:hint="eastAsia"/>
                      <w:color w:val="auto"/>
                      <w:sz w:val="21"/>
                      <w:szCs w:val="21"/>
                      <w:u w:val="none" w:color="auto"/>
                    </w:rPr>
                    <w:t>本项目</w:t>
                  </w:r>
                  <w:r>
                    <w:rPr>
                      <w:color w:val="auto"/>
                      <w:sz w:val="21"/>
                      <w:szCs w:val="21"/>
                      <w:u w:val="none" w:color="auto"/>
                    </w:rPr>
                    <w:t>符合国家出台的土地使用标准</w:t>
                  </w:r>
                </w:p>
              </w:tc>
              <w:tc>
                <w:tcPr>
                  <w:tcW w:w="458" w:type="pct"/>
                  <w:noWrap w:val="0"/>
                  <w:vAlign w:val="center"/>
                </w:tcPr>
                <w:p w14:paraId="4AD98559">
                  <w:pPr>
                    <w:spacing w:line="240" w:lineRule="auto"/>
                    <w:ind w:firstLine="0" w:firstLineChars="0"/>
                    <w:jc w:val="center"/>
                    <w:rPr>
                      <w:color w:val="auto"/>
                      <w:sz w:val="21"/>
                      <w:szCs w:val="21"/>
                      <w:u w:val="none" w:color="auto"/>
                    </w:rPr>
                  </w:pPr>
                  <w:r>
                    <w:rPr>
                      <w:color w:val="auto"/>
                      <w:sz w:val="21"/>
                      <w:szCs w:val="21"/>
                      <w:u w:val="none" w:color="auto"/>
                    </w:rPr>
                    <w:t>符合</w:t>
                  </w:r>
                </w:p>
              </w:tc>
            </w:tr>
            <w:tr w14:paraId="17D6EE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52" w:hRule="atLeast"/>
              </w:trPr>
              <w:tc>
                <w:tcPr>
                  <w:tcW w:w="308" w:type="pct"/>
                  <w:vMerge w:val="continue"/>
                  <w:noWrap w:val="0"/>
                  <w:vAlign w:val="center"/>
                </w:tcPr>
                <w:p w14:paraId="48F8B5BA">
                  <w:pPr>
                    <w:spacing w:line="240" w:lineRule="auto"/>
                    <w:ind w:firstLine="0" w:firstLineChars="0"/>
                    <w:jc w:val="center"/>
                    <w:rPr>
                      <w:color w:val="auto"/>
                      <w:sz w:val="21"/>
                      <w:szCs w:val="21"/>
                      <w:u w:val="none" w:color="auto"/>
                    </w:rPr>
                  </w:pPr>
                </w:p>
              </w:tc>
              <w:tc>
                <w:tcPr>
                  <w:tcW w:w="480" w:type="pct"/>
                  <w:vMerge w:val="continue"/>
                  <w:noWrap w:val="0"/>
                  <w:vAlign w:val="center"/>
                </w:tcPr>
                <w:p w14:paraId="2372A98C">
                  <w:pPr>
                    <w:spacing w:line="240" w:lineRule="auto"/>
                    <w:ind w:firstLine="0" w:firstLineChars="0"/>
                    <w:jc w:val="center"/>
                    <w:rPr>
                      <w:color w:val="auto"/>
                      <w:sz w:val="21"/>
                      <w:szCs w:val="21"/>
                      <w:u w:val="none" w:color="auto"/>
                    </w:rPr>
                  </w:pPr>
                </w:p>
              </w:tc>
              <w:tc>
                <w:tcPr>
                  <w:tcW w:w="2461" w:type="pct"/>
                  <w:tcBorders>
                    <w:bottom w:val="single" w:color="auto" w:sz="4" w:space="0"/>
                  </w:tcBorders>
                  <w:noWrap w:val="0"/>
                  <w:vAlign w:val="center"/>
                </w:tcPr>
                <w:p w14:paraId="43BD1BCE">
                  <w:pPr>
                    <w:spacing w:line="240" w:lineRule="auto"/>
                    <w:ind w:firstLine="0" w:firstLineChars="0"/>
                    <w:jc w:val="center"/>
                    <w:rPr>
                      <w:color w:val="auto"/>
                      <w:sz w:val="21"/>
                      <w:szCs w:val="21"/>
                      <w:u w:val="none" w:color="auto"/>
                    </w:rPr>
                  </w:pPr>
                  <w:r>
                    <w:rPr>
                      <w:color w:val="auto"/>
                      <w:sz w:val="21"/>
                      <w:szCs w:val="21"/>
                      <w:u w:val="none" w:color="auto"/>
                    </w:rPr>
                    <w:t>（二）企业应制定产品单耗指标和能耗</w:t>
                  </w:r>
                  <w:r>
                    <w:rPr>
                      <w:rFonts w:hint="eastAsia"/>
                      <w:color w:val="auto"/>
                      <w:sz w:val="21"/>
                      <w:szCs w:val="21"/>
                      <w:u w:val="none" w:color="auto"/>
                      <w:lang w:val="en-US" w:eastAsia="zh-CN"/>
                    </w:rPr>
                    <w:t>台账</w:t>
                  </w:r>
                  <w:r>
                    <w:rPr>
                      <w:color w:val="auto"/>
                      <w:sz w:val="21"/>
                      <w:szCs w:val="21"/>
                      <w:u w:val="none" w:color="auto"/>
                    </w:rPr>
                    <w:t>，不得使用国家明令淘汰的、严重污染环境的落后用能设备和生产工艺。鼓励企业调整用能结构，使用光伏等清洁能源，开展节能技术应用研究，制定节能规章制度，开发节能共性和关键技术，促进节能技术创新与成果转化。</w:t>
                  </w:r>
                </w:p>
              </w:tc>
              <w:tc>
                <w:tcPr>
                  <w:tcW w:w="1290" w:type="pct"/>
                  <w:tcBorders>
                    <w:bottom w:val="single" w:color="auto" w:sz="4" w:space="0"/>
                  </w:tcBorders>
                  <w:noWrap w:val="0"/>
                  <w:vAlign w:val="center"/>
                </w:tcPr>
                <w:p w14:paraId="0D57A124">
                  <w:pPr>
                    <w:spacing w:line="240" w:lineRule="auto"/>
                    <w:ind w:firstLine="0" w:firstLineChars="0"/>
                    <w:jc w:val="center"/>
                    <w:rPr>
                      <w:color w:val="auto"/>
                      <w:sz w:val="21"/>
                      <w:szCs w:val="21"/>
                      <w:u w:val="none" w:color="auto"/>
                    </w:rPr>
                  </w:pPr>
                  <w:r>
                    <w:rPr>
                      <w:rFonts w:hint="eastAsia"/>
                      <w:color w:val="auto"/>
                      <w:sz w:val="21"/>
                      <w:szCs w:val="21"/>
                      <w:u w:val="none" w:color="auto"/>
                    </w:rPr>
                    <w:t>本项目</w:t>
                  </w:r>
                  <w:r>
                    <w:rPr>
                      <w:rFonts w:hint="eastAsia"/>
                      <w:color w:val="auto"/>
                      <w:sz w:val="21"/>
                      <w:szCs w:val="21"/>
                      <w:u w:val="none" w:color="auto"/>
                      <w:lang w:eastAsia="zh-CN"/>
                    </w:rPr>
                    <w:t>生产</w:t>
                  </w:r>
                  <w:r>
                    <w:rPr>
                      <w:rFonts w:hint="eastAsia"/>
                      <w:color w:val="auto"/>
                      <w:sz w:val="21"/>
                      <w:szCs w:val="21"/>
                      <w:u w:val="none" w:color="auto"/>
                    </w:rPr>
                    <w:t>设备及生产工艺符合国家产业政策</w:t>
                  </w:r>
                </w:p>
              </w:tc>
              <w:tc>
                <w:tcPr>
                  <w:tcW w:w="458" w:type="pct"/>
                  <w:tcBorders>
                    <w:bottom w:val="single" w:color="auto" w:sz="4" w:space="0"/>
                  </w:tcBorders>
                  <w:noWrap w:val="0"/>
                  <w:vAlign w:val="center"/>
                </w:tcPr>
                <w:p w14:paraId="16FB731C">
                  <w:pPr>
                    <w:spacing w:line="240" w:lineRule="auto"/>
                    <w:ind w:firstLine="0" w:firstLineChars="0"/>
                    <w:jc w:val="center"/>
                    <w:rPr>
                      <w:color w:val="auto"/>
                      <w:sz w:val="21"/>
                      <w:szCs w:val="21"/>
                      <w:u w:val="none" w:color="auto"/>
                    </w:rPr>
                  </w:pPr>
                  <w:r>
                    <w:rPr>
                      <w:color w:val="auto"/>
                      <w:sz w:val="21"/>
                      <w:szCs w:val="21"/>
                      <w:u w:val="none" w:color="auto"/>
                    </w:rPr>
                    <w:t>符合</w:t>
                  </w:r>
                </w:p>
              </w:tc>
            </w:tr>
            <w:tr w14:paraId="4EFFC0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4" w:hRule="atLeast"/>
              </w:trPr>
              <w:tc>
                <w:tcPr>
                  <w:tcW w:w="308" w:type="pct"/>
                  <w:vMerge w:val="continue"/>
                  <w:noWrap w:val="0"/>
                  <w:vAlign w:val="center"/>
                </w:tcPr>
                <w:p w14:paraId="3ECC46DA">
                  <w:pPr>
                    <w:spacing w:line="240" w:lineRule="auto"/>
                    <w:ind w:firstLine="0" w:firstLineChars="0"/>
                    <w:jc w:val="center"/>
                    <w:rPr>
                      <w:color w:val="auto"/>
                      <w:sz w:val="21"/>
                      <w:szCs w:val="21"/>
                      <w:u w:val="none" w:color="auto"/>
                    </w:rPr>
                  </w:pPr>
                </w:p>
              </w:tc>
              <w:tc>
                <w:tcPr>
                  <w:tcW w:w="480" w:type="pct"/>
                  <w:vMerge w:val="continue"/>
                  <w:noWrap w:val="0"/>
                  <w:vAlign w:val="center"/>
                </w:tcPr>
                <w:p w14:paraId="44B78FA7">
                  <w:pPr>
                    <w:spacing w:line="240" w:lineRule="auto"/>
                    <w:ind w:firstLine="0" w:firstLineChars="0"/>
                    <w:jc w:val="center"/>
                    <w:rPr>
                      <w:color w:val="auto"/>
                      <w:sz w:val="21"/>
                      <w:szCs w:val="21"/>
                      <w:u w:val="none" w:color="auto"/>
                    </w:rPr>
                  </w:pPr>
                </w:p>
              </w:tc>
              <w:tc>
                <w:tcPr>
                  <w:tcW w:w="2461" w:type="pct"/>
                  <w:tcBorders>
                    <w:top w:val="single" w:color="auto" w:sz="4" w:space="0"/>
                    <w:bottom w:val="single" w:color="auto" w:sz="4" w:space="0"/>
                  </w:tcBorders>
                  <w:noWrap w:val="0"/>
                  <w:vAlign w:val="center"/>
                </w:tcPr>
                <w:p w14:paraId="743DB41A">
                  <w:pPr>
                    <w:spacing w:line="240" w:lineRule="auto"/>
                    <w:ind w:firstLine="0" w:firstLineChars="0"/>
                    <w:jc w:val="center"/>
                    <w:rPr>
                      <w:color w:val="auto"/>
                      <w:sz w:val="21"/>
                      <w:szCs w:val="21"/>
                      <w:u w:val="none" w:color="auto"/>
                    </w:rPr>
                  </w:pPr>
                  <w:r>
                    <w:rPr>
                      <w:color w:val="auto"/>
                      <w:sz w:val="21"/>
                      <w:szCs w:val="21"/>
                      <w:u w:val="none" w:color="auto"/>
                    </w:rPr>
                    <w:t>（三）鼓励企业在产品前端设计增加资源回收和综合利用，健全锂离子电池生产、销售、使用、回收、综合利用等全生命周期资源综合管理。</w:t>
                  </w:r>
                </w:p>
              </w:tc>
              <w:tc>
                <w:tcPr>
                  <w:tcW w:w="1290" w:type="pct"/>
                  <w:tcBorders>
                    <w:top w:val="single" w:color="auto" w:sz="4" w:space="0"/>
                    <w:bottom w:val="single" w:color="auto" w:sz="4" w:space="0"/>
                  </w:tcBorders>
                  <w:noWrap w:val="0"/>
                  <w:vAlign w:val="center"/>
                </w:tcPr>
                <w:p w14:paraId="3790D5AA">
                  <w:pPr>
                    <w:spacing w:line="240" w:lineRule="auto"/>
                    <w:ind w:firstLine="0" w:firstLineChars="0"/>
                    <w:jc w:val="center"/>
                    <w:rPr>
                      <w:color w:val="auto"/>
                      <w:sz w:val="21"/>
                      <w:szCs w:val="21"/>
                      <w:u w:val="none" w:color="auto"/>
                    </w:rPr>
                  </w:pPr>
                  <w:r>
                    <w:rPr>
                      <w:rFonts w:hint="eastAsia"/>
                      <w:color w:val="auto"/>
                      <w:sz w:val="21"/>
                      <w:szCs w:val="21"/>
                      <w:u w:val="none" w:color="auto"/>
                    </w:rPr>
                    <w:t>本项目具有资源回收、</w:t>
                  </w:r>
                  <w:r>
                    <w:rPr>
                      <w:color w:val="auto"/>
                      <w:sz w:val="21"/>
                      <w:szCs w:val="21"/>
                      <w:u w:val="none" w:color="auto"/>
                    </w:rPr>
                    <w:t>综合利用等全生命周期资源综合管理</w:t>
                  </w:r>
                </w:p>
              </w:tc>
              <w:tc>
                <w:tcPr>
                  <w:tcW w:w="458" w:type="pct"/>
                  <w:tcBorders>
                    <w:top w:val="single" w:color="auto" w:sz="4" w:space="0"/>
                    <w:bottom w:val="single" w:color="auto" w:sz="4" w:space="0"/>
                  </w:tcBorders>
                  <w:noWrap w:val="0"/>
                  <w:vAlign w:val="center"/>
                </w:tcPr>
                <w:p w14:paraId="2227D6A1">
                  <w:pPr>
                    <w:spacing w:line="240" w:lineRule="auto"/>
                    <w:ind w:firstLine="0" w:firstLineChars="0"/>
                    <w:jc w:val="center"/>
                    <w:rPr>
                      <w:color w:val="auto"/>
                      <w:sz w:val="21"/>
                      <w:szCs w:val="21"/>
                      <w:u w:val="none" w:color="auto"/>
                    </w:rPr>
                  </w:pPr>
                  <w:r>
                    <w:rPr>
                      <w:color w:val="auto"/>
                      <w:sz w:val="21"/>
                      <w:szCs w:val="21"/>
                      <w:u w:val="none" w:color="auto"/>
                    </w:rPr>
                    <w:t>符合</w:t>
                  </w:r>
                </w:p>
              </w:tc>
            </w:tr>
            <w:tr w14:paraId="47D844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5" w:hRule="atLeast"/>
              </w:trPr>
              <w:tc>
                <w:tcPr>
                  <w:tcW w:w="308" w:type="pct"/>
                  <w:vMerge w:val="continue"/>
                  <w:noWrap w:val="0"/>
                  <w:vAlign w:val="center"/>
                </w:tcPr>
                <w:p w14:paraId="2DA9E5B7">
                  <w:pPr>
                    <w:spacing w:line="240" w:lineRule="auto"/>
                    <w:ind w:firstLine="0" w:firstLineChars="0"/>
                    <w:jc w:val="center"/>
                    <w:rPr>
                      <w:color w:val="auto"/>
                      <w:sz w:val="21"/>
                      <w:szCs w:val="21"/>
                      <w:u w:val="none" w:color="auto"/>
                    </w:rPr>
                  </w:pPr>
                </w:p>
              </w:tc>
              <w:tc>
                <w:tcPr>
                  <w:tcW w:w="480" w:type="pct"/>
                  <w:vMerge w:val="continue"/>
                  <w:noWrap w:val="0"/>
                  <w:vAlign w:val="center"/>
                </w:tcPr>
                <w:p w14:paraId="6987EE4D">
                  <w:pPr>
                    <w:spacing w:line="240" w:lineRule="auto"/>
                    <w:ind w:firstLine="0" w:firstLineChars="0"/>
                    <w:jc w:val="center"/>
                    <w:rPr>
                      <w:color w:val="auto"/>
                      <w:sz w:val="21"/>
                      <w:szCs w:val="21"/>
                      <w:u w:val="none" w:color="auto"/>
                    </w:rPr>
                  </w:pPr>
                </w:p>
              </w:tc>
              <w:tc>
                <w:tcPr>
                  <w:tcW w:w="2461" w:type="pct"/>
                  <w:tcBorders>
                    <w:top w:val="single" w:color="auto" w:sz="4" w:space="0"/>
                    <w:bottom w:val="single" w:color="auto" w:sz="4" w:space="0"/>
                  </w:tcBorders>
                  <w:noWrap w:val="0"/>
                  <w:vAlign w:val="center"/>
                </w:tcPr>
                <w:p w14:paraId="5E003280">
                  <w:pPr>
                    <w:spacing w:line="240" w:lineRule="auto"/>
                    <w:ind w:firstLine="0" w:firstLineChars="0"/>
                    <w:jc w:val="center"/>
                    <w:rPr>
                      <w:color w:val="auto"/>
                      <w:sz w:val="21"/>
                      <w:szCs w:val="21"/>
                      <w:u w:val="none" w:color="auto"/>
                    </w:rPr>
                  </w:pPr>
                  <w:r>
                    <w:rPr>
                      <w:color w:val="auto"/>
                      <w:sz w:val="21"/>
                      <w:szCs w:val="21"/>
                      <w:u w:val="none" w:color="auto"/>
                    </w:rPr>
                    <w:t>（四）企业应依法开展建设项目环境影响评价，严格执行环境保护设施“三同时”制度，并按规定开展竣工环境保护设施验收。</w:t>
                  </w:r>
                </w:p>
              </w:tc>
              <w:tc>
                <w:tcPr>
                  <w:tcW w:w="1290" w:type="pct"/>
                  <w:tcBorders>
                    <w:top w:val="single" w:color="auto" w:sz="4" w:space="0"/>
                    <w:bottom w:val="single" w:color="auto" w:sz="4" w:space="0"/>
                  </w:tcBorders>
                  <w:noWrap w:val="0"/>
                  <w:vAlign w:val="center"/>
                </w:tcPr>
                <w:p w14:paraId="7CBFA8C8">
                  <w:pPr>
                    <w:spacing w:line="240" w:lineRule="auto"/>
                    <w:ind w:firstLine="0" w:firstLineChars="0"/>
                    <w:jc w:val="center"/>
                    <w:rPr>
                      <w:color w:val="auto"/>
                      <w:sz w:val="21"/>
                      <w:szCs w:val="21"/>
                      <w:u w:val="none" w:color="auto"/>
                    </w:rPr>
                  </w:pPr>
                  <w:r>
                    <w:rPr>
                      <w:rFonts w:hint="eastAsia"/>
                      <w:color w:val="auto"/>
                      <w:sz w:val="21"/>
                      <w:szCs w:val="21"/>
                      <w:u w:val="none" w:color="auto"/>
                    </w:rPr>
                    <w:t>本项目将</w:t>
                  </w:r>
                  <w:r>
                    <w:rPr>
                      <w:color w:val="auto"/>
                      <w:sz w:val="21"/>
                      <w:szCs w:val="21"/>
                      <w:u w:val="none" w:color="auto"/>
                    </w:rPr>
                    <w:t>依法开展建设项目环境影响评价，严格执行环境保护设施“三同时”制度，并按规定开展竣工环境保护设施验收</w:t>
                  </w:r>
                </w:p>
              </w:tc>
              <w:tc>
                <w:tcPr>
                  <w:tcW w:w="458" w:type="pct"/>
                  <w:tcBorders>
                    <w:top w:val="single" w:color="auto" w:sz="4" w:space="0"/>
                    <w:bottom w:val="single" w:color="auto" w:sz="4" w:space="0"/>
                  </w:tcBorders>
                  <w:noWrap w:val="0"/>
                  <w:vAlign w:val="center"/>
                </w:tcPr>
                <w:p w14:paraId="2D26BA91">
                  <w:pPr>
                    <w:spacing w:line="240" w:lineRule="auto"/>
                    <w:ind w:firstLine="0" w:firstLineChars="0"/>
                    <w:jc w:val="center"/>
                    <w:rPr>
                      <w:color w:val="auto"/>
                      <w:sz w:val="21"/>
                      <w:szCs w:val="21"/>
                      <w:u w:val="none" w:color="auto"/>
                    </w:rPr>
                  </w:pPr>
                  <w:r>
                    <w:rPr>
                      <w:color w:val="auto"/>
                      <w:sz w:val="21"/>
                      <w:szCs w:val="21"/>
                      <w:u w:val="none" w:color="auto"/>
                    </w:rPr>
                    <w:t>符合</w:t>
                  </w:r>
                </w:p>
              </w:tc>
            </w:tr>
            <w:tr w14:paraId="0B30D2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99" w:hRule="atLeast"/>
              </w:trPr>
              <w:tc>
                <w:tcPr>
                  <w:tcW w:w="308" w:type="pct"/>
                  <w:vMerge w:val="continue"/>
                  <w:noWrap w:val="0"/>
                  <w:vAlign w:val="center"/>
                </w:tcPr>
                <w:p w14:paraId="130C550A">
                  <w:pPr>
                    <w:spacing w:line="240" w:lineRule="auto"/>
                    <w:ind w:firstLine="0" w:firstLineChars="0"/>
                    <w:jc w:val="center"/>
                    <w:rPr>
                      <w:color w:val="auto"/>
                      <w:sz w:val="21"/>
                      <w:szCs w:val="21"/>
                      <w:u w:val="none" w:color="auto"/>
                    </w:rPr>
                  </w:pPr>
                </w:p>
              </w:tc>
              <w:tc>
                <w:tcPr>
                  <w:tcW w:w="480" w:type="pct"/>
                  <w:vMerge w:val="continue"/>
                  <w:noWrap w:val="0"/>
                  <w:vAlign w:val="center"/>
                </w:tcPr>
                <w:p w14:paraId="5B2BF112">
                  <w:pPr>
                    <w:spacing w:line="240" w:lineRule="auto"/>
                    <w:ind w:firstLine="0" w:firstLineChars="0"/>
                    <w:jc w:val="center"/>
                    <w:rPr>
                      <w:color w:val="auto"/>
                      <w:sz w:val="21"/>
                      <w:szCs w:val="21"/>
                      <w:u w:val="none" w:color="auto"/>
                    </w:rPr>
                  </w:pPr>
                </w:p>
              </w:tc>
              <w:tc>
                <w:tcPr>
                  <w:tcW w:w="2461" w:type="pct"/>
                  <w:tcBorders>
                    <w:top w:val="single" w:color="auto" w:sz="4" w:space="0"/>
                    <w:bottom w:val="single" w:color="auto" w:sz="4" w:space="0"/>
                  </w:tcBorders>
                  <w:noWrap w:val="0"/>
                  <w:vAlign w:val="center"/>
                </w:tcPr>
                <w:p w14:paraId="0DAC75B9">
                  <w:pPr>
                    <w:spacing w:line="240" w:lineRule="auto"/>
                    <w:ind w:firstLine="0" w:firstLineChars="0"/>
                    <w:jc w:val="center"/>
                    <w:rPr>
                      <w:color w:val="auto"/>
                      <w:sz w:val="21"/>
                      <w:szCs w:val="21"/>
                      <w:u w:val="none" w:color="auto"/>
                    </w:rPr>
                  </w:pPr>
                  <w:r>
                    <w:rPr>
                      <w:color w:val="auto"/>
                      <w:sz w:val="21"/>
                      <w:szCs w:val="21"/>
                      <w:u w:val="none" w:color="auto"/>
                    </w:rPr>
                    <w:t>（五）锂离子电池生产企业应依法申领排污许可证，按照排污许可证排放污染物并落实各项环境管理要求；采取有效措施防止污染土壤和地下水；废有机溶剂、废电池等固体废物应依法分类贮存、收集、运输、综合利用或无害化处理。</w:t>
                  </w:r>
                </w:p>
              </w:tc>
              <w:tc>
                <w:tcPr>
                  <w:tcW w:w="1290" w:type="pct"/>
                  <w:tcBorders>
                    <w:top w:val="single" w:color="auto" w:sz="4" w:space="0"/>
                    <w:bottom w:val="single" w:color="auto" w:sz="4" w:space="0"/>
                  </w:tcBorders>
                  <w:noWrap w:val="0"/>
                  <w:vAlign w:val="center"/>
                </w:tcPr>
                <w:p w14:paraId="7354B441">
                  <w:pPr>
                    <w:spacing w:line="240" w:lineRule="auto"/>
                    <w:ind w:firstLine="0" w:firstLineChars="0"/>
                    <w:jc w:val="center"/>
                    <w:rPr>
                      <w:color w:val="auto"/>
                      <w:sz w:val="21"/>
                      <w:szCs w:val="21"/>
                      <w:u w:val="none" w:color="auto"/>
                    </w:rPr>
                  </w:pPr>
                  <w:r>
                    <w:rPr>
                      <w:rFonts w:hint="eastAsia"/>
                      <w:color w:val="auto"/>
                      <w:sz w:val="21"/>
                      <w:szCs w:val="21"/>
                      <w:u w:val="none" w:color="auto"/>
                    </w:rPr>
                    <w:t>本项目将</w:t>
                  </w:r>
                  <w:r>
                    <w:rPr>
                      <w:color w:val="auto"/>
                      <w:sz w:val="21"/>
                      <w:szCs w:val="21"/>
                      <w:u w:val="none" w:color="auto"/>
                    </w:rPr>
                    <w:t>依法申领排污许可证</w:t>
                  </w:r>
                  <w:r>
                    <w:rPr>
                      <w:rFonts w:hint="eastAsia"/>
                      <w:color w:val="auto"/>
                      <w:sz w:val="21"/>
                      <w:szCs w:val="21"/>
                      <w:u w:val="none" w:color="auto"/>
                    </w:rPr>
                    <w:t>，</w:t>
                  </w:r>
                  <w:r>
                    <w:rPr>
                      <w:color w:val="auto"/>
                      <w:sz w:val="21"/>
                      <w:szCs w:val="21"/>
                      <w:u w:val="none" w:color="auto"/>
                    </w:rPr>
                    <w:t>按照排污许可证排放污染物并落实各项环境管理要求</w:t>
                  </w:r>
                </w:p>
              </w:tc>
              <w:tc>
                <w:tcPr>
                  <w:tcW w:w="458" w:type="pct"/>
                  <w:tcBorders>
                    <w:top w:val="single" w:color="auto" w:sz="4" w:space="0"/>
                    <w:bottom w:val="single" w:color="auto" w:sz="4" w:space="0"/>
                  </w:tcBorders>
                  <w:noWrap w:val="0"/>
                  <w:vAlign w:val="center"/>
                </w:tcPr>
                <w:p w14:paraId="504B4ED6">
                  <w:pPr>
                    <w:spacing w:line="240" w:lineRule="auto"/>
                    <w:ind w:firstLine="0" w:firstLineChars="0"/>
                    <w:jc w:val="center"/>
                    <w:rPr>
                      <w:color w:val="auto"/>
                      <w:sz w:val="21"/>
                      <w:szCs w:val="21"/>
                      <w:u w:val="none" w:color="auto"/>
                    </w:rPr>
                  </w:pPr>
                  <w:r>
                    <w:rPr>
                      <w:color w:val="auto"/>
                      <w:sz w:val="21"/>
                      <w:szCs w:val="21"/>
                      <w:u w:val="none" w:color="auto"/>
                    </w:rPr>
                    <w:t>符合</w:t>
                  </w:r>
                </w:p>
              </w:tc>
            </w:tr>
            <w:tr w14:paraId="21F542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8" w:hRule="atLeast"/>
              </w:trPr>
              <w:tc>
                <w:tcPr>
                  <w:tcW w:w="308" w:type="pct"/>
                  <w:vMerge w:val="continue"/>
                  <w:noWrap w:val="0"/>
                  <w:vAlign w:val="center"/>
                </w:tcPr>
                <w:p w14:paraId="6B394825">
                  <w:pPr>
                    <w:spacing w:line="240" w:lineRule="auto"/>
                    <w:ind w:firstLine="0" w:firstLineChars="0"/>
                    <w:jc w:val="center"/>
                    <w:rPr>
                      <w:color w:val="auto"/>
                      <w:sz w:val="21"/>
                      <w:szCs w:val="21"/>
                      <w:u w:val="none" w:color="auto"/>
                    </w:rPr>
                  </w:pPr>
                </w:p>
              </w:tc>
              <w:tc>
                <w:tcPr>
                  <w:tcW w:w="480" w:type="pct"/>
                  <w:vMerge w:val="continue"/>
                  <w:noWrap w:val="0"/>
                  <w:vAlign w:val="center"/>
                </w:tcPr>
                <w:p w14:paraId="2CDA7DC3">
                  <w:pPr>
                    <w:spacing w:line="240" w:lineRule="auto"/>
                    <w:ind w:firstLine="0" w:firstLineChars="0"/>
                    <w:jc w:val="center"/>
                    <w:rPr>
                      <w:color w:val="auto"/>
                      <w:sz w:val="21"/>
                      <w:szCs w:val="21"/>
                      <w:u w:val="none" w:color="auto"/>
                    </w:rPr>
                  </w:pPr>
                </w:p>
              </w:tc>
              <w:tc>
                <w:tcPr>
                  <w:tcW w:w="2461" w:type="pct"/>
                  <w:tcBorders>
                    <w:top w:val="single" w:color="auto" w:sz="4" w:space="0"/>
                    <w:bottom w:val="single" w:color="auto" w:sz="4" w:space="0"/>
                  </w:tcBorders>
                  <w:noWrap w:val="0"/>
                  <w:vAlign w:val="center"/>
                </w:tcPr>
                <w:p w14:paraId="6B22C6C8">
                  <w:pPr>
                    <w:spacing w:line="240" w:lineRule="auto"/>
                    <w:ind w:firstLine="0" w:firstLineChars="0"/>
                    <w:jc w:val="center"/>
                    <w:rPr>
                      <w:color w:val="auto"/>
                      <w:sz w:val="21"/>
                      <w:szCs w:val="21"/>
                      <w:u w:val="none" w:color="auto"/>
                    </w:rPr>
                  </w:pPr>
                  <w:r>
                    <w:rPr>
                      <w:color w:val="auto"/>
                      <w:sz w:val="21"/>
                      <w:szCs w:val="21"/>
                      <w:u w:val="none" w:color="auto"/>
                    </w:rPr>
                    <w:t>（六）企业应按照国家有关规定制定突发环境事件应急预案，妥善处理突发环境事件。企业应按照《环境信息依法披露制度改革方案》有关要求，依法披露环境信息。</w:t>
                  </w:r>
                </w:p>
              </w:tc>
              <w:tc>
                <w:tcPr>
                  <w:tcW w:w="1290" w:type="pct"/>
                  <w:tcBorders>
                    <w:top w:val="single" w:color="auto" w:sz="4" w:space="0"/>
                    <w:bottom w:val="single" w:color="auto" w:sz="4" w:space="0"/>
                  </w:tcBorders>
                  <w:noWrap w:val="0"/>
                  <w:vAlign w:val="center"/>
                </w:tcPr>
                <w:p w14:paraId="4744A8FE">
                  <w:pPr>
                    <w:spacing w:line="240" w:lineRule="auto"/>
                    <w:ind w:firstLine="0" w:firstLineChars="0"/>
                    <w:jc w:val="center"/>
                    <w:rPr>
                      <w:color w:val="auto"/>
                      <w:sz w:val="21"/>
                      <w:szCs w:val="21"/>
                      <w:u w:val="none" w:color="auto"/>
                    </w:rPr>
                  </w:pPr>
                  <w:r>
                    <w:rPr>
                      <w:rFonts w:hint="eastAsia"/>
                      <w:color w:val="auto"/>
                      <w:sz w:val="21"/>
                      <w:szCs w:val="21"/>
                      <w:u w:val="none" w:color="auto"/>
                    </w:rPr>
                    <w:t>本项目将</w:t>
                  </w:r>
                  <w:r>
                    <w:rPr>
                      <w:color w:val="auto"/>
                      <w:sz w:val="21"/>
                      <w:szCs w:val="21"/>
                      <w:u w:val="none" w:color="auto"/>
                    </w:rPr>
                    <w:t>按照国家有关规定制定突发环境事件应急预案，妥善处理突发环境事件。</w:t>
                  </w:r>
                </w:p>
              </w:tc>
              <w:tc>
                <w:tcPr>
                  <w:tcW w:w="458" w:type="pct"/>
                  <w:tcBorders>
                    <w:top w:val="single" w:color="auto" w:sz="4" w:space="0"/>
                    <w:bottom w:val="single" w:color="auto" w:sz="4" w:space="0"/>
                  </w:tcBorders>
                  <w:noWrap w:val="0"/>
                  <w:vAlign w:val="center"/>
                </w:tcPr>
                <w:p w14:paraId="296C3649">
                  <w:pPr>
                    <w:spacing w:line="240" w:lineRule="auto"/>
                    <w:ind w:firstLine="0" w:firstLineChars="0"/>
                    <w:jc w:val="center"/>
                    <w:rPr>
                      <w:color w:val="auto"/>
                      <w:sz w:val="21"/>
                      <w:szCs w:val="21"/>
                      <w:u w:val="none" w:color="auto"/>
                    </w:rPr>
                  </w:pPr>
                  <w:r>
                    <w:rPr>
                      <w:color w:val="auto"/>
                      <w:sz w:val="21"/>
                      <w:szCs w:val="21"/>
                      <w:u w:val="none" w:color="auto"/>
                    </w:rPr>
                    <w:t>符合</w:t>
                  </w:r>
                </w:p>
              </w:tc>
            </w:tr>
            <w:tr w14:paraId="1FBFD0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308" w:type="pct"/>
                  <w:vMerge w:val="continue"/>
                  <w:noWrap w:val="0"/>
                  <w:vAlign w:val="center"/>
                </w:tcPr>
                <w:p w14:paraId="64328280">
                  <w:pPr>
                    <w:spacing w:line="240" w:lineRule="auto"/>
                    <w:ind w:firstLine="0" w:firstLineChars="0"/>
                    <w:jc w:val="center"/>
                    <w:rPr>
                      <w:color w:val="auto"/>
                      <w:sz w:val="21"/>
                      <w:szCs w:val="21"/>
                      <w:u w:val="none" w:color="auto"/>
                    </w:rPr>
                  </w:pPr>
                </w:p>
              </w:tc>
              <w:tc>
                <w:tcPr>
                  <w:tcW w:w="480" w:type="pct"/>
                  <w:vMerge w:val="continue"/>
                  <w:noWrap w:val="0"/>
                  <w:vAlign w:val="center"/>
                </w:tcPr>
                <w:p w14:paraId="427051CC">
                  <w:pPr>
                    <w:spacing w:line="240" w:lineRule="auto"/>
                    <w:ind w:firstLine="0" w:firstLineChars="0"/>
                    <w:jc w:val="center"/>
                    <w:rPr>
                      <w:color w:val="auto"/>
                      <w:sz w:val="21"/>
                      <w:szCs w:val="21"/>
                      <w:u w:val="none" w:color="auto"/>
                    </w:rPr>
                  </w:pPr>
                </w:p>
              </w:tc>
              <w:tc>
                <w:tcPr>
                  <w:tcW w:w="2461" w:type="pct"/>
                  <w:tcBorders>
                    <w:top w:val="single" w:color="auto" w:sz="4" w:space="0"/>
                  </w:tcBorders>
                  <w:noWrap w:val="0"/>
                  <w:vAlign w:val="center"/>
                </w:tcPr>
                <w:p w14:paraId="2842D839">
                  <w:pPr>
                    <w:spacing w:line="240" w:lineRule="auto"/>
                    <w:ind w:firstLine="0" w:firstLineChars="0"/>
                    <w:jc w:val="center"/>
                    <w:rPr>
                      <w:color w:val="auto"/>
                      <w:sz w:val="21"/>
                      <w:szCs w:val="21"/>
                      <w:u w:val="none" w:color="auto"/>
                    </w:rPr>
                  </w:pPr>
                  <w:r>
                    <w:rPr>
                      <w:color w:val="auto"/>
                      <w:sz w:val="21"/>
                      <w:szCs w:val="21"/>
                      <w:u w:val="none" w:color="auto"/>
                    </w:rPr>
                    <w:t>（七）企业应建立环境管理体系，鼓励通过第三方认证。鼓励企业持续开展清洁生产审核工作，清洁生产指标宜达到《电池行业清洁生产评价指标体系》中</w:t>
                  </w:r>
                  <w:r>
                    <w:rPr>
                      <w:rFonts w:hint="eastAsia"/>
                      <w:color w:val="auto"/>
                      <w:sz w:val="21"/>
                      <w:szCs w:val="21"/>
                      <w:u w:val="none" w:color="auto"/>
                      <w:lang w:eastAsia="zh-CN"/>
                    </w:rPr>
                    <w:t>Ⅲ</w:t>
                  </w:r>
                  <w:r>
                    <w:rPr>
                      <w:color w:val="auto"/>
                      <w:sz w:val="21"/>
                      <w:szCs w:val="21"/>
                      <w:u w:val="none" w:color="auto"/>
                    </w:rPr>
                    <w:t>级及以上水平。</w:t>
                  </w:r>
                </w:p>
              </w:tc>
              <w:tc>
                <w:tcPr>
                  <w:tcW w:w="1290" w:type="pct"/>
                  <w:tcBorders>
                    <w:top w:val="single" w:color="auto" w:sz="4" w:space="0"/>
                  </w:tcBorders>
                  <w:noWrap w:val="0"/>
                  <w:vAlign w:val="center"/>
                </w:tcPr>
                <w:p w14:paraId="6550E206">
                  <w:pPr>
                    <w:spacing w:line="240" w:lineRule="auto"/>
                    <w:ind w:firstLine="0" w:firstLineChars="0"/>
                    <w:jc w:val="center"/>
                    <w:rPr>
                      <w:color w:val="auto"/>
                      <w:sz w:val="21"/>
                      <w:szCs w:val="21"/>
                      <w:u w:val="none" w:color="auto"/>
                    </w:rPr>
                  </w:pPr>
                  <w:r>
                    <w:rPr>
                      <w:rFonts w:hint="eastAsia"/>
                      <w:color w:val="auto"/>
                      <w:sz w:val="21"/>
                      <w:szCs w:val="21"/>
                      <w:u w:val="none" w:color="auto"/>
                    </w:rPr>
                    <w:t>本项目按要求</w:t>
                  </w:r>
                  <w:r>
                    <w:rPr>
                      <w:color w:val="auto"/>
                      <w:sz w:val="21"/>
                      <w:szCs w:val="21"/>
                      <w:u w:val="none" w:color="auto"/>
                    </w:rPr>
                    <w:t>建立环境管理体系</w:t>
                  </w:r>
                </w:p>
              </w:tc>
              <w:tc>
                <w:tcPr>
                  <w:tcW w:w="458" w:type="pct"/>
                  <w:tcBorders>
                    <w:top w:val="single" w:color="auto" w:sz="4" w:space="0"/>
                  </w:tcBorders>
                  <w:noWrap w:val="0"/>
                  <w:vAlign w:val="center"/>
                </w:tcPr>
                <w:p w14:paraId="31975C1F">
                  <w:pPr>
                    <w:spacing w:line="240" w:lineRule="auto"/>
                    <w:ind w:firstLine="0" w:firstLineChars="0"/>
                    <w:jc w:val="center"/>
                    <w:rPr>
                      <w:color w:val="auto"/>
                      <w:sz w:val="21"/>
                      <w:szCs w:val="21"/>
                      <w:u w:val="none" w:color="auto"/>
                    </w:rPr>
                  </w:pPr>
                  <w:r>
                    <w:rPr>
                      <w:color w:val="auto"/>
                      <w:sz w:val="21"/>
                      <w:szCs w:val="21"/>
                      <w:u w:val="none" w:color="auto"/>
                    </w:rPr>
                    <w:t>符合</w:t>
                  </w:r>
                </w:p>
              </w:tc>
            </w:tr>
          </w:tbl>
          <w:p w14:paraId="7F68ABBF">
            <w:pPr>
              <w:ind w:firstLine="480"/>
              <w:rPr>
                <w:color w:val="auto"/>
                <w:u w:val="none" w:color="auto"/>
              </w:rPr>
            </w:pPr>
            <w:r>
              <w:rPr>
                <w:rFonts w:hint="eastAsia"/>
                <w:color w:val="auto"/>
                <w:u w:val="none" w:color="auto"/>
              </w:rPr>
              <w:t>3、</w:t>
            </w:r>
            <w:r>
              <w:rPr>
                <w:color w:val="auto"/>
                <w:u w:val="none" w:color="auto"/>
              </w:rPr>
              <w:t>与《</w:t>
            </w:r>
            <w:r>
              <w:rPr>
                <w:rFonts w:hint="eastAsia" w:ascii="宋体" w:hAnsi="宋体" w:cs="宋体"/>
                <w:color w:val="auto"/>
                <w:u w:val="none" w:color="auto"/>
              </w:rPr>
              <w:t>湖南省“十四五”生态环境保护规划</w:t>
            </w:r>
            <w:r>
              <w:rPr>
                <w:color w:val="auto"/>
                <w:u w:val="none" w:color="auto"/>
              </w:rPr>
              <w:t>》的符合性分析</w:t>
            </w:r>
          </w:p>
          <w:p w14:paraId="39248C4C">
            <w:pPr>
              <w:ind w:firstLine="480"/>
              <w:rPr>
                <w:rFonts w:hint="eastAsia"/>
                <w:color w:val="auto"/>
                <w:u w:val="none" w:color="auto"/>
              </w:rPr>
            </w:pPr>
            <w:r>
              <w:rPr>
                <w:color w:val="auto"/>
                <w:u w:val="none" w:color="auto"/>
              </w:rPr>
              <w:t>根据《湖南省“十</w:t>
            </w:r>
            <w:r>
              <w:rPr>
                <w:rFonts w:hint="eastAsia"/>
                <w:color w:val="auto"/>
                <w:u w:val="none" w:color="auto"/>
              </w:rPr>
              <w:t>四</w:t>
            </w:r>
            <w:r>
              <w:rPr>
                <w:color w:val="auto"/>
                <w:u w:val="none" w:color="auto"/>
              </w:rPr>
              <w:t>五”环境保护规划》中</w:t>
            </w:r>
            <w:r>
              <w:rPr>
                <w:rFonts w:hint="eastAsia" w:ascii="宋体" w:hAnsi="宋体" w:cs="宋体"/>
                <w:color w:val="auto"/>
                <w:u w:val="none" w:color="auto"/>
                <w:shd w:val="clear" w:color="auto" w:fill="FFFFFF"/>
              </w:rPr>
              <w:t>“</w:t>
            </w:r>
            <w:r>
              <w:rPr>
                <w:rStyle w:val="31"/>
                <w:rFonts w:hint="eastAsia" w:ascii="宋体" w:hAnsi="宋体" w:cs="宋体"/>
                <w:color w:val="auto"/>
                <w:u w:val="none" w:color="auto"/>
                <w:shd w:val="clear" w:color="auto" w:fill="FFFFFF"/>
              </w:rPr>
              <w:t>（五）严格生态环境准入。严格生态环境分区引导</w:t>
            </w:r>
            <w:r>
              <w:rPr>
                <w:rFonts w:hint="eastAsia" w:ascii="宋体" w:hAnsi="宋体" w:cs="宋体"/>
                <w:color w:val="auto"/>
                <w:u w:val="none" w:color="auto"/>
                <w:shd w:val="clear" w:color="auto" w:fill="FFFFFF"/>
              </w:rPr>
              <w:t>。</w:t>
            </w:r>
            <w:r>
              <w:rPr>
                <w:rFonts w:hint="eastAsia"/>
                <w:color w:val="auto"/>
                <w:u w:val="none" w:color="auto"/>
              </w:rPr>
              <w:t>严格落实湖南省“三线一单”生态环境总体管控要求，将生态保护红线、环境质量底线、资源利用上线和生态环境准入清单作为硬约束落实到环境管控单元，根据生态环境功能、自然资源禀赋、经济与社会发展实际，对环境管控单元实施差异化生态环境准入管理。”</w:t>
            </w:r>
          </w:p>
          <w:p w14:paraId="63864F57">
            <w:pPr>
              <w:ind w:firstLine="480"/>
              <w:rPr>
                <w:rFonts w:hint="eastAsia"/>
                <w:color w:val="auto"/>
                <w:u w:val="none" w:color="auto"/>
              </w:rPr>
            </w:pPr>
            <w:r>
              <w:rPr>
                <w:rFonts w:hint="eastAsia"/>
                <w:color w:val="auto"/>
                <w:u w:val="none" w:color="auto"/>
              </w:rPr>
              <w:t>符合性分析：本项目位于工业园区，符合“三线一单”准入要求，与《湖南省“十四五”环境保护规划》中相关内容是相符的。</w:t>
            </w:r>
          </w:p>
          <w:p w14:paraId="080C16CD">
            <w:pPr>
              <w:ind w:firstLine="480"/>
              <w:rPr>
                <w:rFonts w:hint="eastAsia"/>
                <w:color w:val="auto"/>
                <w:u w:val="none" w:color="auto"/>
              </w:rPr>
            </w:pPr>
            <w:r>
              <w:rPr>
                <w:rFonts w:hint="eastAsia"/>
                <w:color w:val="auto"/>
                <w:u w:val="none" w:color="auto"/>
              </w:rPr>
              <w:t>4、与《永州市“十四五”生态环境保护规划》的符合性分析</w:t>
            </w:r>
          </w:p>
          <w:p w14:paraId="25C50C0C">
            <w:pPr>
              <w:ind w:firstLine="480"/>
              <w:rPr>
                <w:rFonts w:hint="eastAsia"/>
                <w:color w:val="auto"/>
                <w:u w:val="none" w:color="auto"/>
              </w:rPr>
            </w:pPr>
            <w:r>
              <w:rPr>
                <w:rFonts w:hint="eastAsia"/>
                <w:color w:val="auto"/>
                <w:u w:val="none" w:color="auto"/>
              </w:rPr>
              <w:t>根据《永州市“十四五”生态环境保护规划》中“（二）严格环境准入与管控”相关内容，分析如下：</w:t>
            </w:r>
          </w:p>
          <w:p w14:paraId="5B20CCCE">
            <w:pPr>
              <w:pStyle w:val="11"/>
              <w:spacing w:line="240" w:lineRule="auto"/>
              <w:ind w:firstLine="482"/>
              <w:rPr>
                <w:b/>
                <w:bCs/>
                <w:color w:val="auto"/>
                <w:sz w:val="21"/>
                <w:szCs w:val="21"/>
                <w:u w:val="none" w:color="auto"/>
              </w:rPr>
            </w:pPr>
            <w:r>
              <w:rPr>
                <w:b/>
                <w:bCs/>
                <w:color w:val="auto"/>
                <w:sz w:val="21"/>
                <w:szCs w:val="21"/>
                <w:u w:val="none" w:color="auto"/>
              </w:rPr>
              <w:t>表1-</w:t>
            </w:r>
            <w:r>
              <w:rPr>
                <w:rFonts w:hint="eastAsia"/>
                <w:b/>
                <w:bCs/>
                <w:color w:val="auto"/>
                <w:sz w:val="21"/>
                <w:szCs w:val="21"/>
                <w:u w:val="none" w:color="auto"/>
                <w:lang w:val="en-US" w:eastAsia="zh-CN"/>
              </w:rPr>
              <w:t>5</w:t>
            </w:r>
            <w:r>
              <w:rPr>
                <w:b/>
                <w:bCs/>
                <w:color w:val="auto"/>
                <w:sz w:val="21"/>
                <w:szCs w:val="21"/>
                <w:u w:val="none" w:color="auto"/>
              </w:rPr>
              <w:t>与</w:t>
            </w:r>
            <w:r>
              <w:rPr>
                <w:rFonts w:hint="eastAsia"/>
                <w:b/>
                <w:bCs/>
                <w:color w:val="auto"/>
                <w:sz w:val="21"/>
                <w:szCs w:val="21"/>
                <w:u w:val="none" w:color="auto"/>
              </w:rPr>
              <w:t>永州市“十四五”生态环境保护规划</w:t>
            </w:r>
            <w:r>
              <w:rPr>
                <w:b/>
                <w:bCs/>
                <w:color w:val="auto"/>
                <w:sz w:val="21"/>
                <w:szCs w:val="21"/>
                <w:u w:val="none" w:color="auto"/>
              </w:rPr>
              <w:t>符合性分析</w:t>
            </w:r>
          </w:p>
          <w:tbl>
            <w:tblPr>
              <w:tblStyle w:val="28"/>
              <w:tblW w:w="8174" w:type="dxa"/>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04"/>
              <w:gridCol w:w="733"/>
              <w:gridCol w:w="4951"/>
              <w:gridCol w:w="1290"/>
              <w:gridCol w:w="696"/>
            </w:tblGrid>
            <w:tr w14:paraId="58B16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08" w:type="pct"/>
                  <w:noWrap w:val="0"/>
                  <w:vAlign w:val="center"/>
                </w:tcPr>
                <w:p w14:paraId="5CEAA73C">
                  <w:pPr>
                    <w:spacing w:line="240" w:lineRule="auto"/>
                    <w:ind w:firstLine="0" w:firstLineChars="0"/>
                    <w:jc w:val="center"/>
                    <w:rPr>
                      <w:color w:val="auto"/>
                      <w:sz w:val="21"/>
                      <w:szCs w:val="21"/>
                      <w:u w:val="none" w:color="auto"/>
                    </w:rPr>
                  </w:pPr>
                  <w:r>
                    <w:rPr>
                      <w:color w:val="auto"/>
                      <w:sz w:val="21"/>
                      <w:szCs w:val="21"/>
                      <w:u w:val="none" w:color="auto"/>
                    </w:rPr>
                    <w:t>序号</w:t>
                  </w:r>
                </w:p>
              </w:tc>
              <w:tc>
                <w:tcPr>
                  <w:tcW w:w="448" w:type="pct"/>
                  <w:noWrap w:val="0"/>
                  <w:vAlign w:val="center"/>
                </w:tcPr>
                <w:p w14:paraId="57AD074A">
                  <w:pPr>
                    <w:spacing w:line="240" w:lineRule="auto"/>
                    <w:ind w:firstLine="0" w:firstLineChars="0"/>
                    <w:jc w:val="center"/>
                    <w:rPr>
                      <w:rFonts w:hint="eastAsia"/>
                      <w:color w:val="auto"/>
                      <w:sz w:val="21"/>
                      <w:szCs w:val="21"/>
                      <w:u w:val="none" w:color="auto"/>
                    </w:rPr>
                  </w:pPr>
                  <w:r>
                    <w:rPr>
                      <w:color w:val="auto"/>
                      <w:sz w:val="21"/>
                      <w:szCs w:val="21"/>
                      <w:u w:val="none" w:color="auto"/>
                    </w:rPr>
                    <w:t>规划</w:t>
                  </w:r>
                  <w:r>
                    <w:rPr>
                      <w:rFonts w:hint="eastAsia"/>
                      <w:color w:val="auto"/>
                      <w:sz w:val="21"/>
                      <w:szCs w:val="21"/>
                      <w:u w:val="none" w:color="auto"/>
                    </w:rPr>
                    <w:t>内容</w:t>
                  </w:r>
                </w:p>
              </w:tc>
              <w:tc>
                <w:tcPr>
                  <w:tcW w:w="3028" w:type="pct"/>
                  <w:noWrap w:val="0"/>
                  <w:vAlign w:val="center"/>
                </w:tcPr>
                <w:p w14:paraId="692A802F">
                  <w:pPr>
                    <w:spacing w:line="240" w:lineRule="auto"/>
                    <w:ind w:firstLine="0" w:firstLineChars="0"/>
                    <w:jc w:val="center"/>
                    <w:rPr>
                      <w:color w:val="auto"/>
                      <w:sz w:val="21"/>
                      <w:szCs w:val="21"/>
                      <w:u w:val="none" w:color="auto"/>
                    </w:rPr>
                  </w:pPr>
                  <w:r>
                    <w:rPr>
                      <w:color w:val="auto"/>
                      <w:sz w:val="21"/>
                      <w:szCs w:val="21"/>
                      <w:u w:val="none" w:color="auto"/>
                    </w:rPr>
                    <w:t>相关要求</w:t>
                  </w:r>
                </w:p>
              </w:tc>
              <w:tc>
                <w:tcPr>
                  <w:tcW w:w="789" w:type="pct"/>
                  <w:noWrap w:val="0"/>
                  <w:vAlign w:val="center"/>
                </w:tcPr>
                <w:p w14:paraId="684B0126">
                  <w:pPr>
                    <w:spacing w:line="240" w:lineRule="auto"/>
                    <w:ind w:firstLine="0" w:firstLineChars="0"/>
                    <w:jc w:val="center"/>
                    <w:rPr>
                      <w:color w:val="auto"/>
                      <w:sz w:val="21"/>
                      <w:szCs w:val="21"/>
                      <w:u w:val="none" w:color="auto"/>
                    </w:rPr>
                  </w:pPr>
                  <w:r>
                    <w:rPr>
                      <w:color w:val="auto"/>
                      <w:sz w:val="21"/>
                      <w:szCs w:val="21"/>
                      <w:u w:val="none" w:color="auto"/>
                    </w:rPr>
                    <w:t>本项目情况</w:t>
                  </w:r>
                </w:p>
              </w:tc>
              <w:tc>
                <w:tcPr>
                  <w:tcW w:w="425" w:type="pct"/>
                  <w:noWrap w:val="0"/>
                  <w:vAlign w:val="center"/>
                </w:tcPr>
                <w:p w14:paraId="1CA98EFC">
                  <w:pPr>
                    <w:spacing w:line="240" w:lineRule="auto"/>
                    <w:ind w:firstLine="0" w:firstLineChars="0"/>
                    <w:jc w:val="center"/>
                    <w:rPr>
                      <w:color w:val="auto"/>
                      <w:sz w:val="21"/>
                      <w:szCs w:val="21"/>
                      <w:u w:val="none" w:color="auto"/>
                    </w:rPr>
                  </w:pPr>
                  <w:r>
                    <w:rPr>
                      <w:color w:val="auto"/>
                      <w:sz w:val="21"/>
                      <w:szCs w:val="21"/>
                      <w:u w:val="none" w:color="auto"/>
                    </w:rPr>
                    <w:t>符合性</w:t>
                  </w:r>
                </w:p>
              </w:tc>
            </w:tr>
            <w:tr w14:paraId="76109E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9" w:hRule="atLeast"/>
              </w:trPr>
              <w:tc>
                <w:tcPr>
                  <w:tcW w:w="308" w:type="pct"/>
                  <w:noWrap w:val="0"/>
                  <w:vAlign w:val="center"/>
                </w:tcPr>
                <w:p w14:paraId="4A439CAC">
                  <w:pPr>
                    <w:spacing w:line="240" w:lineRule="auto"/>
                    <w:ind w:firstLine="0" w:firstLineChars="0"/>
                    <w:jc w:val="center"/>
                    <w:rPr>
                      <w:color w:val="auto"/>
                      <w:sz w:val="21"/>
                      <w:szCs w:val="21"/>
                      <w:u w:val="none" w:color="auto"/>
                    </w:rPr>
                  </w:pPr>
                  <w:r>
                    <w:rPr>
                      <w:color w:val="auto"/>
                      <w:sz w:val="21"/>
                      <w:szCs w:val="21"/>
                      <w:u w:val="none" w:color="auto"/>
                    </w:rPr>
                    <w:t>1</w:t>
                  </w:r>
                </w:p>
              </w:tc>
              <w:tc>
                <w:tcPr>
                  <w:tcW w:w="448" w:type="pct"/>
                  <w:noWrap w:val="0"/>
                  <w:vAlign w:val="center"/>
                </w:tcPr>
                <w:p w14:paraId="01528E75">
                  <w:pPr>
                    <w:spacing w:line="240" w:lineRule="auto"/>
                    <w:ind w:firstLine="0" w:firstLineChars="0"/>
                    <w:jc w:val="center"/>
                    <w:rPr>
                      <w:color w:val="auto"/>
                      <w:sz w:val="21"/>
                      <w:szCs w:val="21"/>
                      <w:u w:val="none" w:color="auto"/>
                    </w:rPr>
                  </w:pPr>
                  <w:r>
                    <w:rPr>
                      <w:color w:val="auto"/>
                      <w:sz w:val="21"/>
                      <w:szCs w:val="21"/>
                      <w:u w:val="none" w:color="auto"/>
                    </w:rPr>
                    <w:t>严格环境准入</w:t>
                  </w:r>
                </w:p>
              </w:tc>
              <w:tc>
                <w:tcPr>
                  <w:tcW w:w="3028" w:type="pct"/>
                  <w:noWrap w:val="0"/>
                  <w:vAlign w:val="center"/>
                </w:tcPr>
                <w:p w14:paraId="5EFB05E6">
                  <w:pPr>
                    <w:spacing w:line="240" w:lineRule="auto"/>
                    <w:ind w:firstLine="0" w:firstLineChars="0"/>
                    <w:jc w:val="center"/>
                    <w:rPr>
                      <w:color w:val="auto"/>
                      <w:sz w:val="21"/>
                      <w:szCs w:val="21"/>
                      <w:u w:val="none" w:color="auto"/>
                    </w:rPr>
                  </w:pPr>
                  <w:r>
                    <w:rPr>
                      <w:color w:val="auto"/>
                      <w:sz w:val="21"/>
                      <w:szCs w:val="21"/>
                      <w:u w:val="none" w:color="auto"/>
                    </w:rPr>
                    <w:t>按照国家要求的产业准入目录，严把永州项目产业政策关，促进产业转型升级，防止落后产能和污染严重项目转入永州市，严控化工、建材、有色、电镀、印染等高污染项目的审批，禁止新建、扩建落后产能项目。坚持新建工业企业必须入园，严控高污染高能耗企业入园。加强高能耗高排放项目准入管理，必须符合产业政策、行业发展规划和市场准入要求。实行排污总量前置管理</w:t>
                  </w:r>
                  <w:r>
                    <w:rPr>
                      <w:rFonts w:hint="eastAsia"/>
                      <w:color w:val="auto"/>
                      <w:sz w:val="21"/>
                      <w:szCs w:val="21"/>
                      <w:u w:val="none" w:color="auto"/>
                      <w:lang w:eastAsia="zh-CN"/>
                    </w:rPr>
                    <w:t>，</w:t>
                  </w:r>
                  <w:r>
                    <w:rPr>
                      <w:color w:val="auto"/>
                      <w:sz w:val="21"/>
                      <w:szCs w:val="21"/>
                      <w:u w:val="none" w:color="auto"/>
                    </w:rPr>
                    <w:t>将建设项目污染物排放总量指标作为项目环评审批的前提条件，严控新增排放量。加强永州市11家省级工业园区生态环境准入管理。推进“三线一单”与排污许可、环评审批、环境监测、环境执法等数据系统共享。探索构建以“三线一单”为环境空间管控基础，以规划环评和项目环评为环境准入关口，以排污许可为企业运行守法依据，以执法、督察为环境监管闭环的全过程环境管理框架。</w:t>
                  </w:r>
                </w:p>
              </w:tc>
              <w:tc>
                <w:tcPr>
                  <w:tcW w:w="789" w:type="pct"/>
                  <w:noWrap w:val="0"/>
                  <w:vAlign w:val="center"/>
                </w:tcPr>
                <w:p w14:paraId="49A0EC71">
                  <w:pPr>
                    <w:spacing w:line="240" w:lineRule="auto"/>
                    <w:ind w:firstLine="0" w:firstLineChars="0"/>
                    <w:jc w:val="center"/>
                    <w:rPr>
                      <w:color w:val="auto"/>
                      <w:sz w:val="21"/>
                      <w:szCs w:val="21"/>
                      <w:u w:val="none" w:color="auto"/>
                    </w:rPr>
                  </w:pPr>
                  <w:r>
                    <w:rPr>
                      <w:rFonts w:hint="eastAsia"/>
                      <w:color w:val="auto"/>
                      <w:sz w:val="21"/>
                      <w:szCs w:val="21"/>
                      <w:u w:val="none" w:color="auto"/>
                    </w:rPr>
                    <w:t>本项目为锂电池制造，位于工业园区，不属于</w:t>
                  </w:r>
                  <w:r>
                    <w:rPr>
                      <w:color w:val="auto"/>
                      <w:sz w:val="21"/>
                      <w:szCs w:val="21"/>
                      <w:u w:val="none" w:color="auto"/>
                    </w:rPr>
                    <w:t>落后产能和污染严重项目</w:t>
                  </w:r>
                </w:p>
              </w:tc>
              <w:tc>
                <w:tcPr>
                  <w:tcW w:w="425" w:type="pct"/>
                  <w:noWrap w:val="0"/>
                  <w:vAlign w:val="center"/>
                </w:tcPr>
                <w:p w14:paraId="50A88D3D">
                  <w:pPr>
                    <w:spacing w:line="240" w:lineRule="auto"/>
                    <w:ind w:firstLine="0" w:firstLineChars="0"/>
                    <w:jc w:val="center"/>
                    <w:rPr>
                      <w:color w:val="auto"/>
                      <w:sz w:val="21"/>
                      <w:szCs w:val="21"/>
                      <w:u w:val="none" w:color="auto"/>
                    </w:rPr>
                  </w:pPr>
                  <w:r>
                    <w:rPr>
                      <w:color w:val="auto"/>
                      <w:sz w:val="21"/>
                      <w:szCs w:val="21"/>
                      <w:u w:val="none" w:color="auto"/>
                    </w:rPr>
                    <w:t>符合</w:t>
                  </w:r>
                </w:p>
              </w:tc>
            </w:tr>
            <w:tr w14:paraId="3D0BF9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93" w:hRule="atLeast"/>
              </w:trPr>
              <w:tc>
                <w:tcPr>
                  <w:tcW w:w="308" w:type="pct"/>
                  <w:noWrap w:val="0"/>
                  <w:vAlign w:val="center"/>
                </w:tcPr>
                <w:p w14:paraId="594F7D39">
                  <w:pPr>
                    <w:spacing w:line="240" w:lineRule="auto"/>
                    <w:ind w:firstLine="0" w:firstLineChars="0"/>
                    <w:jc w:val="center"/>
                    <w:rPr>
                      <w:color w:val="auto"/>
                      <w:sz w:val="21"/>
                      <w:szCs w:val="21"/>
                      <w:u w:val="none" w:color="auto"/>
                    </w:rPr>
                  </w:pPr>
                  <w:r>
                    <w:rPr>
                      <w:color w:val="auto"/>
                      <w:sz w:val="21"/>
                      <w:szCs w:val="21"/>
                      <w:u w:val="none" w:color="auto"/>
                    </w:rPr>
                    <w:t>2</w:t>
                  </w:r>
                </w:p>
              </w:tc>
              <w:tc>
                <w:tcPr>
                  <w:tcW w:w="448" w:type="pct"/>
                  <w:noWrap w:val="0"/>
                  <w:vAlign w:val="center"/>
                </w:tcPr>
                <w:p w14:paraId="7F44D0C9">
                  <w:pPr>
                    <w:spacing w:line="240" w:lineRule="auto"/>
                    <w:ind w:firstLine="0" w:firstLineChars="0"/>
                    <w:jc w:val="center"/>
                    <w:rPr>
                      <w:color w:val="auto"/>
                      <w:sz w:val="21"/>
                      <w:szCs w:val="21"/>
                      <w:u w:val="none" w:color="auto"/>
                    </w:rPr>
                  </w:pPr>
                  <w:r>
                    <w:rPr>
                      <w:color w:val="auto"/>
                      <w:sz w:val="21"/>
                      <w:szCs w:val="21"/>
                      <w:u w:val="none" w:color="auto"/>
                    </w:rPr>
                    <w:t>加强规划环境影响评价</w:t>
                  </w:r>
                </w:p>
              </w:tc>
              <w:tc>
                <w:tcPr>
                  <w:tcW w:w="3028" w:type="pct"/>
                  <w:noWrap w:val="0"/>
                  <w:vAlign w:val="center"/>
                </w:tcPr>
                <w:p w14:paraId="781E8D75">
                  <w:pPr>
                    <w:spacing w:line="240" w:lineRule="auto"/>
                    <w:ind w:firstLine="0" w:firstLineChars="0"/>
                    <w:jc w:val="center"/>
                    <w:rPr>
                      <w:color w:val="auto"/>
                      <w:sz w:val="21"/>
                      <w:szCs w:val="21"/>
                      <w:u w:val="none" w:color="auto"/>
                    </w:rPr>
                  </w:pPr>
                  <w:r>
                    <w:rPr>
                      <w:color w:val="auto"/>
                      <w:sz w:val="21"/>
                      <w:szCs w:val="21"/>
                      <w:u w:val="none" w:color="auto"/>
                    </w:rPr>
                    <w:t>严格执行以环评制度为主体的生态环境源头预防制度，以国土空间规划、区域规划、行业发展规划引导经济社会发展，全面推进重点区域、重点流域、重点行业规划环评。推动规划编制底线约束，前置考虑空间管制、总量管控和生态环境准入，统筹区域空间布局与生态安全格局，统筹发展目标与资源环境承载力。严格审查涉“两高”行业的有关综合性规划和工业、能源等专项规划，严格控制“两高”行业发展规模，优化规划布局与实施时序。推动在项目环评审批及事中事后监督管理中落实规划环评成果</w:t>
                  </w:r>
                  <w:r>
                    <w:rPr>
                      <w:rFonts w:hint="eastAsia"/>
                      <w:color w:val="auto"/>
                      <w:sz w:val="21"/>
                      <w:szCs w:val="21"/>
                      <w:u w:val="none" w:color="auto"/>
                    </w:rPr>
                    <w:t>。</w:t>
                  </w:r>
                </w:p>
              </w:tc>
              <w:tc>
                <w:tcPr>
                  <w:tcW w:w="789" w:type="pct"/>
                  <w:noWrap w:val="0"/>
                  <w:vAlign w:val="center"/>
                </w:tcPr>
                <w:p w14:paraId="6B6FED81">
                  <w:pPr>
                    <w:spacing w:line="240" w:lineRule="auto"/>
                    <w:ind w:firstLine="0" w:firstLineChars="0"/>
                    <w:jc w:val="center"/>
                    <w:rPr>
                      <w:color w:val="auto"/>
                      <w:sz w:val="21"/>
                      <w:szCs w:val="21"/>
                      <w:u w:val="none" w:color="auto"/>
                    </w:rPr>
                  </w:pPr>
                  <w:r>
                    <w:rPr>
                      <w:rFonts w:hint="eastAsia"/>
                      <w:color w:val="auto"/>
                      <w:sz w:val="21"/>
                      <w:szCs w:val="21"/>
                      <w:u w:val="none" w:color="auto"/>
                    </w:rPr>
                    <w:t>本项目严格</w:t>
                  </w:r>
                  <w:r>
                    <w:rPr>
                      <w:color w:val="auto"/>
                      <w:sz w:val="21"/>
                      <w:szCs w:val="21"/>
                      <w:u w:val="none" w:color="auto"/>
                    </w:rPr>
                    <w:t>执行以环评制度为主体的生态环境源头预防制度</w:t>
                  </w:r>
                </w:p>
              </w:tc>
              <w:tc>
                <w:tcPr>
                  <w:tcW w:w="425" w:type="pct"/>
                  <w:noWrap w:val="0"/>
                  <w:vAlign w:val="center"/>
                </w:tcPr>
                <w:p w14:paraId="7E57A3F4">
                  <w:pPr>
                    <w:spacing w:line="240" w:lineRule="auto"/>
                    <w:ind w:firstLine="0" w:firstLineChars="0"/>
                    <w:jc w:val="center"/>
                    <w:rPr>
                      <w:color w:val="auto"/>
                      <w:sz w:val="21"/>
                      <w:szCs w:val="21"/>
                      <w:u w:val="none" w:color="auto"/>
                    </w:rPr>
                  </w:pPr>
                  <w:r>
                    <w:rPr>
                      <w:color w:val="auto"/>
                      <w:sz w:val="21"/>
                      <w:szCs w:val="21"/>
                      <w:u w:val="none" w:color="auto"/>
                    </w:rPr>
                    <w:t>符合</w:t>
                  </w:r>
                </w:p>
              </w:tc>
            </w:tr>
            <w:tr w14:paraId="04579B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08" w:type="pct"/>
                  <w:noWrap w:val="0"/>
                  <w:vAlign w:val="center"/>
                </w:tcPr>
                <w:p w14:paraId="5C88248C">
                  <w:pPr>
                    <w:spacing w:line="240" w:lineRule="auto"/>
                    <w:ind w:firstLine="0" w:firstLineChars="0"/>
                    <w:jc w:val="center"/>
                    <w:rPr>
                      <w:color w:val="auto"/>
                      <w:sz w:val="21"/>
                      <w:szCs w:val="21"/>
                      <w:u w:val="none" w:color="auto"/>
                    </w:rPr>
                  </w:pPr>
                  <w:r>
                    <w:rPr>
                      <w:color w:val="auto"/>
                      <w:sz w:val="21"/>
                      <w:szCs w:val="21"/>
                      <w:u w:val="none" w:color="auto"/>
                    </w:rPr>
                    <w:t>3</w:t>
                  </w:r>
                </w:p>
              </w:tc>
              <w:tc>
                <w:tcPr>
                  <w:tcW w:w="448" w:type="pct"/>
                  <w:noWrap w:val="0"/>
                  <w:vAlign w:val="center"/>
                </w:tcPr>
                <w:p w14:paraId="7A204F6C">
                  <w:pPr>
                    <w:spacing w:line="240" w:lineRule="auto"/>
                    <w:ind w:firstLine="0" w:firstLineChars="0"/>
                    <w:jc w:val="center"/>
                    <w:rPr>
                      <w:color w:val="auto"/>
                      <w:sz w:val="21"/>
                      <w:szCs w:val="21"/>
                      <w:u w:val="none" w:color="auto"/>
                    </w:rPr>
                  </w:pPr>
                  <w:r>
                    <w:rPr>
                      <w:color w:val="auto"/>
                      <w:sz w:val="21"/>
                      <w:szCs w:val="21"/>
                      <w:u w:val="none" w:color="auto"/>
                    </w:rPr>
                    <w:t>全面实行排污许可制度</w:t>
                  </w:r>
                </w:p>
              </w:tc>
              <w:tc>
                <w:tcPr>
                  <w:tcW w:w="3028" w:type="pct"/>
                  <w:noWrap w:val="0"/>
                  <w:vAlign w:val="center"/>
                </w:tcPr>
                <w:p w14:paraId="4045EC4A">
                  <w:pPr>
                    <w:spacing w:line="240" w:lineRule="auto"/>
                    <w:ind w:firstLine="0" w:firstLineChars="0"/>
                    <w:jc w:val="center"/>
                    <w:rPr>
                      <w:color w:val="auto"/>
                      <w:sz w:val="21"/>
                      <w:szCs w:val="21"/>
                      <w:u w:val="none" w:color="auto"/>
                    </w:rPr>
                  </w:pPr>
                  <w:r>
                    <w:rPr>
                      <w:color w:val="auto"/>
                      <w:sz w:val="21"/>
                      <w:szCs w:val="21"/>
                      <w:u w:val="none" w:color="auto"/>
                    </w:rPr>
                    <w:t>推行以排污许可制为核心的固定污染源监管制度，推动工业固体废物、土壤环境要素全覆盖，实现固定污染源排污许可全覆盖。严格落实企业持证排污要求，按照“新老有别、平稳过渡”原则，推进排污口清理整治，规范排污口设置。依托排污许可证实施企事业单位污染物排放总量指标分配、监管和考核。加强对排污许可的事中事后监管管理，将排污许可执法检查纳入生态环境执法年度计划，落实排污许可“一证式”管理。持续做好排污许可证换证或登记延续动态更新。推进全市排污许可制度与环境影响评价制度有效融合，推动重点行业企业环境影响评价、排污许可、监管执法全闭环管理。</w:t>
                  </w:r>
                </w:p>
              </w:tc>
              <w:tc>
                <w:tcPr>
                  <w:tcW w:w="789" w:type="pct"/>
                  <w:noWrap w:val="0"/>
                  <w:vAlign w:val="center"/>
                </w:tcPr>
                <w:p w14:paraId="33CD85B4">
                  <w:pPr>
                    <w:spacing w:line="240" w:lineRule="auto"/>
                    <w:ind w:firstLine="0" w:firstLineChars="0"/>
                    <w:jc w:val="center"/>
                    <w:rPr>
                      <w:color w:val="auto"/>
                      <w:sz w:val="21"/>
                      <w:szCs w:val="21"/>
                      <w:u w:val="none" w:color="auto"/>
                    </w:rPr>
                  </w:pPr>
                  <w:r>
                    <w:rPr>
                      <w:rFonts w:hint="eastAsia"/>
                      <w:color w:val="auto"/>
                      <w:sz w:val="21"/>
                      <w:szCs w:val="21"/>
                      <w:u w:val="none" w:color="auto"/>
                    </w:rPr>
                    <w:t>本项目严格执行</w:t>
                  </w:r>
                  <w:r>
                    <w:rPr>
                      <w:color w:val="auto"/>
                      <w:sz w:val="21"/>
                      <w:szCs w:val="21"/>
                      <w:u w:val="none" w:color="auto"/>
                    </w:rPr>
                    <w:t>排污许可制为核心的固定污染源监管制度</w:t>
                  </w:r>
                </w:p>
              </w:tc>
              <w:tc>
                <w:tcPr>
                  <w:tcW w:w="425" w:type="pct"/>
                  <w:noWrap w:val="0"/>
                  <w:vAlign w:val="center"/>
                </w:tcPr>
                <w:p w14:paraId="4967988F">
                  <w:pPr>
                    <w:spacing w:line="240" w:lineRule="auto"/>
                    <w:ind w:firstLine="0" w:firstLineChars="0"/>
                    <w:jc w:val="center"/>
                    <w:rPr>
                      <w:color w:val="auto"/>
                      <w:sz w:val="21"/>
                      <w:szCs w:val="21"/>
                      <w:u w:val="none" w:color="auto"/>
                    </w:rPr>
                  </w:pPr>
                  <w:r>
                    <w:rPr>
                      <w:color w:val="auto"/>
                      <w:sz w:val="21"/>
                      <w:szCs w:val="21"/>
                      <w:u w:val="none" w:color="auto"/>
                    </w:rPr>
                    <w:t>符合</w:t>
                  </w:r>
                </w:p>
              </w:tc>
            </w:tr>
          </w:tbl>
          <w:p w14:paraId="3583EA78">
            <w:pPr>
              <w:ind w:left="0" w:leftChars="0" w:firstLine="0" w:firstLineChars="0"/>
              <w:rPr>
                <w:color w:val="auto"/>
                <w:u w:val="none" w:color="auto"/>
              </w:rPr>
            </w:pPr>
          </w:p>
        </w:tc>
      </w:tr>
    </w:tbl>
    <w:p w14:paraId="079183C5">
      <w:pPr>
        <w:ind w:firstLine="600"/>
        <w:outlineLvl w:val="0"/>
        <w:rPr>
          <w:rFonts w:eastAsia="黑体"/>
          <w:color w:val="auto"/>
          <w:sz w:val="30"/>
          <w:u w:val="none" w:color="auto"/>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5A9E0DAA">
      <w:pPr>
        <w:pStyle w:val="26"/>
        <w:ind w:firstLine="600"/>
        <w:jc w:val="center"/>
        <w:outlineLvl w:val="0"/>
        <w:rPr>
          <w:rFonts w:ascii="黑体" w:hAnsi="黑体" w:eastAsia="黑体"/>
          <w:snapToGrid w:val="0"/>
          <w:color w:val="auto"/>
          <w:sz w:val="30"/>
          <w:szCs w:val="30"/>
          <w:u w:val="none" w:color="auto"/>
        </w:rPr>
      </w:pPr>
      <w:bookmarkStart w:id="5" w:name="_Toc20141"/>
      <w:bookmarkStart w:id="6" w:name="_Toc24957"/>
      <w:r>
        <w:rPr>
          <w:rFonts w:hint="eastAsia" w:ascii="黑体" w:hAnsi="黑体" w:eastAsia="黑体"/>
          <w:snapToGrid w:val="0"/>
          <w:color w:val="auto"/>
          <w:sz w:val="30"/>
          <w:szCs w:val="30"/>
          <w:u w:val="none" w:color="auto"/>
        </w:rPr>
        <w:t>二、建设项目工程分析</w:t>
      </w:r>
      <w:bookmarkEnd w:id="5"/>
      <w:bookmarkEnd w:id="6"/>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8"/>
        <w:gridCol w:w="8632"/>
      </w:tblGrid>
      <w:tr w14:paraId="1B8246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6" w:hRule="atLeast"/>
          <w:jc w:val="center"/>
        </w:trPr>
        <w:tc>
          <w:tcPr>
            <w:tcW w:w="428" w:type="dxa"/>
            <w:noWrap w:val="0"/>
            <w:vAlign w:val="center"/>
          </w:tcPr>
          <w:p w14:paraId="6E5B04A2">
            <w:pPr>
              <w:pStyle w:val="11"/>
              <w:rPr>
                <w:rFonts w:hint="eastAsia"/>
                <w:color w:val="auto"/>
                <w:u w:val="none" w:color="auto"/>
              </w:rPr>
            </w:pPr>
            <w:r>
              <w:rPr>
                <w:rFonts w:hint="eastAsia"/>
                <w:color w:val="auto"/>
                <w:u w:val="none" w:color="auto"/>
              </w:rPr>
              <w:t>建设内容</w:t>
            </w:r>
          </w:p>
        </w:tc>
        <w:tc>
          <w:tcPr>
            <w:tcW w:w="8632" w:type="dxa"/>
            <w:noWrap w:val="0"/>
            <w:vAlign w:val="top"/>
          </w:tcPr>
          <w:p w14:paraId="4032AB2A">
            <w:pPr>
              <w:pStyle w:val="77"/>
              <w:adjustRightInd/>
              <w:snapToGrid/>
              <w:spacing w:line="360" w:lineRule="auto"/>
              <w:ind w:firstLine="482"/>
              <w:jc w:val="both"/>
              <w:rPr>
                <w:rFonts w:hint="eastAsia"/>
                <w:b/>
                <w:bCs/>
                <w:color w:val="auto"/>
                <w:u w:val="none" w:color="auto"/>
              </w:rPr>
            </w:pPr>
            <w:r>
              <w:rPr>
                <w:rFonts w:hint="eastAsia"/>
                <w:b/>
                <w:bCs/>
                <w:color w:val="auto"/>
                <w:u w:val="none" w:color="auto"/>
              </w:rPr>
              <w:t>项目背景：</w:t>
            </w:r>
          </w:p>
          <w:p w14:paraId="7CF809CE">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eastAsia"/>
                <w:bCs/>
                <w:color w:val="auto"/>
                <w:szCs w:val="24"/>
                <w:highlight w:val="none"/>
                <w:u w:val="none" w:color="auto"/>
                <w:lang w:eastAsia="zh-CN"/>
              </w:rPr>
            </w:pPr>
            <w:r>
              <w:rPr>
                <w:rFonts w:hint="eastAsia" w:eastAsia="宋体"/>
                <w:bCs/>
                <w:color w:val="auto"/>
                <w:szCs w:val="24"/>
                <w:highlight w:val="none"/>
                <w:u w:val="none" w:color="auto"/>
                <w:lang w:eastAsia="zh-CN"/>
              </w:rPr>
              <w:t>随着国家新兴战略性产业规划的落实，新能源电池的需求迅速增长，将极大的推动锂电池市场的快速发展。从行业发展方向上看，锂电池作为二次电池的一个最重要的方面，有着巨大的发展空间，将会有十分广阔的市场前景，特别是集节能、环保、可循环利用的绿色锂离子电池，是目前国内最具代表性的清洁能源</w:t>
            </w:r>
            <w:r>
              <w:rPr>
                <w:rFonts w:hint="eastAsia"/>
                <w:bCs/>
                <w:color w:val="auto"/>
                <w:szCs w:val="24"/>
                <w:highlight w:val="none"/>
                <w:u w:val="none" w:color="auto"/>
                <w:lang w:eastAsia="zh-CN"/>
              </w:rPr>
              <w:t>。</w:t>
            </w:r>
          </w:p>
          <w:p w14:paraId="336D9AFD">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eastAsia"/>
                <w:bCs/>
                <w:color w:val="auto"/>
                <w:szCs w:val="24"/>
                <w:highlight w:val="none"/>
                <w:u w:val="none" w:color="auto"/>
                <w:lang w:val="en-US" w:eastAsia="zh-CN"/>
              </w:rPr>
            </w:pPr>
            <w:r>
              <w:rPr>
                <w:rFonts w:hint="eastAsia"/>
                <w:bCs/>
                <w:color w:val="auto"/>
                <w:szCs w:val="24"/>
                <w:highlight w:val="none"/>
                <w:u w:val="none" w:color="auto"/>
                <w:lang w:val="en-US" w:eastAsia="zh-CN"/>
              </w:rPr>
              <w:t>对比传统电池，</w:t>
            </w:r>
            <w:r>
              <w:rPr>
                <w:rFonts w:hint="eastAsia"/>
                <w:bCs/>
                <w:color w:val="auto"/>
                <w:szCs w:val="24"/>
                <w:highlight w:val="none"/>
                <w:u w:val="none" w:color="auto"/>
                <w:lang w:eastAsia="zh-CN"/>
              </w:rPr>
              <w:t>锂离子电池组不含有铅、</w:t>
            </w:r>
            <w:r>
              <w:rPr>
                <w:rFonts w:hint="eastAsia"/>
                <w:bCs/>
                <w:color w:val="auto"/>
                <w:szCs w:val="24"/>
                <w:highlight w:val="none"/>
                <w:u w:val="none" w:color="auto"/>
                <w:lang w:val="en-US" w:eastAsia="zh-CN"/>
              </w:rPr>
              <w:t>氟</w:t>
            </w:r>
            <w:r>
              <w:rPr>
                <w:rFonts w:hint="eastAsia"/>
                <w:bCs/>
                <w:color w:val="auto"/>
                <w:szCs w:val="24"/>
                <w:highlight w:val="none"/>
                <w:u w:val="none" w:color="auto"/>
                <w:lang w:eastAsia="zh-CN"/>
              </w:rPr>
              <w:t>、汞等有毒物质，同时因为电池必须被很好地密封，在使用过程中极少有气体放出，不对环境造成污染。生产制造过程中用于溶解粘结剂的溶剂也可以做到完全回收，</w:t>
            </w:r>
            <w:r>
              <w:rPr>
                <w:rFonts w:hint="eastAsia"/>
                <w:bCs/>
                <w:color w:val="auto"/>
                <w:szCs w:val="24"/>
                <w:highlight w:val="none"/>
                <w:u w:val="none" w:color="auto"/>
                <w:lang w:val="en-US" w:eastAsia="zh-CN"/>
              </w:rPr>
              <w:t>且对比传统电池，锂离子电池生产工艺较为简单，且污染极小</w:t>
            </w:r>
            <w:r>
              <w:rPr>
                <w:rFonts w:hint="eastAsia"/>
                <w:bCs/>
                <w:color w:val="auto"/>
                <w:szCs w:val="24"/>
                <w:highlight w:val="none"/>
                <w:u w:val="none" w:color="auto"/>
                <w:lang w:eastAsia="zh-CN"/>
              </w:rPr>
              <w:t>。</w:t>
            </w:r>
            <w:r>
              <w:rPr>
                <w:rFonts w:hint="eastAsia"/>
                <w:bCs/>
                <w:color w:val="auto"/>
                <w:szCs w:val="24"/>
                <w:highlight w:val="none"/>
                <w:u w:val="none" w:color="auto"/>
                <w:lang w:val="en-US" w:eastAsia="zh-CN"/>
              </w:rPr>
              <w:t>本项目仅生产锂离子电池，不生产传统电池。</w:t>
            </w:r>
          </w:p>
          <w:p w14:paraId="0186C047">
            <w:pPr>
              <w:keepNext w:val="0"/>
              <w:keepLines w:val="0"/>
              <w:widowControl/>
              <w:suppressLineNumbers w:val="0"/>
              <w:jc w:val="left"/>
              <w:rPr>
                <w:rFonts w:hint="eastAsia"/>
                <w:bCs/>
                <w:color w:val="auto"/>
                <w:szCs w:val="24"/>
                <w:highlight w:val="none"/>
                <w:u w:val="none" w:color="auto"/>
                <w:lang w:val="en-US" w:eastAsia="zh-CN"/>
              </w:rPr>
            </w:pPr>
            <w:r>
              <w:rPr>
                <w:rFonts w:hint="eastAsia" w:eastAsia="宋体"/>
                <w:bCs/>
                <w:color w:val="auto"/>
                <w:szCs w:val="24"/>
                <w:highlight w:val="none"/>
                <w:u w:val="none" w:color="auto"/>
                <w:lang w:eastAsia="zh-CN"/>
              </w:rPr>
              <w:t>为此</w:t>
            </w:r>
            <w:r>
              <w:rPr>
                <w:rFonts w:hint="eastAsia"/>
                <w:bCs/>
                <w:color w:val="auto"/>
                <w:szCs w:val="24"/>
                <w:highlight w:val="none"/>
                <w:u w:val="none" w:color="auto"/>
                <w:lang w:eastAsia="zh-CN"/>
              </w:rPr>
              <w:t>，</w:t>
            </w:r>
            <w:r>
              <w:rPr>
                <w:rFonts w:hint="eastAsia"/>
                <w:bCs/>
                <w:color w:val="auto"/>
                <w:szCs w:val="24"/>
                <w:highlight w:val="none"/>
                <w:u w:val="none" w:color="auto"/>
                <w:lang w:val="en-US" w:eastAsia="zh-CN"/>
              </w:rPr>
              <w:t>湖南信继善新能源科技有限公司</w:t>
            </w:r>
            <w:r>
              <w:rPr>
                <w:rFonts w:hint="eastAsia"/>
                <w:bCs/>
                <w:color w:val="auto"/>
                <w:szCs w:val="24"/>
                <w:highlight w:val="none"/>
                <w:u w:val="none" w:color="auto"/>
              </w:rPr>
              <w:t>抓住市场机遇</w:t>
            </w:r>
            <w:r>
              <w:rPr>
                <w:rFonts w:hint="eastAsia"/>
                <w:bCs/>
                <w:color w:val="auto"/>
                <w:szCs w:val="24"/>
                <w:highlight w:val="none"/>
                <w:u w:val="none" w:color="auto"/>
                <w:lang w:eastAsia="zh-CN"/>
              </w:rPr>
              <w:t>，于</w:t>
            </w:r>
            <w:r>
              <w:rPr>
                <w:rFonts w:hint="eastAsia"/>
                <w:bCs/>
                <w:color w:val="auto"/>
                <w:szCs w:val="24"/>
                <w:highlight w:val="none"/>
                <w:u w:val="none" w:color="auto"/>
                <w:lang w:val="en-US" w:eastAsia="zh-CN"/>
              </w:rPr>
              <w:t>2022年10月租赁新田县工业园内（新能源新材料区第17号栋厂房）标准厂房，通过装修改造作为生产车间，至2023年2月建成运营，总</w:t>
            </w:r>
            <w:r>
              <w:rPr>
                <w:rFonts w:hint="eastAsia" w:ascii="Times New Roman" w:eastAsia="宋体"/>
                <w:bCs/>
                <w:color w:val="auto"/>
                <w:szCs w:val="24"/>
                <w:highlight w:val="none"/>
                <w:u w:val="none" w:color="auto"/>
                <w:lang w:val="en-US" w:eastAsia="zh-CN"/>
              </w:rPr>
              <w:t>投资</w:t>
            </w:r>
            <w:r>
              <w:rPr>
                <w:rFonts w:hint="eastAsia"/>
                <w:bCs/>
                <w:color w:val="auto"/>
                <w:szCs w:val="24"/>
                <w:highlight w:val="none"/>
                <w:u w:val="none" w:color="auto"/>
                <w:lang w:val="en-US" w:eastAsia="zh-CN"/>
              </w:rPr>
              <w:t>200</w:t>
            </w:r>
            <w:r>
              <w:rPr>
                <w:rFonts w:hint="eastAsia" w:ascii="Times New Roman" w:eastAsia="宋体"/>
                <w:bCs/>
                <w:color w:val="auto"/>
                <w:szCs w:val="24"/>
                <w:highlight w:val="none"/>
                <w:u w:val="none" w:color="auto"/>
                <w:lang w:val="en-US" w:eastAsia="zh-CN"/>
              </w:rPr>
              <w:t>00万建设</w:t>
            </w:r>
            <w:r>
              <w:rPr>
                <w:rFonts w:hint="eastAsia"/>
                <w:bCs/>
                <w:color w:val="auto"/>
                <w:szCs w:val="24"/>
                <w:highlight w:val="none"/>
                <w:u w:val="none" w:color="auto"/>
                <w:lang w:val="en-US" w:eastAsia="zh-CN"/>
              </w:rPr>
              <w:t>新田县信继善新能源锂离子电池产业化项目</w:t>
            </w:r>
            <w:r>
              <w:rPr>
                <w:rFonts w:hint="eastAsia" w:ascii="Times New Roman" w:eastAsia="宋体"/>
                <w:bCs/>
                <w:color w:val="auto"/>
                <w:szCs w:val="24"/>
                <w:highlight w:val="none"/>
                <w:u w:val="none" w:color="auto"/>
                <w:lang w:val="en-US" w:eastAsia="zh-CN"/>
              </w:rPr>
              <w:t>，</w:t>
            </w:r>
            <w:r>
              <w:rPr>
                <w:bCs/>
                <w:color w:val="auto"/>
                <w:szCs w:val="24"/>
                <w:highlight w:val="none"/>
                <w:u w:val="none" w:color="auto"/>
              </w:rPr>
              <w:t>项目</w:t>
            </w:r>
            <w:r>
              <w:rPr>
                <w:rFonts w:hint="eastAsia" w:ascii="Times New Roman" w:eastAsia="宋体"/>
                <w:bCs/>
                <w:color w:val="auto"/>
                <w:szCs w:val="24"/>
                <w:highlight w:val="none"/>
                <w:u w:val="none" w:color="auto"/>
                <w:lang w:val="en-US" w:eastAsia="zh-CN"/>
              </w:rPr>
              <w:t>总</w:t>
            </w:r>
            <w:r>
              <w:rPr>
                <w:bCs/>
                <w:color w:val="auto"/>
                <w:szCs w:val="24"/>
                <w:highlight w:val="none"/>
                <w:u w:val="none" w:color="auto"/>
              </w:rPr>
              <w:t>占地面积</w:t>
            </w:r>
            <w:r>
              <w:rPr>
                <w:rFonts w:hint="eastAsia"/>
                <w:bCs/>
                <w:color w:val="auto"/>
                <w:szCs w:val="24"/>
                <w:highlight w:val="none"/>
                <w:u w:val="none" w:color="auto"/>
                <w:lang w:val="en-US" w:eastAsia="zh-CN"/>
              </w:rPr>
              <w:t>3000</w:t>
            </w:r>
            <w:r>
              <w:rPr>
                <w:bCs/>
                <w:color w:val="auto"/>
                <w:szCs w:val="24"/>
                <w:highlight w:val="none"/>
                <w:u w:val="none" w:color="auto"/>
              </w:rPr>
              <w:t>m</w:t>
            </w:r>
            <w:r>
              <w:rPr>
                <w:bCs/>
                <w:color w:val="auto"/>
                <w:szCs w:val="24"/>
                <w:highlight w:val="none"/>
                <w:u w:val="none" w:color="auto"/>
                <w:vertAlign w:val="superscript"/>
              </w:rPr>
              <w:t>2</w:t>
            </w:r>
            <w:r>
              <w:rPr>
                <w:rFonts w:hint="eastAsia" w:eastAsia="宋体"/>
                <w:bCs/>
                <w:color w:val="auto"/>
                <w:szCs w:val="24"/>
                <w:highlight w:val="none"/>
                <w:u w:val="none" w:color="auto"/>
                <w:vertAlign w:val="baseline"/>
                <w:lang w:eastAsia="zh-CN"/>
              </w:rPr>
              <w:t>，</w:t>
            </w:r>
            <w:r>
              <w:rPr>
                <w:rFonts w:hint="eastAsia" w:ascii="Times New Roman" w:eastAsia="宋体"/>
                <w:bCs/>
                <w:color w:val="auto"/>
                <w:szCs w:val="24"/>
                <w:highlight w:val="none"/>
                <w:u w:val="none" w:color="auto"/>
                <w:vertAlign w:val="baseline"/>
                <w:lang w:val="en-US" w:eastAsia="zh-CN"/>
              </w:rPr>
              <w:t>建筑面积</w:t>
            </w:r>
            <w:r>
              <w:rPr>
                <w:rFonts w:hint="eastAsia"/>
                <w:bCs/>
                <w:color w:val="auto"/>
                <w:szCs w:val="24"/>
                <w:highlight w:val="none"/>
                <w:u w:val="none" w:color="auto"/>
                <w:vertAlign w:val="baseline"/>
                <w:lang w:val="en-US" w:eastAsia="zh-CN"/>
              </w:rPr>
              <w:t>11006.1</w:t>
            </w:r>
            <w:r>
              <w:rPr>
                <w:bCs/>
                <w:color w:val="auto"/>
                <w:szCs w:val="24"/>
                <w:highlight w:val="none"/>
                <w:u w:val="none" w:color="auto"/>
              </w:rPr>
              <w:t>m</w:t>
            </w:r>
            <w:r>
              <w:rPr>
                <w:bCs/>
                <w:color w:val="auto"/>
                <w:szCs w:val="24"/>
                <w:highlight w:val="none"/>
                <w:u w:val="none" w:color="auto"/>
                <w:vertAlign w:val="superscript"/>
              </w:rPr>
              <w:t>2</w:t>
            </w:r>
            <w:r>
              <w:rPr>
                <w:rFonts w:hint="eastAsia"/>
                <w:bCs/>
                <w:color w:val="auto"/>
                <w:szCs w:val="24"/>
                <w:highlight w:val="none"/>
                <w:u w:val="none" w:color="auto"/>
                <w:vertAlign w:val="baseline"/>
                <w:lang w:eastAsia="zh-CN"/>
              </w:rPr>
              <w:t>；</w:t>
            </w:r>
            <w:r>
              <w:rPr>
                <w:rFonts w:hint="eastAsia"/>
                <w:bCs/>
                <w:color w:val="auto"/>
                <w:szCs w:val="24"/>
                <w:highlight w:val="none"/>
                <w:u w:val="none" w:color="auto"/>
                <w:lang w:val="en-US" w:eastAsia="zh-CN"/>
              </w:rPr>
              <w:t>项目租用的厂房共计四层，一楼设置原辅材料仓库、配料房、涂布车间、制片车间等，二楼设置原辅材料仓、装配车间、办公室，三楼设置零配件仓、装配车间、注液车间、烤箱房</w:t>
            </w:r>
            <w:r>
              <w:rPr>
                <w:rFonts w:hint="eastAsia" w:ascii="Times New Roman" w:hAnsi="Times New Roman" w:eastAsia="宋体" w:cs="Times New Roman"/>
                <w:bCs/>
                <w:color w:val="auto"/>
                <w:szCs w:val="24"/>
                <w:highlight w:val="none"/>
                <w:u w:val="none" w:color="auto"/>
                <w:lang w:val="en-US" w:eastAsia="zh-CN"/>
              </w:rPr>
              <w:t>、装配车间、研发测试中心等，四楼设置成品仓、包装车间、二封、切折烫车间、化成车间、PACK车间等</w:t>
            </w:r>
            <w:r>
              <w:rPr>
                <w:rFonts w:hint="eastAsia"/>
                <w:bCs/>
                <w:color w:val="auto"/>
                <w:szCs w:val="24"/>
                <w:highlight w:val="none"/>
                <w:u w:val="none" w:color="auto"/>
                <w:lang w:val="en-US" w:eastAsia="zh-CN"/>
              </w:rPr>
              <w:t>。</w:t>
            </w:r>
          </w:p>
          <w:p w14:paraId="2C05A6AC">
            <w:pPr>
              <w:pStyle w:val="77"/>
              <w:adjustRightInd/>
              <w:snapToGrid/>
              <w:spacing w:line="360" w:lineRule="auto"/>
              <w:ind w:firstLine="480"/>
              <w:jc w:val="both"/>
              <w:rPr>
                <w:rFonts w:hint="eastAsia"/>
                <w:color w:val="auto"/>
                <w:u w:val="none" w:color="auto"/>
              </w:rPr>
            </w:pPr>
            <w:r>
              <w:rPr>
                <w:rFonts w:hint="eastAsia"/>
                <w:color w:val="auto"/>
                <w:u w:val="none" w:color="auto"/>
              </w:rPr>
              <w:t>依据《建设项目环境影响评价分类管理名录》（2021版），本项目属于“三十五、电气机械和器材制造业38-电池制造384-其他”，应编制环境影响报告表。特此，</w:t>
            </w:r>
            <w:r>
              <w:rPr>
                <w:rFonts w:hint="eastAsia"/>
                <w:color w:val="auto"/>
                <w:u w:val="none" w:color="auto"/>
                <w:lang w:eastAsia="zh-CN"/>
              </w:rPr>
              <w:t>湖南信继善新能源科技有限公司</w:t>
            </w:r>
            <w:r>
              <w:rPr>
                <w:rFonts w:hint="eastAsia"/>
                <w:color w:val="auto"/>
                <w:u w:val="none" w:color="auto"/>
              </w:rPr>
              <w:t>委托我公司承担该项目的环境影响评价工作，接受委托后，我公司即组成编制小组，对项目</w:t>
            </w:r>
            <w:r>
              <w:rPr>
                <w:rFonts w:hint="eastAsia"/>
                <w:color w:val="auto"/>
                <w:u w:val="none" w:color="auto"/>
                <w:lang w:val="en-US" w:eastAsia="zh-CN"/>
              </w:rPr>
              <w:t>现状</w:t>
            </w:r>
            <w:r>
              <w:rPr>
                <w:rFonts w:hint="eastAsia"/>
                <w:color w:val="auto"/>
                <w:u w:val="none" w:color="auto"/>
              </w:rPr>
              <w:t>进行了实地勘查，在进行较充分的现场调查和资料收集的基础上，按照《建设项目环境影响报告表编制技术指南（污染影响类）》有关要求，编制完成了本项目环境影响报告表。</w:t>
            </w:r>
          </w:p>
          <w:p w14:paraId="11337131">
            <w:pPr>
              <w:pStyle w:val="77"/>
              <w:adjustRightInd/>
              <w:snapToGrid/>
              <w:spacing w:line="360" w:lineRule="auto"/>
              <w:ind w:firstLine="480"/>
              <w:jc w:val="both"/>
              <w:rPr>
                <w:rFonts w:hint="eastAsia" w:eastAsia="宋体"/>
                <w:color w:val="auto"/>
                <w:u w:val="none" w:color="auto"/>
                <w:lang w:eastAsia="zh-CN"/>
              </w:rPr>
            </w:pPr>
            <w:r>
              <w:rPr>
                <w:rFonts w:hint="eastAsia"/>
                <w:color w:val="auto"/>
                <w:u w:val="none" w:color="auto"/>
                <w:lang w:eastAsia="zh-CN"/>
              </w:rPr>
              <w:t>环评评价期间项目已建成；据调查，项目建成运营以来未发生环境污染事件及环保投诉事件；本次根根据《中华人民共和国环境影响评价法》完善项目环评手续。</w:t>
            </w:r>
          </w:p>
          <w:p w14:paraId="753D0A69">
            <w:pPr>
              <w:ind w:firstLine="482"/>
              <w:rPr>
                <w:rFonts w:hint="eastAsia"/>
                <w:b/>
                <w:bCs/>
                <w:color w:val="auto"/>
                <w:u w:val="none" w:color="auto"/>
              </w:rPr>
            </w:pPr>
            <w:r>
              <w:rPr>
                <w:rFonts w:hint="eastAsia"/>
                <w:b/>
                <w:bCs/>
                <w:color w:val="auto"/>
                <w:u w:val="none" w:color="auto"/>
              </w:rPr>
              <w:t>（一）项目组成</w:t>
            </w:r>
          </w:p>
          <w:p w14:paraId="7701D399">
            <w:pPr>
              <w:bidi w:val="0"/>
              <w:rPr>
                <w:color w:val="auto"/>
                <w:u w:val="none" w:color="auto"/>
              </w:rPr>
            </w:pPr>
            <w:r>
              <w:rPr>
                <w:rFonts w:hint="eastAsia" w:eastAsia="宋体"/>
                <w:color w:val="auto"/>
                <w:u w:val="none" w:color="auto"/>
                <w:lang w:val="en-US" w:eastAsia="zh-CN"/>
              </w:rPr>
              <w:t>项目</w:t>
            </w:r>
            <w:r>
              <w:rPr>
                <w:rFonts w:hint="eastAsia"/>
                <w:color w:val="auto"/>
                <w:u w:val="none" w:color="auto"/>
                <w:lang w:val="en-US" w:eastAsia="zh-CN"/>
              </w:rPr>
              <w:t>租用一栋四层的标准厂房用于生产，</w:t>
            </w:r>
            <w:r>
              <w:rPr>
                <w:rFonts w:hint="eastAsia" w:ascii="Times New Roman" w:eastAsia="宋体"/>
                <w:bCs/>
                <w:color w:val="auto"/>
                <w:szCs w:val="24"/>
                <w:highlight w:val="none"/>
                <w:u w:val="none" w:color="auto"/>
                <w:lang w:val="en-US" w:eastAsia="zh-CN"/>
              </w:rPr>
              <w:t>总</w:t>
            </w:r>
            <w:r>
              <w:rPr>
                <w:bCs/>
                <w:color w:val="auto"/>
                <w:szCs w:val="24"/>
                <w:highlight w:val="none"/>
                <w:u w:val="none" w:color="auto"/>
              </w:rPr>
              <w:t>占地面积</w:t>
            </w:r>
            <w:r>
              <w:rPr>
                <w:rFonts w:hint="eastAsia"/>
                <w:bCs/>
                <w:color w:val="auto"/>
                <w:szCs w:val="24"/>
                <w:highlight w:val="none"/>
                <w:u w:val="none" w:color="auto"/>
                <w:lang w:val="en-US" w:eastAsia="zh-CN"/>
              </w:rPr>
              <w:t>3000</w:t>
            </w:r>
            <w:r>
              <w:rPr>
                <w:bCs/>
                <w:color w:val="auto"/>
                <w:szCs w:val="24"/>
                <w:highlight w:val="none"/>
                <w:u w:val="none" w:color="auto"/>
              </w:rPr>
              <w:t>m</w:t>
            </w:r>
            <w:r>
              <w:rPr>
                <w:bCs/>
                <w:color w:val="auto"/>
                <w:szCs w:val="24"/>
                <w:highlight w:val="none"/>
                <w:u w:val="none" w:color="auto"/>
                <w:vertAlign w:val="superscript"/>
              </w:rPr>
              <w:t>2</w:t>
            </w:r>
            <w:r>
              <w:rPr>
                <w:rFonts w:hint="eastAsia" w:eastAsia="宋体"/>
                <w:bCs/>
                <w:color w:val="auto"/>
                <w:szCs w:val="24"/>
                <w:highlight w:val="none"/>
                <w:u w:val="none" w:color="auto"/>
                <w:vertAlign w:val="baseline"/>
                <w:lang w:eastAsia="zh-CN"/>
              </w:rPr>
              <w:t>，</w:t>
            </w:r>
            <w:r>
              <w:rPr>
                <w:rFonts w:hint="eastAsia" w:ascii="Times New Roman" w:eastAsia="宋体"/>
                <w:bCs/>
                <w:color w:val="auto"/>
                <w:szCs w:val="24"/>
                <w:highlight w:val="none"/>
                <w:u w:val="none" w:color="auto"/>
                <w:vertAlign w:val="baseline"/>
                <w:lang w:val="en-US" w:eastAsia="zh-CN"/>
              </w:rPr>
              <w:t>建筑面积</w:t>
            </w:r>
            <w:r>
              <w:rPr>
                <w:rFonts w:hint="eastAsia"/>
                <w:bCs/>
                <w:color w:val="auto"/>
                <w:szCs w:val="24"/>
                <w:highlight w:val="none"/>
                <w:u w:val="none" w:color="auto"/>
                <w:vertAlign w:val="baseline"/>
                <w:lang w:val="en-US" w:eastAsia="zh-CN"/>
              </w:rPr>
              <w:t>11006.1</w:t>
            </w:r>
            <w:r>
              <w:rPr>
                <w:bCs/>
                <w:color w:val="auto"/>
                <w:szCs w:val="24"/>
                <w:highlight w:val="none"/>
                <w:u w:val="none" w:color="auto"/>
              </w:rPr>
              <w:t>m</w:t>
            </w:r>
            <w:r>
              <w:rPr>
                <w:bCs/>
                <w:color w:val="auto"/>
                <w:szCs w:val="24"/>
                <w:highlight w:val="none"/>
                <w:u w:val="none" w:color="auto"/>
                <w:vertAlign w:val="superscript"/>
              </w:rPr>
              <w:t>2</w:t>
            </w:r>
            <w:r>
              <w:rPr>
                <w:rFonts w:hint="eastAsia" w:eastAsia="宋体"/>
                <w:color w:val="auto"/>
                <w:u w:val="none" w:color="auto"/>
                <w:lang w:val="en-US" w:eastAsia="zh-CN"/>
              </w:rPr>
              <w:t>，</w:t>
            </w:r>
            <w:r>
              <w:rPr>
                <w:rFonts w:hint="eastAsia"/>
                <w:color w:val="auto"/>
                <w:u w:val="none" w:color="auto"/>
                <w:lang w:val="en-US" w:eastAsia="zh-CN"/>
              </w:rPr>
              <w:t>同时建设公用、环保等配套工程，主要工程组成见表2-1。</w:t>
            </w:r>
          </w:p>
          <w:p w14:paraId="0DD0009F">
            <w:pPr>
              <w:spacing w:line="400" w:lineRule="exact"/>
              <w:ind w:firstLine="422"/>
              <w:jc w:val="center"/>
              <w:rPr>
                <w:rFonts w:hint="eastAsia"/>
                <w:b/>
                <w:bCs/>
                <w:color w:val="auto"/>
                <w:sz w:val="21"/>
                <w:szCs w:val="21"/>
                <w:u w:val="none" w:color="auto"/>
              </w:rPr>
            </w:pPr>
            <w:r>
              <w:rPr>
                <w:rFonts w:hint="eastAsia"/>
                <w:b/>
                <w:bCs/>
                <w:color w:val="auto"/>
                <w:sz w:val="21"/>
                <w:szCs w:val="21"/>
                <w:u w:val="none" w:color="auto"/>
              </w:rPr>
              <w:t>表2-1主要建设内容一览表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1"/>
              <w:gridCol w:w="2704"/>
              <w:gridCol w:w="4399"/>
              <w:gridCol w:w="772"/>
            </w:tblGrid>
            <w:tr w14:paraId="13623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6" w:type="pct"/>
                  <w:noWrap/>
                  <w:vAlign w:val="center"/>
                </w:tcPr>
                <w:p w14:paraId="461E5654">
                  <w:pPr>
                    <w:spacing w:line="240" w:lineRule="auto"/>
                    <w:ind w:firstLine="0" w:firstLineChars="0"/>
                    <w:jc w:val="center"/>
                    <w:rPr>
                      <w:color w:val="auto"/>
                      <w:sz w:val="21"/>
                      <w:szCs w:val="21"/>
                      <w:u w:val="none" w:color="auto"/>
                    </w:rPr>
                  </w:pPr>
                  <w:r>
                    <w:rPr>
                      <w:rFonts w:hint="eastAsia"/>
                      <w:color w:val="auto"/>
                      <w:sz w:val="21"/>
                      <w:szCs w:val="21"/>
                      <w:u w:val="none" w:color="auto"/>
                    </w:rPr>
                    <w:t>类别</w:t>
                  </w:r>
                </w:p>
              </w:tc>
              <w:tc>
                <w:tcPr>
                  <w:tcW w:w="4224" w:type="pct"/>
                  <w:gridSpan w:val="2"/>
                  <w:noWrap/>
                  <w:vAlign w:val="center"/>
                </w:tcPr>
                <w:p w14:paraId="3A40F8C9">
                  <w:pPr>
                    <w:spacing w:line="240" w:lineRule="auto"/>
                    <w:ind w:firstLine="0" w:firstLineChars="0"/>
                    <w:jc w:val="center"/>
                    <w:rPr>
                      <w:color w:val="auto"/>
                      <w:sz w:val="21"/>
                      <w:szCs w:val="21"/>
                      <w:u w:val="none" w:color="auto"/>
                    </w:rPr>
                  </w:pPr>
                  <w:r>
                    <w:rPr>
                      <w:rFonts w:hint="eastAsia"/>
                      <w:color w:val="auto"/>
                      <w:sz w:val="21"/>
                      <w:szCs w:val="21"/>
                      <w:u w:val="none" w:color="auto"/>
                    </w:rPr>
                    <w:t>建设内容及规模</w:t>
                  </w:r>
                </w:p>
              </w:tc>
              <w:tc>
                <w:tcPr>
                  <w:tcW w:w="459" w:type="pct"/>
                  <w:noWrap/>
                  <w:vAlign w:val="center"/>
                </w:tcPr>
                <w:p w14:paraId="30F40AFE">
                  <w:pPr>
                    <w:spacing w:line="240" w:lineRule="auto"/>
                    <w:ind w:firstLine="0" w:firstLineChars="0"/>
                    <w:jc w:val="center"/>
                    <w:rPr>
                      <w:color w:val="auto"/>
                      <w:sz w:val="21"/>
                      <w:szCs w:val="21"/>
                      <w:u w:val="none" w:color="auto"/>
                    </w:rPr>
                  </w:pPr>
                  <w:r>
                    <w:rPr>
                      <w:rFonts w:hint="eastAsia"/>
                      <w:color w:val="auto"/>
                      <w:sz w:val="21"/>
                      <w:szCs w:val="21"/>
                      <w:u w:val="none" w:color="auto"/>
                    </w:rPr>
                    <w:t>备注</w:t>
                  </w:r>
                </w:p>
              </w:tc>
            </w:tr>
            <w:tr w14:paraId="3DAB3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6" w:type="pct"/>
                  <w:vMerge w:val="restart"/>
                  <w:noWrap/>
                  <w:vAlign w:val="center"/>
                </w:tcPr>
                <w:p w14:paraId="01F6DEB7">
                  <w:pPr>
                    <w:spacing w:line="240" w:lineRule="auto"/>
                    <w:ind w:firstLine="0" w:firstLineChars="0"/>
                    <w:jc w:val="center"/>
                    <w:rPr>
                      <w:color w:val="auto"/>
                      <w:sz w:val="21"/>
                      <w:szCs w:val="21"/>
                      <w:u w:val="none" w:color="auto"/>
                    </w:rPr>
                  </w:pPr>
                  <w:r>
                    <w:rPr>
                      <w:rFonts w:hint="eastAsia"/>
                      <w:color w:val="auto"/>
                      <w:sz w:val="21"/>
                      <w:szCs w:val="21"/>
                      <w:u w:val="none" w:color="auto"/>
                    </w:rPr>
                    <w:t>主体工程</w:t>
                  </w:r>
                </w:p>
              </w:tc>
              <w:tc>
                <w:tcPr>
                  <w:tcW w:w="1608" w:type="pct"/>
                  <w:vMerge w:val="restart"/>
                  <w:noWrap/>
                  <w:vAlign w:val="center"/>
                </w:tcPr>
                <w:p w14:paraId="5968C9C8">
                  <w:pPr>
                    <w:spacing w:line="240" w:lineRule="auto"/>
                    <w:ind w:firstLine="0" w:firstLineChars="0"/>
                    <w:jc w:val="center"/>
                    <w:rPr>
                      <w:rFonts w:hint="default" w:eastAsia="宋体"/>
                      <w:color w:val="auto"/>
                      <w:sz w:val="21"/>
                      <w:szCs w:val="21"/>
                      <w:u w:val="none" w:color="auto"/>
                      <w:lang w:val="en-US" w:eastAsia="zh-CN"/>
                    </w:rPr>
                  </w:pPr>
                  <w:r>
                    <w:rPr>
                      <w:rFonts w:hint="eastAsia"/>
                      <w:color w:val="auto"/>
                      <w:sz w:val="21"/>
                      <w:szCs w:val="21"/>
                      <w:u w:val="none" w:color="auto"/>
                      <w:lang w:val="en-US" w:eastAsia="zh-CN"/>
                    </w:rPr>
                    <w:t>一栋四层厂房</w:t>
                  </w:r>
                  <w:r>
                    <w:rPr>
                      <w:rFonts w:hint="eastAsia" w:ascii="Times New Roman" w:hAnsi="Times New Roman" w:eastAsia="宋体" w:cs="Times New Roman"/>
                      <w:color w:val="auto"/>
                      <w:sz w:val="21"/>
                      <w:szCs w:val="21"/>
                      <w:u w:val="none" w:color="auto"/>
                      <w:lang w:eastAsia="zh-CN"/>
                    </w:rPr>
                    <w:t>，</w:t>
                  </w:r>
                  <w:r>
                    <w:rPr>
                      <w:rFonts w:hint="eastAsia" w:cs="Times New Roman"/>
                      <w:color w:val="auto"/>
                      <w:sz w:val="21"/>
                      <w:szCs w:val="21"/>
                      <w:u w:val="none" w:color="auto"/>
                      <w:lang w:eastAsia="zh-CN"/>
                    </w:rPr>
                    <w:t>总高约</w:t>
                  </w:r>
                  <w:r>
                    <w:rPr>
                      <w:rFonts w:hint="eastAsia" w:cs="Times New Roman"/>
                      <w:color w:val="auto"/>
                      <w:sz w:val="21"/>
                      <w:szCs w:val="21"/>
                      <w:u w:val="none" w:color="auto"/>
                      <w:lang w:val="en-US" w:eastAsia="zh-CN"/>
                    </w:rPr>
                    <w:t>22m高，</w:t>
                  </w:r>
                  <w:r>
                    <w:rPr>
                      <w:rFonts w:hint="eastAsia" w:ascii="Times New Roman" w:hAnsi="Times New Roman" w:eastAsia="宋体" w:cs="Times New Roman"/>
                      <w:color w:val="auto"/>
                      <w:sz w:val="21"/>
                      <w:szCs w:val="21"/>
                      <w:u w:val="none" w:color="auto"/>
                    </w:rPr>
                    <w:t>占地面积</w:t>
                  </w:r>
                  <w:r>
                    <w:rPr>
                      <w:rFonts w:hint="eastAsia" w:cs="Times New Roman"/>
                      <w:color w:val="auto"/>
                      <w:sz w:val="21"/>
                      <w:szCs w:val="21"/>
                      <w:u w:val="none" w:color="auto"/>
                      <w:lang w:val="en-US" w:eastAsia="zh-CN"/>
                    </w:rPr>
                    <w:t>3000</w:t>
                  </w:r>
                  <w:r>
                    <w:rPr>
                      <w:rFonts w:hint="eastAsia"/>
                      <w:color w:val="auto"/>
                      <w:sz w:val="21"/>
                      <w:szCs w:val="21"/>
                      <w:u w:val="none" w:color="auto"/>
                    </w:rPr>
                    <w:t>m</w:t>
                  </w:r>
                  <w:r>
                    <w:rPr>
                      <w:rFonts w:hint="eastAsia"/>
                      <w:color w:val="auto"/>
                      <w:sz w:val="21"/>
                      <w:szCs w:val="21"/>
                      <w:u w:val="none" w:color="auto"/>
                      <w:vertAlign w:val="superscript"/>
                    </w:rPr>
                    <w:t>2</w:t>
                  </w:r>
                  <w:r>
                    <w:rPr>
                      <w:rFonts w:hint="eastAsia"/>
                      <w:color w:val="auto"/>
                      <w:sz w:val="21"/>
                      <w:szCs w:val="21"/>
                      <w:u w:val="none" w:color="auto"/>
                      <w:lang w:eastAsia="zh-CN"/>
                    </w:rPr>
                    <w:t>，</w:t>
                  </w:r>
                  <w:r>
                    <w:rPr>
                      <w:rFonts w:hint="eastAsia"/>
                      <w:color w:val="auto"/>
                      <w:sz w:val="21"/>
                      <w:szCs w:val="21"/>
                      <w:u w:val="none" w:color="auto"/>
                      <w:lang w:val="en-US" w:eastAsia="zh-CN"/>
                    </w:rPr>
                    <w:t>建筑面积</w:t>
                  </w:r>
                  <w:r>
                    <w:rPr>
                      <w:rFonts w:hint="eastAsia" w:cs="Times New Roman"/>
                      <w:color w:val="auto"/>
                      <w:sz w:val="21"/>
                      <w:szCs w:val="21"/>
                      <w:u w:val="none" w:color="auto"/>
                      <w:lang w:val="en-US" w:eastAsia="zh-CN"/>
                    </w:rPr>
                    <w:t>11006.1</w:t>
                  </w:r>
                  <w:r>
                    <w:rPr>
                      <w:rFonts w:hint="eastAsia"/>
                      <w:color w:val="auto"/>
                      <w:sz w:val="21"/>
                      <w:szCs w:val="21"/>
                      <w:u w:val="none" w:color="auto"/>
                    </w:rPr>
                    <w:t>m</w:t>
                  </w:r>
                  <w:r>
                    <w:rPr>
                      <w:rFonts w:hint="eastAsia"/>
                      <w:color w:val="auto"/>
                      <w:sz w:val="21"/>
                      <w:szCs w:val="21"/>
                      <w:u w:val="none" w:color="auto"/>
                      <w:vertAlign w:val="superscript"/>
                    </w:rPr>
                    <w:t>2</w:t>
                  </w:r>
                </w:p>
              </w:tc>
              <w:tc>
                <w:tcPr>
                  <w:tcW w:w="2615" w:type="pct"/>
                  <w:tcBorders>
                    <w:bottom w:val="single" w:color="000000" w:sz="6" w:space="0"/>
                  </w:tcBorders>
                  <w:noWrap/>
                  <w:vAlign w:val="center"/>
                </w:tcPr>
                <w:p w14:paraId="61FE9C5D">
                  <w:pPr>
                    <w:spacing w:line="240" w:lineRule="auto"/>
                    <w:ind w:firstLine="0" w:firstLineChars="0"/>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eastAsia="zh-CN"/>
                    </w:rPr>
                    <w:t>一层建筑面积</w:t>
                  </w:r>
                  <w:r>
                    <w:rPr>
                      <w:rFonts w:hint="eastAsia" w:ascii="Times New Roman" w:hAnsi="Times New Roman" w:eastAsia="宋体" w:cs="Times New Roman"/>
                      <w:color w:val="auto"/>
                      <w:sz w:val="21"/>
                      <w:szCs w:val="21"/>
                      <w:u w:val="none" w:color="auto"/>
                      <w:lang w:val="en-US" w:eastAsia="zh-CN"/>
                    </w:rPr>
                    <w:t>2</w:t>
                  </w:r>
                  <w:r>
                    <w:rPr>
                      <w:rFonts w:hint="eastAsia" w:cs="Times New Roman"/>
                      <w:color w:val="auto"/>
                      <w:sz w:val="21"/>
                      <w:szCs w:val="21"/>
                      <w:u w:val="none" w:color="auto"/>
                      <w:lang w:val="en-US" w:eastAsia="zh-CN"/>
                    </w:rPr>
                    <w:t>701.1</w:t>
                  </w:r>
                  <w:r>
                    <w:rPr>
                      <w:rFonts w:hint="eastAsia" w:ascii="Times New Roman" w:hAnsi="Times New Roman" w:eastAsia="宋体" w:cs="Times New Roman"/>
                      <w:color w:val="auto"/>
                      <w:sz w:val="21"/>
                      <w:szCs w:val="21"/>
                      <w:u w:val="none" w:color="auto"/>
                      <w:lang w:eastAsia="zh-CN"/>
                    </w:rPr>
                    <w:t>m</w:t>
                  </w:r>
                  <w:r>
                    <w:rPr>
                      <w:rFonts w:hint="eastAsia" w:ascii="Times New Roman" w:hAnsi="Times New Roman" w:eastAsia="宋体" w:cs="Times New Roman"/>
                      <w:color w:val="auto"/>
                      <w:sz w:val="21"/>
                      <w:szCs w:val="21"/>
                      <w:u w:val="none" w:color="auto"/>
                      <w:vertAlign w:val="superscript"/>
                      <w:lang w:eastAsia="zh-CN"/>
                    </w:rPr>
                    <w:t>2</w:t>
                  </w:r>
                  <w:r>
                    <w:rPr>
                      <w:rFonts w:hint="eastAsia" w:cs="Times New Roman"/>
                      <w:color w:val="auto"/>
                      <w:sz w:val="21"/>
                      <w:szCs w:val="21"/>
                      <w:u w:val="none" w:color="auto"/>
                      <w:vertAlign w:val="baseline"/>
                      <w:lang w:eastAsia="zh-CN"/>
                    </w:rPr>
                    <w:t>，层高约</w:t>
                  </w:r>
                  <w:r>
                    <w:rPr>
                      <w:rFonts w:hint="eastAsia" w:cs="Times New Roman"/>
                      <w:color w:val="auto"/>
                      <w:sz w:val="21"/>
                      <w:szCs w:val="21"/>
                      <w:u w:val="none" w:color="auto"/>
                      <w:vertAlign w:val="baseline"/>
                      <w:lang w:val="en-US" w:eastAsia="zh-CN"/>
                    </w:rPr>
                    <w:t>7.5m</w:t>
                  </w:r>
                  <w:r>
                    <w:rPr>
                      <w:rFonts w:hint="eastAsia" w:ascii="Times New Roman" w:hAnsi="Times New Roman" w:eastAsia="宋体" w:cs="Times New Roman"/>
                      <w:color w:val="auto"/>
                      <w:sz w:val="21"/>
                      <w:szCs w:val="21"/>
                      <w:u w:val="none" w:color="auto"/>
                      <w:lang w:eastAsia="zh-CN"/>
                    </w:rPr>
                    <w:t>；主要</w:t>
                  </w:r>
                  <w:r>
                    <w:rPr>
                      <w:rFonts w:hint="eastAsia" w:ascii="Times New Roman" w:hAnsi="Times New Roman" w:eastAsia="宋体" w:cs="Times New Roman"/>
                      <w:color w:val="auto"/>
                      <w:sz w:val="21"/>
                      <w:szCs w:val="21"/>
                      <w:u w:val="none" w:color="auto"/>
                      <w:lang w:val="en-US" w:eastAsia="zh-CN"/>
                    </w:rPr>
                    <w:t>作</w:t>
                  </w:r>
                  <w:r>
                    <w:rPr>
                      <w:rFonts w:hint="eastAsia" w:ascii="Times New Roman" w:hAnsi="Times New Roman" w:eastAsia="宋体" w:cs="Times New Roman"/>
                      <w:color w:val="auto"/>
                      <w:sz w:val="21"/>
                      <w:szCs w:val="21"/>
                      <w:u w:val="none" w:color="auto"/>
                      <w:lang w:eastAsia="zh-CN"/>
                    </w:rPr>
                    <w:t>为：</w:t>
                  </w:r>
                  <w:r>
                    <w:rPr>
                      <w:rFonts w:hint="eastAsia" w:ascii="Times New Roman" w:hAnsi="Times New Roman" w:eastAsia="宋体" w:cs="Times New Roman"/>
                      <w:color w:val="auto"/>
                      <w:sz w:val="21"/>
                      <w:szCs w:val="21"/>
                      <w:u w:val="none" w:color="auto"/>
                      <w:lang w:val="en-US" w:eastAsia="zh-CN"/>
                    </w:rPr>
                    <w:t xml:space="preserve">原辅材料仓库、配料房、涂布车间、制片车间                      </w:t>
                  </w:r>
                </w:p>
              </w:tc>
              <w:tc>
                <w:tcPr>
                  <w:tcW w:w="459" w:type="pct"/>
                  <w:vMerge w:val="restart"/>
                  <w:noWrap/>
                  <w:vAlign w:val="center"/>
                </w:tcPr>
                <w:p w14:paraId="18C3F375">
                  <w:pPr>
                    <w:spacing w:line="240" w:lineRule="auto"/>
                    <w:ind w:firstLine="0" w:firstLineChars="0"/>
                    <w:jc w:val="center"/>
                    <w:rPr>
                      <w:rFonts w:hint="eastAsia" w:eastAsia="宋体"/>
                      <w:color w:val="auto"/>
                      <w:sz w:val="21"/>
                      <w:szCs w:val="21"/>
                      <w:u w:val="none" w:color="auto"/>
                      <w:lang w:eastAsia="zh-CN"/>
                    </w:rPr>
                  </w:pPr>
                  <w:r>
                    <w:rPr>
                      <w:rFonts w:hint="eastAsia"/>
                      <w:color w:val="auto"/>
                      <w:sz w:val="21"/>
                      <w:szCs w:val="21"/>
                      <w:u w:val="none" w:color="auto"/>
                      <w:lang w:eastAsia="zh-CN"/>
                    </w:rPr>
                    <w:t>已建，框架结构</w:t>
                  </w:r>
                </w:p>
              </w:tc>
            </w:tr>
            <w:tr w14:paraId="23778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6" w:type="pct"/>
                  <w:vMerge w:val="continue"/>
                  <w:noWrap/>
                  <w:vAlign w:val="center"/>
                </w:tcPr>
                <w:p w14:paraId="2101CACC">
                  <w:pPr>
                    <w:spacing w:line="240" w:lineRule="auto"/>
                    <w:ind w:firstLine="0" w:firstLineChars="0"/>
                    <w:jc w:val="center"/>
                    <w:rPr>
                      <w:rFonts w:hint="eastAsia"/>
                      <w:color w:val="auto"/>
                      <w:sz w:val="21"/>
                      <w:szCs w:val="21"/>
                      <w:u w:val="none" w:color="auto"/>
                    </w:rPr>
                  </w:pPr>
                </w:p>
              </w:tc>
              <w:tc>
                <w:tcPr>
                  <w:tcW w:w="1608" w:type="pct"/>
                  <w:vMerge w:val="continue"/>
                  <w:noWrap/>
                  <w:vAlign w:val="center"/>
                </w:tcPr>
                <w:p w14:paraId="38761889">
                  <w:pPr>
                    <w:spacing w:line="240" w:lineRule="auto"/>
                    <w:ind w:firstLine="0" w:firstLineChars="0"/>
                    <w:jc w:val="center"/>
                    <w:rPr>
                      <w:rFonts w:hint="eastAsia"/>
                      <w:color w:val="auto"/>
                      <w:sz w:val="21"/>
                      <w:szCs w:val="21"/>
                      <w:u w:val="none" w:color="auto"/>
                    </w:rPr>
                  </w:pPr>
                </w:p>
              </w:tc>
              <w:tc>
                <w:tcPr>
                  <w:tcW w:w="2615" w:type="pct"/>
                  <w:tcBorders>
                    <w:top w:val="single" w:color="000000" w:sz="6" w:space="0"/>
                    <w:bottom w:val="single" w:color="000000" w:sz="6" w:space="0"/>
                  </w:tcBorders>
                  <w:noWrap/>
                  <w:vAlign w:val="center"/>
                </w:tcPr>
                <w:p w14:paraId="168EE13C">
                  <w:pPr>
                    <w:spacing w:line="240" w:lineRule="auto"/>
                    <w:ind w:firstLine="0" w:firstLineChars="0"/>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val="en-US" w:eastAsia="zh-CN"/>
                    </w:rPr>
                    <w:t>二</w:t>
                  </w:r>
                  <w:r>
                    <w:rPr>
                      <w:rFonts w:hint="eastAsia" w:ascii="Times New Roman" w:hAnsi="Times New Roman" w:eastAsia="宋体" w:cs="Times New Roman"/>
                      <w:color w:val="auto"/>
                      <w:sz w:val="21"/>
                      <w:szCs w:val="21"/>
                      <w:u w:val="none" w:color="auto"/>
                      <w:lang w:eastAsia="zh-CN"/>
                    </w:rPr>
                    <w:t>层建筑面积</w:t>
                  </w:r>
                  <w:r>
                    <w:rPr>
                      <w:rFonts w:hint="eastAsia" w:ascii="Times New Roman" w:hAnsi="Times New Roman" w:eastAsia="宋体" w:cs="Times New Roman"/>
                      <w:color w:val="auto"/>
                      <w:sz w:val="21"/>
                      <w:szCs w:val="21"/>
                      <w:u w:val="none" w:color="auto"/>
                      <w:lang w:val="en-US" w:eastAsia="zh-CN"/>
                    </w:rPr>
                    <w:t>2</w:t>
                  </w:r>
                  <w:r>
                    <w:rPr>
                      <w:rFonts w:hint="eastAsia" w:cs="Times New Roman"/>
                      <w:color w:val="auto"/>
                      <w:sz w:val="21"/>
                      <w:szCs w:val="21"/>
                      <w:u w:val="none" w:color="auto"/>
                      <w:lang w:val="en-US" w:eastAsia="zh-CN"/>
                    </w:rPr>
                    <w:t>701.1</w:t>
                  </w:r>
                  <w:r>
                    <w:rPr>
                      <w:rFonts w:hint="eastAsia" w:ascii="Times New Roman" w:hAnsi="Times New Roman" w:eastAsia="宋体" w:cs="Times New Roman"/>
                      <w:color w:val="auto"/>
                      <w:sz w:val="21"/>
                      <w:szCs w:val="21"/>
                      <w:u w:val="none" w:color="auto"/>
                      <w:lang w:eastAsia="zh-CN"/>
                    </w:rPr>
                    <w:t>m</w:t>
                  </w:r>
                  <w:r>
                    <w:rPr>
                      <w:rFonts w:hint="eastAsia" w:ascii="Times New Roman" w:hAnsi="Times New Roman" w:eastAsia="宋体" w:cs="Times New Roman"/>
                      <w:color w:val="auto"/>
                      <w:sz w:val="21"/>
                      <w:szCs w:val="21"/>
                      <w:u w:val="none" w:color="auto"/>
                      <w:vertAlign w:val="superscript"/>
                      <w:lang w:eastAsia="zh-CN"/>
                    </w:rPr>
                    <w:t>2</w:t>
                  </w:r>
                  <w:r>
                    <w:rPr>
                      <w:rFonts w:hint="eastAsia" w:cs="Times New Roman"/>
                      <w:color w:val="auto"/>
                      <w:sz w:val="21"/>
                      <w:szCs w:val="21"/>
                      <w:u w:val="none" w:color="auto"/>
                      <w:vertAlign w:val="baseline"/>
                      <w:lang w:eastAsia="zh-CN"/>
                    </w:rPr>
                    <w:t>，层高约</w:t>
                  </w:r>
                  <w:r>
                    <w:rPr>
                      <w:rFonts w:hint="eastAsia" w:cs="Times New Roman"/>
                      <w:color w:val="auto"/>
                      <w:sz w:val="21"/>
                      <w:szCs w:val="21"/>
                      <w:u w:val="none" w:color="auto"/>
                      <w:vertAlign w:val="baseline"/>
                      <w:lang w:val="en-US" w:eastAsia="zh-CN"/>
                    </w:rPr>
                    <w:t>4.5m</w:t>
                  </w:r>
                  <w:r>
                    <w:rPr>
                      <w:rFonts w:hint="eastAsia" w:ascii="Times New Roman" w:hAnsi="Times New Roman" w:eastAsia="宋体" w:cs="Times New Roman"/>
                      <w:color w:val="auto"/>
                      <w:sz w:val="21"/>
                      <w:szCs w:val="21"/>
                      <w:u w:val="none" w:color="auto"/>
                      <w:lang w:eastAsia="zh-CN"/>
                    </w:rPr>
                    <w:t>；主要</w:t>
                  </w:r>
                  <w:r>
                    <w:rPr>
                      <w:rFonts w:hint="eastAsia" w:ascii="Times New Roman" w:hAnsi="Times New Roman" w:eastAsia="宋体" w:cs="Times New Roman"/>
                      <w:color w:val="auto"/>
                      <w:sz w:val="21"/>
                      <w:szCs w:val="21"/>
                      <w:u w:val="none" w:color="auto"/>
                      <w:lang w:val="en-US" w:eastAsia="zh-CN"/>
                    </w:rPr>
                    <w:t>作</w:t>
                  </w:r>
                  <w:r>
                    <w:rPr>
                      <w:rFonts w:hint="eastAsia" w:ascii="Times New Roman" w:hAnsi="Times New Roman" w:eastAsia="宋体" w:cs="Times New Roman"/>
                      <w:color w:val="auto"/>
                      <w:sz w:val="21"/>
                      <w:szCs w:val="21"/>
                      <w:u w:val="none" w:color="auto"/>
                      <w:lang w:eastAsia="zh-CN"/>
                    </w:rPr>
                    <w:t>为：</w:t>
                  </w:r>
                  <w:r>
                    <w:rPr>
                      <w:rFonts w:hint="eastAsia" w:ascii="Times New Roman" w:hAnsi="Times New Roman" w:eastAsia="宋体" w:cs="Times New Roman"/>
                      <w:color w:val="auto"/>
                      <w:sz w:val="21"/>
                      <w:szCs w:val="21"/>
                      <w:u w:val="none" w:color="auto"/>
                      <w:lang w:val="en-US" w:eastAsia="zh-CN"/>
                    </w:rPr>
                    <w:t xml:space="preserve">原辅材料仓、装配车间、办公室 </w:t>
                  </w:r>
                </w:p>
              </w:tc>
              <w:tc>
                <w:tcPr>
                  <w:tcW w:w="459" w:type="pct"/>
                  <w:vMerge w:val="continue"/>
                  <w:noWrap/>
                  <w:vAlign w:val="center"/>
                </w:tcPr>
                <w:p w14:paraId="4B35FD6A">
                  <w:pPr>
                    <w:spacing w:line="240" w:lineRule="auto"/>
                    <w:ind w:firstLine="0" w:firstLineChars="0"/>
                    <w:jc w:val="center"/>
                    <w:rPr>
                      <w:color w:val="auto"/>
                      <w:sz w:val="21"/>
                      <w:szCs w:val="21"/>
                      <w:u w:val="none" w:color="auto"/>
                    </w:rPr>
                  </w:pPr>
                </w:p>
              </w:tc>
            </w:tr>
            <w:tr w14:paraId="5E24B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316" w:type="pct"/>
                  <w:vMerge w:val="continue"/>
                  <w:noWrap/>
                  <w:vAlign w:val="center"/>
                </w:tcPr>
                <w:p w14:paraId="6107309E">
                  <w:pPr>
                    <w:spacing w:line="240" w:lineRule="auto"/>
                    <w:ind w:firstLine="0" w:firstLineChars="0"/>
                    <w:jc w:val="center"/>
                    <w:rPr>
                      <w:rFonts w:hint="eastAsia"/>
                      <w:color w:val="auto"/>
                      <w:sz w:val="21"/>
                      <w:szCs w:val="21"/>
                      <w:u w:val="none" w:color="auto"/>
                    </w:rPr>
                  </w:pPr>
                </w:p>
              </w:tc>
              <w:tc>
                <w:tcPr>
                  <w:tcW w:w="1608" w:type="pct"/>
                  <w:vMerge w:val="continue"/>
                  <w:noWrap/>
                  <w:vAlign w:val="center"/>
                </w:tcPr>
                <w:p w14:paraId="562C1490">
                  <w:pPr>
                    <w:spacing w:line="240" w:lineRule="auto"/>
                    <w:ind w:firstLine="0" w:firstLineChars="0"/>
                    <w:jc w:val="center"/>
                    <w:rPr>
                      <w:rFonts w:hint="eastAsia"/>
                      <w:color w:val="auto"/>
                      <w:sz w:val="21"/>
                      <w:szCs w:val="21"/>
                      <w:u w:val="none" w:color="auto"/>
                    </w:rPr>
                  </w:pPr>
                </w:p>
              </w:tc>
              <w:tc>
                <w:tcPr>
                  <w:tcW w:w="2615" w:type="pct"/>
                  <w:tcBorders>
                    <w:top w:val="single" w:color="000000" w:sz="6" w:space="0"/>
                    <w:bottom w:val="single" w:color="000000" w:sz="6" w:space="0"/>
                  </w:tcBorders>
                  <w:noWrap/>
                  <w:vAlign w:val="center"/>
                </w:tcPr>
                <w:p w14:paraId="752F3913">
                  <w:pPr>
                    <w:spacing w:line="240" w:lineRule="auto"/>
                    <w:ind w:firstLine="0" w:firstLineChars="0"/>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val="en-US" w:eastAsia="zh-CN"/>
                    </w:rPr>
                    <w:t>三</w:t>
                  </w:r>
                  <w:r>
                    <w:rPr>
                      <w:rFonts w:hint="eastAsia" w:ascii="Times New Roman" w:hAnsi="Times New Roman" w:eastAsia="宋体" w:cs="Times New Roman"/>
                      <w:color w:val="auto"/>
                      <w:sz w:val="21"/>
                      <w:szCs w:val="21"/>
                      <w:u w:val="none" w:color="auto"/>
                      <w:lang w:eastAsia="zh-CN"/>
                    </w:rPr>
                    <w:t>层建筑面积</w:t>
                  </w:r>
                  <w:r>
                    <w:rPr>
                      <w:rFonts w:hint="eastAsia" w:ascii="Times New Roman" w:hAnsi="Times New Roman" w:eastAsia="宋体" w:cs="Times New Roman"/>
                      <w:color w:val="auto"/>
                      <w:sz w:val="21"/>
                      <w:szCs w:val="21"/>
                      <w:u w:val="none" w:color="auto"/>
                      <w:lang w:val="en-US" w:eastAsia="zh-CN"/>
                    </w:rPr>
                    <w:t>2</w:t>
                  </w:r>
                  <w:r>
                    <w:rPr>
                      <w:rFonts w:hint="eastAsia" w:cs="Times New Roman"/>
                      <w:color w:val="auto"/>
                      <w:sz w:val="21"/>
                      <w:szCs w:val="21"/>
                      <w:u w:val="none" w:color="auto"/>
                      <w:lang w:val="en-US" w:eastAsia="zh-CN"/>
                    </w:rPr>
                    <w:t>701.1</w:t>
                  </w:r>
                  <w:r>
                    <w:rPr>
                      <w:rFonts w:hint="eastAsia" w:ascii="Times New Roman" w:hAnsi="Times New Roman" w:eastAsia="宋体" w:cs="Times New Roman"/>
                      <w:color w:val="auto"/>
                      <w:sz w:val="21"/>
                      <w:szCs w:val="21"/>
                      <w:u w:val="none" w:color="auto"/>
                      <w:lang w:eastAsia="zh-CN"/>
                    </w:rPr>
                    <w:t>m</w:t>
                  </w:r>
                  <w:r>
                    <w:rPr>
                      <w:rFonts w:hint="eastAsia" w:ascii="Times New Roman" w:hAnsi="Times New Roman" w:eastAsia="宋体" w:cs="Times New Roman"/>
                      <w:color w:val="auto"/>
                      <w:sz w:val="21"/>
                      <w:szCs w:val="21"/>
                      <w:u w:val="none" w:color="auto"/>
                      <w:vertAlign w:val="superscript"/>
                      <w:lang w:eastAsia="zh-CN"/>
                    </w:rPr>
                    <w:t>2</w:t>
                  </w:r>
                  <w:r>
                    <w:rPr>
                      <w:rFonts w:hint="eastAsia" w:cs="Times New Roman"/>
                      <w:color w:val="auto"/>
                      <w:sz w:val="21"/>
                      <w:szCs w:val="21"/>
                      <w:u w:val="none" w:color="auto"/>
                      <w:vertAlign w:val="baseline"/>
                      <w:lang w:eastAsia="zh-CN"/>
                    </w:rPr>
                    <w:t>，层高约</w:t>
                  </w:r>
                  <w:r>
                    <w:rPr>
                      <w:rFonts w:hint="eastAsia" w:cs="Times New Roman"/>
                      <w:color w:val="auto"/>
                      <w:sz w:val="21"/>
                      <w:szCs w:val="21"/>
                      <w:u w:val="none" w:color="auto"/>
                      <w:vertAlign w:val="baseline"/>
                      <w:lang w:val="en-US" w:eastAsia="zh-CN"/>
                    </w:rPr>
                    <w:t>4.5m</w:t>
                  </w:r>
                  <w:r>
                    <w:rPr>
                      <w:rFonts w:hint="eastAsia" w:ascii="Times New Roman" w:hAnsi="Times New Roman" w:eastAsia="宋体" w:cs="Times New Roman"/>
                      <w:color w:val="auto"/>
                      <w:sz w:val="21"/>
                      <w:szCs w:val="21"/>
                      <w:u w:val="none" w:color="auto"/>
                      <w:lang w:eastAsia="zh-CN"/>
                    </w:rPr>
                    <w:t>；主要</w:t>
                  </w:r>
                  <w:r>
                    <w:rPr>
                      <w:rFonts w:hint="eastAsia" w:ascii="Times New Roman" w:hAnsi="Times New Roman" w:eastAsia="宋体" w:cs="Times New Roman"/>
                      <w:color w:val="auto"/>
                      <w:sz w:val="21"/>
                      <w:szCs w:val="21"/>
                      <w:u w:val="none" w:color="auto"/>
                      <w:lang w:val="en-US" w:eastAsia="zh-CN"/>
                    </w:rPr>
                    <w:t>作</w:t>
                  </w:r>
                  <w:r>
                    <w:rPr>
                      <w:rFonts w:hint="eastAsia" w:ascii="Times New Roman" w:hAnsi="Times New Roman" w:eastAsia="宋体" w:cs="Times New Roman"/>
                      <w:color w:val="auto"/>
                      <w:sz w:val="21"/>
                      <w:szCs w:val="21"/>
                      <w:u w:val="none" w:color="auto"/>
                      <w:lang w:eastAsia="zh-CN"/>
                    </w:rPr>
                    <w:t>为：</w:t>
                  </w:r>
                  <w:r>
                    <w:rPr>
                      <w:rFonts w:hint="eastAsia" w:ascii="Times New Roman" w:hAnsi="Times New Roman" w:eastAsia="宋体" w:cs="Times New Roman"/>
                      <w:color w:val="auto"/>
                      <w:sz w:val="21"/>
                      <w:szCs w:val="21"/>
                      <w:u w:val="none" w:color="auto"/>
                      <w:lang w:val="en-US" w:eastAsia="zh-CN"/>
                    </w:rPr>
                    <w:t>零配件仓、装配车间、注液车间、烤箱房、装配车间、研发测试中心</w:t>
                  </w:r>
                </w:p>
              </w:tc>
              <w:tc>
                <w:tcPr>
                  <w:tcW w:w="459" w:type="pct"/>
                  <w:vMerge w:val="continue"/>
                  <w:noWrap/>
                  <w:vAlign w:val="center"/>
                </w:tcPr>
                <w:p w14:paraId="733911A7">
                  <w:pPr>
                    <w:spacing w:line="240" w:lineRule="auto"/>
                    <w:ind w:firstLine="0" w:firstLineChars="0"/>
                    <w:jc w:val="center"/>
                    <w:rPr>
                      <w:color w:val="auto"/>
                      <w:sz w:val="21"/>
                      <w:szCs w:val="21"/>
                      <w:u w:val="none" w:color="auto"/>
                    </w:rPr>
                  </w:pPr>
                </w:p>
              </w:tc>
            </w:tr>
            <w:tr w14:paraId="3B750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316" w:type="pct"/>
                  <w:vMerge w:val="continue"/>
                  <w:noWrap/>
                  <w:vAlign w:val="center"/>
                </w:tcPr>
                <w:p w14:paraId="14DA78C0">
                  <w:pPr>
                    <w:spacing w:line="240" w:lineRule="auto"/>
                    <w:ind w:firstLine="0" w:firstLineChars="0"/>
                    <w:jc w:val="center"/>
                    <w:rPr>
                      <w:rFonts w:hint="eastAsia"/>
                      <w:color w:val="auto"/>
                      <w:sz w:val="21"/>
                      <w:szCs w:val="21"/>
                      <w:u w:val="none" w:color="auto"/>
                    </w:rPr>
                  </w:pPr>
                </w:p>
              </w:tc>
              <w:tc>
                <w:tcPr>
                  <w:tcW w:w="1608" w:type="pct"/>
                  <w:vMerge w:val="continue"/>
                  <w:noWrap/>
                  <w:vAlign w:val="center"/>
                </w:tcPr>
                <w:p w14:paraId="101BE98B">
                  <w:pPr>
                    <w:spacing w:line="240" w:lineRule="auto"/>
                    <w:ind w:firstLine="0" w:firstLineChars="0"/>
                    <w:jc w:val="center"/>
                    <w:rPr>
                      <w:rFonts w:hint="eastAsia"/>
                      <w:color w:val="auto"/>
                      <w:sz w:val="21"/>
                      <w:szCs w:val="21"/>
                      <w:u w:val="none" w:color="auto"/>
                    </w:rPr>
                  </w:pPr>
                </w:p>
              </w:tc>
              <w:tc>
                <w:tcPr>
                  <w:tcW w:w="2615" w:type="pct"/>
                  <w:tcBorders>
                    <w:top w:val="single" w:color="000000" w:sz="6" w:space="0"/>
                  </w:tcBorders>
                  <w:noWrap/>
                  <w:vAlign w:val="center"/>
                </w:tcPr>
                <w:p w14:paraId="40681D77">
                  <w:pPr>
                    <w:spacing w:line="240" w:lineRule="auto"/>
                    <w:ind w:firstLine="0" w:firstLineChars="0"/>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四层</w:t>
                  </w:r>
                  <w:r>
                    <w:rPr>
                      <w:rFonts w:hint="eastAsia" w:ascii="Times New Roman" w:hAnsi="Times New Roman" w:eastAsia="宋体" w:cs="Times New Roman"/>
                      <w:color w:val="auto"/>
                      <w:sz w:val="21"/>
                      <w:szCs w:val="21"/>
                      <w:u w:val="none" w:color="auto"/>
                      <w:lang w:eastAsia="zh-CN"/>
                    </w:rPr>
                    <w:t>建筑面积</w:t>
                  </w:r>
                  <w:r>
                    <w:rPr>
                      <w:rFonts w:hint="eastAsia" w:ascii="Times New Roman" w:hAnsi="Times New Roman" w:eastAsia="宋体" w:cs="Times New Roman"/>
                      <w:color w:val="auto"/>
                      <w:sz w:val="21"/>
                      <w:szCs w:val="21"/>
                      <w:u w:val="none" w:color="auto"/>
                      <w:lang w:val="en-US" w:eastAsia="zh-CN"/>
                    </w:rPr>
                    <w:t>2</w:t>
                  </w:r>
                  <w:r>
                    <w:rPr>
                      <w:rFonts w:hint="eastAsia" w:cs="Times New Roman"/>
                      <w:color w:val="auto"/>
                      <w:sz w:val="21"/>
                      <w:szCs w:val="21"/>
                      <w:u w:val="none" w:color="auto"/>
                      <w:lang w:val="en-US" w:eastAsia="zh-CN"/>
                    </w:rPr>
                    <w:t>701.1</w:t>
                  </w:r>
                  <w:r>
                    <w:rPr>
                      <w:rFonts w:hint="eastAsia" w:ascii="Times New Roman" w:hAnsi="Times New Roman" w:eastAsia="宋体" w:cs="Times New Roman"/>
                      <w:color w:val="auto"/>
                      <w:sz w:val="21"/>
                      <w:szCs w:val="21"/>
                      <w:u w:val="none" w:color="auto"/>
                      <w:lang w:eastAsia="zh-CN"/>
                    </w:rPr>
                    <w:t>m</w:t>
                  </w:r>
                  <w:r>
                    <w:rPr>
                      <w:rFonts w:hint="eastAsia" w:ascii="Times New Roman" w:hAnsi="Times New Roman" w:eastAsia="宋体" w:cs="Times New Roman"/>
                      <w:color w:val="auto"/>
                      <w:sz w:val="21"/>
                      <w:szCs w:val="21"/>
                      <w:u w:val="none" w:color="auto"/>
                      <w:vertAlign w:val="superscript"/>
                      <w:lang w:eastAsia="zh-CN"/>
                    </w:rPr>
                    <w:t>2</w:t>
                  </w:r>
                  <w:r>
                    <w:rPr>
                      <w:rFonts w:hint="eastAsia" w:cs="Times New Roman"/>
                      <w:color w:val="auto"/>
                      <w:sz w:val="21"/>
                      <w:szCs w:val="21"/>
                      <w:u w:val="none" w:color="auto"/>
                      <w:vertAlign w:val="baseline"/>
                      <w:lang w:eastAsia="zh-CN"/>
                    </w:rPr>
                    <w:t>，层高约</w:t>
                  </w:r>
                  <w:r>
                    <w:rPr>
                      <w:rFonts w:hint="eastAsia" w:cs="Times New Roman"/>
                      <w:color w:val="auto"/>
                      <w:sz w:val="21"/>
                      <w:szCs w:val="21"/>
                      <w:u w:val="none" w:color="auto"/>
                      <w:vertAlign w:val="baseline"/>
                      <w:lang w:val="en-US" w:eastAsia="zh-CN"/>
                    </w:rPr>
                    <w:t>4.5m</w:t>
                  </w:r>
                  <w:r>
                    <w:rPr>
                      <w:rFonts w:hint="eastAsia" w:ascii="Times New Roman" w:hAnsi="Times New Roman" w:eastAsia="宋体" w:cs="Times New Roman"/>
                      <w:color w:val="auto"/>
                      <w:sz w:val="21"/>
                      <w:szCs w:val="21"/>
                      <w:u w:val="none" w:color="auto"/>
                      <w:lang w:eastAsia="zh-CN"/>
                    </w:rPr>
                    <w:t>；主要</w:t>
                  </w:r>
                  <w:r>
                    <w:rPr>
                      <w:rFonts w:hint="eastAsia" w:ascii="Times New Roman" w:hAnsi="Times New Roman" w:eastAsia="宋体" w:cs="Times New Roman"/>
                      <w:color w:val="auto"/>
                      <w:sz w:val="21"/>
                      <w:szCs w:val="21"/>
                      <w:u w:val="none" w:color="auto"/>
                      <w:lang w:val="en-US" w:eastAsia="zh-CN"/>
                    </w:rPr>
                    <w:t>作</w:t>
                  </w:r>
                  <w:r>
                    <w:rPr>
                      <w:rFonts w:hint="eastAsia" w:ascii="Times New Roman" w:hAnsi="Times New Roman" w:eastAsia="宋体" w:cs="Times New Roman"/>
                      <w:color w:val="auto"/>
                      <w:sz w:val="21"/>
                      <w:szCs w:val="21"/>
                      <w:u w:val="none" w:color="auto"/>
                      <w:lang w:eastAsia="zh-CN"/>
                    </w:rPr>
                    <w:t>为：</w:t>
                  </w:r>
                  <w:r>
                    <w:rPr>
                      <w:rFonts w:hint="eastAsia" w:ascii="Times New Roman" w:hAnsi="Times New Roman" w:eastAsia="宋体" w:cs="Times New Roman"/>
                      <w:color w:val="auto"/>
                      <w:sz w:val="21"/>
                      <w:szCs w:val="21"/>
                      <w:u w:val="none" w:color="auto"/>
                      <w:lang w:val="en-US" w:eastAsia="zh-CN"/>
                    </w:rPr>
                    <w:t>成品仓、包装车间、二封、切折烫车间、化成车间、PACK车间</w:t>
                  </w:r>
                </w:p>
              </w:tc>
              <w:tc>
                <w:tcPr>
                  <w:tcW w:w="459" w:type="pct"/>
                  <w:vMerge w:val="continue"/>
                  <w:noWrap/>
                  <w:vAlign w:val="center"/>
                </w:tcPr>
                <w:p w14:paraId="0CF8E2B9">
                  <w:pPr>
                    <w:spacing w:line="240" w:lineRule="auto"/>
                    <w:ind w:firstLine="0" w:firstLineChars="0"/>
                    <w:jc w:val="center"/>
                    <w:rPr>
                      <w:color w:val="auto"/>
                      <w:sz w:val="21"/>
                      <w:szCs w:val="21"/>
                      <w:u w:val="none" w:color="auto"/>
                    </w:rPr>
                  </w:pPr>
                </w:p>
              </w:tc>
            </w:tr>
            <w:tr w14:paraId="304F5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6" w:type="pct"/>
                  <w:vMerge w:val="restart"/>
                  <w:noWrap/>
                  <w:vAlign w:val="center"/>
                </w:tcPr>
                <w:p w14:paraId="2315ED49">
                  <w:pPr>
                    <w:spacing w:line="240" w:lineRule="auto"/>
                    <w:ind w:firstLine="0" w:firstLineChars="0"/>
                    <w:jc w:val="center"/>
                    <w:rPr>
                      <w:color w:val="auto"/>
                      <w:sz w:val="21"/>
                      <w:szCs w:val="21"/>
                      <w:u w:val="none" w:color="auto"/>
                    </w:rPr>
                  </w:pPr>
                  <w:r>
                    <w:rPr>
                      <w:rFonts w:hint="eastAsia"/>
                      <w:color w:val="auto"/>
                      <w:sz w:val="21"/>
                      <w:szCs w:val="21"/>
                      <w:u w:val="none" w:color="auto"/>
                    </w:rPr>
                    <w:t>辅助工程</w:t>
                  </w:r>
                </w:p>
              </w:tc>
              <w:tc>
                <w:tcPr>
                  <w:tcW w:w="1608" w:type="pct"/>
                  <w:noWrap/>
                  <w:vAlign w:val="center"/>
                </w:tcPr>
                <w:p w14:paraId="694EB362">
                  <w:pPr>
                    <w:spacing w:line="240" w:lineRule="auto"/>
                    <w:ind w:firstLine="0" w:firstLineChars="0"/>
                    <w:jc w:val="center"/>
                    <w:rPr>
                      <w:rFonts w:hint="eastAsia" w:eastAsia="宋体"/>
                      <w:color w:val="auto"/>
                      <w:kern w:val="2"/>
                      <w:sz w:val="21"/>
                      <w:szCs w:val="21"/>
                      <w:u w:val="none" w:color="auto"/>
                      <w:lang w:val="en-US" w:eastAsia="zh-CN" w:bidi="ar-SA"/>
                    </w:rPr>
                  </w:pPr>
                  <w:r>
                    <w:rPr>
                      <w:rFonts w:hint="eastAsia"/>
                      <w:color w:val="auto"/>
                      <w:sz w:val="21"/>
                      <w:szCs w:val="21"/>
                      <w:u w:val="none" w:color="auto"/>
                    </w:rPr>
                    <w:t>办公</w:t>
                  </w:r>
                  <w:r>
                    <w:rPr>
                      <w:rFonts w:hint="eastAsia"/>
                      <w:color w:val="auto"/>
                      <w:sz w:val="21"/>
                      <w:szCs w:val="21"/>
                      <w:u w:val="none" w:color="auto"/>
                      <w:lang w:eastAsia="zh-CN"/>
                    </w:rPr>
                    <w:t>室</w:t>
                  </w:r>
                </w:p>
              </w:tc>
              <w:tc>
                <w:tcPr>
                  <w:tcW w:w="2615" w:type="pct"/>
                  <w:tcBorders>
                    <w:bottom w:val="single" w:color="000000" w:sz="4" w:space="0"/>
                  </w:tcBorders>
                  <w:noWrap/>
                  <w:vAlign w:val="center"/>
                </w:tcPr>
                <w:p w14:paraId="3A95F143">
                  <w:pPr>
                    <w:spacing w:line="240" w:lineRule="auto"/>
                    <w:ind w:firstLine="0" w:firstLineChars="0"/>
                    <w:rPr>
                      <w:color w:val="auto"/>
                      <w:kern w:val="2"/>
                      <w:sz w:val="21"/>
                      <w:szCs w:val="21"/>
                      <w:u w:val="none" w:color="auto"/>
                      <w:lang w:val="en-US" w:eastAsia="zh-CN" w:bidi="ar-SA"/>
                    </w:rPr>
                  </w:pPr>
                  <w:r>
                    <w:rPr>
                      <w:rFonts w:hint="eastAsia"/>
                      <w:color w:val="auto"/>
                      <w:sz w:val="21"/>
                      <w:szCs w:val="21"/>
                      <w:u w:val="none" w:color="auto"/>
                      <w:lang w:eastAsia="zh-CN"/>
                    </w:rPr>
                    <w:t>办公室位于厂房</w:t>
                  </w:r>
                  <w:r>
                    <w:rPr>
                      <w:rFonts w:hint="eastAsia"/>
                      <w:color w:val="auto"/>
                      <w:sz w:val="21"/>
                      <w:szCs w:val="21"/>
                      <w:u w:val="none" w:color="auto"/>
                      <w:lang w:val="en-US" w:eastAsia="zh-CN"/>
                    </w:rPr>
                    <w:t>2楼</w:t>
                  </w:r>
                  <w:r>
                    <w:rPr>
                      <w:rFonts w:hint="eastAsia"/>
                      <w:color w:val="auto"/>
                      <w:sz w:val="21"/>
                      <w:szCs w:val="21"/>
                      <w:u w:val="none" w:color="auto"/>
                    </w:rPr>
                    <w:t>，建筑面积</w:t>
                  </w:r>
                  <w:r>
                    <w:rPr>
                      <w:rFonts w:hint="eastAsia"/>
                      <w:color w:val="auto"/>
                      <w:sz w:val="21"/>
                      <w:szCs w:val="21"/>
                      <w:u w:val="none" w:color="auto"/>
                      <w:lang w:val="en-US" w:eastAsia="zh-CN"/>
                    </w:rPr>
                    <w:t>345</w:t>
                  </w:r>
                  <w:r>
                    <w:rPr>
                      <w:rFonts w:hint="eastAsia"/>
                      <w:color w:val="auto"/>
                      <w:sz w:val="21"/>
                      <w:szCs w:val="21"/>
                      <w:u w:val="none" w:color="auto"/>
                    </w:rPr>
                    <w:t>m</w:t>
                  </w:r>
                  <w:r>
                    <w:rPr>
                      <w:rFonts w:hint="eastAsia"/>
                      <w:color w:val="auto"/>
                      <w:sz w:val="21"/>
                      <w:szCs w:val="21"/>
                      <w:u w:val="none" w:color="auto"/>
                      <w:vertAlign w:val="superscript"/>
                    </w:rPr>
                    <w:t>2</w:t>
                  </w:r>
                </w:p>
              </w:tc>
              <w:tc>
                <w:tcPr>
                  <w:tcW w:w="459" w:type="pct"/>
                  <w:tcBorders>
                    <w:bottom w:val="single" w:color="000000" w:sz="4" w:space="0"/>
                  </w:tcBorders>
                  <w:noWrap/>
                  <w:vAlign w:val="center"/>
                </w:tcPr>
                <w:p w14:paraId="4AC20E83">
                  <w:pPr>
                    <w:spacing w:line="240" w:lineRule="auto"/>
                    <w:ind w:firstLine="0" w:firstLineChars="0"/>
                    <w:jc w:val="center"/>
                    <w:rPr>
                      <w:rFonts w:hint="default" w:eastAsia="宋体"/>
                      <w:color w:val="auto"/>
                      <w:sz w:val="21"/>
                      <w:szCs w:val="21"/>
                      <w:u w:val="none" w:color="auto"/>
                      <w:lang w:val="en-US" w:eastAsia="zh-CN"/>
                    </w:rPr>
                  </w:pPr>
                  <w:r>
                    <w:rPr>
                      <w:rFonts w:hint="eastAsia"/>
                      <w:color w:val="auto"/>
                      <w:sz w:val="21"/>
                      <w:szCs w:val="21"/>
                      <w:u w:val="none" w:color="auto"/>
                      <w:lang w:eastAsia="zh-CN"/>
                    </w:rPr>
                    <w:t>已建</w:t>
                  </w:r>
                </w:p>
              </w:tc>
            </w:tr>
            <w:tr w14:paraId="073AC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6" w:type="pct"/>
                  <w:vMerge w:val="continue"/>
                  <w:noWrap/>
                  <w:vAlign w:val="center"/>
                </w:tcPr>
                <w:p w14:paraId="649236C4">
                  <w:pPr>
                    <w:spacing w:line="240" w:lineRule="auto"/>
                    <w:ind w:firstLine="0" w:firstLineChars="0"/>
                    <w:jc w:val="center"/>
                    <w:rPr>
                      <w:color w:val="auto"/>
                      <w:sz w:val="21"/>
                      <w:szCs w:val="21"/>
                      <w:u w:val="none" w:color="auto"/>
                    </w:rPr>
                  </w:pPr>
                </w:p>
              </w:tc>
              <w:tc>
                <w:tcPr>
                  <w:tcW w:w="1608" w:type="pct"/>
                  <w:noWrap/>
                  <w:vAlign w:val="center"/>
                </w:tcPr>
                <w:p w14:paraId="2DB6B98B">
                  <w:pPr>
                    <w:spacing w:line="240" w:lineRule="auto"/>
                    <w:ind w:firstLine="0" w:firstLineChars="0"/>
                    <w:jc w:val="center"/>
                    <w:rPr>
                      <w:color w:val="auto"/>
                      <w:kern w:val="2"/>
                      <w:sz w:val="21"/>
                      <w:szCs w:val="21"/>
                      <w:u w:val="none" w:color="auto"/>
                      <w:lang w:val="en-US" w:eastAsia="zh-CN" w:bidi="ar-SA"/>
                    </w:rPr>
                  </w:pPr>
                  <w:r>
                    <w:rPr>
                      <w:rFonts w:hint="eastAsia"/>
                      <w:color w:val="auto"/>
                      <w:sz w:val="21"/>
                      <w:szCs w:val="21"/>
                      <w:u w:val="none" w:color="auto"/>
                      <w:lang w:val="en-US" w:eastAsia="zh-CN"/>
                    </w:rPr>
                    <w:t>原料</w:t>
                  </w:r>
                  <w:r>
                    <w:rPr>
                      <w:rFonts w:hint="eastAsia"/>
                      <w:color w:val="auto"/>
                      <w:sz w:val="21"/>
                      <w:szCs w:val="21"/>
                      <w:u w:val="none" w:color="auto"/>
                    </w:rPr>
                    <w:t>仓库</w:t>
                  </w:r>
                </w:p>
              </w:tc>
              <w:tc>
                <w:tcPr>
                  <w:tcW w:w="2615" w:type="pct"/>
                  <w:tcBorders>
                    <w:top w:val="single" w:color="000000" w:sz="4" w:space="0"/>
                    <w:bottom w:val="single" w:color="auto" w:sz="4" w:space="0"/>
                  </w:tcBorders>
                  <w:noWrap/>
                  <w:vAlign w:val="center"/>
                </w:tcPr>
                <w:p w14:paraId="4FD51C0D">
                  <w:pPr>
                    <w:spacing w:line="240" w:lineRule="auto"/>
                    <w:ind w:firstLine="0" w:firstLineChars="0"/>
                    <w:rPr>
                      <w:color w:val="auto"/>
                      <w:kern w:val="2"/>
                      <w:sz w:val="21"/>
                      <w:szCs w:val="21"/>
                      <w:u w:val="none" w:color="auto"/>
                      <w:lang w:val="en-US" w:eastAsia="zh-CN" w:bidi="ar-SA"/>
                    </w:rPr>
                  </w:pPr>
                  <w:r>
                    <w:rPr>
                      <w:rFonts w:hint="eastAsia"/>
                      <w:color w:val="auto"/>
                      <w:sz w:val="21"/>
                      <w:szCs w:val="21"/>
                      <w:u w:val="none" w:color="auto"/>
                      <w:lang w:val="en-US" w:eastAsia="zh-CN"/>
                    </w:rPr>
                    <w:t>1、2、3楼均有分布</w:t>
                  </w:r>
                  <w:r>
                    <w:rPr>
                      <w:rFonts w:hint="eastAsia"/>
                      <w:color w:val="auto"/>
                      <w:sz w:val="21"/>
                      <w:szCs w:val="21"/>
                      <w:u w:val="none" w:color="auto"/>
                      <w:lang w:eastAsia="zh-CN"/>
                    </w:rPr>
                    <w:t>，</w:t>
                  </w:r>
                  <w:r>
                    <w:rPr>
                      <w:rFonts w:hint="eastAsia"/>
                      <w:color w:val="auto"/>
                      <w:sz w:val="21"/>
                      <w:szCs w:val="21"/>
                      <w:u w:val="none" w:color="auto"/>
                    </w:rPr>
                    <w:t>建筑面积</w:t>
                  </w:r>
                  <w:r>
                    <w:rPr>
                      <w:rFonts w:hint="eastAsia"/>
                      <w:color w:val="auto"/>
                      <w:sz w:val="21"/>
                      <w:szCs w:val="21"/>
                      <w:u w:val="none" w:color="auto"/>
                      <w:lang w:val="en-US" w:eastAsia="zh-CN"/>
                    </w:rPr>
                    <w:t>779</w:t>
                  </w:r>
                  <w:r>
                    <w:rPr>
                      <w:rFonts w:hint="eastAsia"/>
                      <w:color w:val="auto"/>
                      <w:sz w:val="21"/>
                      <w:szCs w:val="21"/>
                      <w:u w:val="none" w:color="auto"/>
                    </w:rPr>
                    <w:t>m</w:t>
                  </w:r>
                  <w:r>
                    <w:rPr>
                      <w:rFonts w:hint="eastAsia"/>
                      <w:color w:val="auto"/>
                      <w:sz w:val="21"/>
                      <w:szCs w:val="21"/>
                      <w:u w:val="none" w:color="auto"/>
                      <w:vertAlign w:val="superscript"/>
                    </w:rPr>
                    <w:t>2</w:t>
                  </w:r>
                </w:p>
              </w:tc>
              <w:tc>
                <w:tcPr>
                  <w:tcW w:w="459" w:type="pct"/>
                  <w:tcBorders>
                    <w:top w:val="single" w:color="000000" w:sz="4" w:space="0"/>
                    <w:bottom w:val="single" w:color="auto" w:sz="4" w:space="0"/>
                  </w:tcBorders>
                  <w:noWrap/>
                  <w:vAlign w:val="center"/>
                </w:tcPr>
                <w:p w14:paraId="2D4AD608">
                  <w:pPr>
                    <w:spacing w:line="240" w:lineRule="auto"/>
                    <w:ind w:firstLine="0" w:firstLineChars="0"/>
                    <w:jc w:val="center"/>
                    <w:rPr>
                      <w:rFonts w:hint="eastAsia" w:eastAsia="宋体"/>
                      <w:color w:val="auto"/>
                      <w:sz w:val="21"/>
                      <w:szCs w:val="21"/>
                      <w:u w:val="none" w:color="auto"/>
                      <w:lang w:val="en-US" w:eastAsia="zh-CN"/>
                    </w:rPr>
                  </w:pPr>
                  <w:r>
                    <w:rPr>
                      <w:rFonts w:hint="eastAsia"/>
                      <w:color w:val="auto"/>
                      <w:sz w:val="21"/>
                      <w:szCs w:val="21"/>
                      <w:u w:val="none" w:color="auto"/>
                      <w:lang w:eastAsia="zh-CN"/>
                    </w:rPr>
                    <w:t>已建</w:t>
                  </w:r>
                </w:p>
              </w:tc>
            </w:tr>
            <w:tr w14:paraId="7BCB0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6" w:type="pct"/>
                  <w:vMerge w:val="continue"/>
                  <w:noWrap/>
                  <w:vAlign w:val="center"/>
                </w:tcPr>
                <w:p w14:paraId="1E8FD2F4">
                  <w:pPr>
                    <w:spacing w:line="240" w:lineRule="auto"/>
                    <w:ind w:firstLine="0" w:firstLineChars="0"/>
                    <w:jc w:val="center"/>
                    <w:rPr>
                      <w:color w:val="auto"/>
                      <w:sz w:val="21"/>
                      <w:szCs w:val="21"/>
                      <w:u w:val="none" w:color="auto"/>
                    </w:rPr>
                  </w:pPr>
                </w:p>
              </w:tc>
              <w:tc>
                <w:tcPr>
                  <w:tcW w:w="1608" w:type="pct"/>
                  <w:noWrap/>
                  <w:vAlign w:val="center"/>
                </w:tcPr>
                <w:p w14:paraId="279B152B">
                  <w:pPr>
                    <w:spacing w:line="240" w:lineRule="auto"/>
                    <w:ind w:firstLine="0" w:firstLineChars="0"/>
                    <w:jc w:val="center"/>
                    <w:rPr>
                      <w:rFonts w:hint="default" w:eastAsia="宋体"/>
                      <w:color w:val="auto"/>
                      <w:sz w:val="21"/>
                      <w:szCs w:val="21"/>
                      <w:u w:val="none" w:color="auto"/>
                      <w:lang w:val="en-US" w:eastAsia="zh-CN"/>
                    </w:rPr>
                  </w:pPr>
                  <w:r>
                    <w:rPr>
                      <w:rFonts w:hint="eastAsia"/>
                      <w:color w:val="auto"/>
                      <w:sz w:val="21"/>
                      <w:szCs w:val="21"/>
                      <w:u w:val="none" w:color="auto"/>
                      <w:lang w:val="en-US" w:eastAsia="zh-CN"/>
                    </w:rPr>
                    <w:t>成品仓库</w:t>
                  </w:r>
                </w:p>
              </w:tc>
              <w:tc>
                <w:tcPr>
                  <w:tcW w:w="2615" w:type="pct"/>
                  <w:tcBorders>
                    <w:top w:val="single" w:color="auto" w:sz="4" w:space="0"/>
                  </w:tcBorders>
                  <w:noWrap/>
                  <w:vAlign w:val="center"/>
                </w:tcPr>
                <w:p w14:paraId="5E336C98">
                  <w:pPr>
                    <w:spacing w:line="240" w:lineRule="auto"/>
                    <w:ind w:firstLine="0" w:firstLineChars="0"/>
                    <w:rPr>
                      <w:rFonts w:hint="eastAsia"/>
                      <w:color w:val="auto"/>
                      <w:sz w:val="21"/>
                      <w:szCs w:val="21"/>
                      <w:u w:val="none" w:color="auto"/>
                      <w:lang w:eastAsia="zh-CN"/>
                    </w:rPr>
                  </w:pPr>
                  <w:r>
                    <w:rPr>
                      <w:rFonts w:hint="eastAsia"/>
                      <w:color w:val="auto"/>
                      <w:sz w:val="21"/>
                      <w:szCs w:val="21"/>
                      <w:u w:val="none" w:color="auto"/>
                      <w:lang w:eastAsia="zh-CN"/>
                    </w:rPr>
                    <w:t>成品仓位于厂房</w:t>
                  </w:r>
                  <w:r>
                    <w:rPr>
                      <w:rFonts w:hint="eastAsia"/>
                      <w:color w:val="auto"/>
                      <w:sz w:val="21"/>
                      <w:szCs w:val="21"/>
                      <w:u w:val="none" w:color="auto"/>
                      <w:lang w:val="en-US" w:eastAsia="zh-CN"/>
                    </w:rPr>
                    <w:t>4楼</w:t>
                  </w:r>
                  <w:r>
                    <w:rPr>
                      <w:rFonts w:hint="eastAsia"/>
                      <w:color w:val="auto"/>
                      <w:sz w:val="21"/>
                      <w:szCs w:val="21"/>
                      <w:u w:val="none" w:color="auto"/>
                    </w:rPr>
                    <w:t>，建筑面积</w:t>
                  </w:r>
                  <w:r>
                    <w:rPr>
                      <w:rFonts w:hint="eastAsia"/>
                      <w:color w:val="auto"/>
                      <w:sz w:val="21"/>
                      <w:szCs w:val="21"/>
                      <w:u w:val="none" w:color="auto"/>
                      <w:lang w:val="en-US" w:eastAsia="zh-CN"/>
                    </w:rPr>
                    <w:t xml:space="preserve">271 </w:t>
                  </w:r>
                  <w:r>
                    <w:rPr>
                      <w:rFonts w:hint="eastAsia"/>
                      <w:color w:val="auto"/>
                      <w:sz w:val="21"/>
                      <w:szCs w:val="21"/>
                      <w:u w:val="none" w:color="auto"/>
                    </w:rPr>
                    <w:t>m</w:t>
                  </w:r>
                  <w:r>
                    <w:rPr>
                      <w:rFonts w:hint="eastAsia"/>
                      <w:color w:val="auto"/>
                      <w:sz w:val="21"/>
                      <w:szCs w:val="21"/>
                      <w:u w:val="none" w:color="auto"/>
                      <w:vertAlign w:val="superscript"/>
                    </w:rPr>
                    <w:t>2</w:t>
                  </w:r>
                </w:p>
              </w:tc>
              <w:tc>
                <w:tcPr>
                  <w:tcW w:w="459" w:type="pct"/>
                  <w:tcBorders>
                    <w:top w:val="single" w:color="auto" w:sz="4" w:space="0"/>
                  </w:tcBorders>
                  <w:noWrap/>
                  <w:vAlign w:val="center"/>
                </w:tcPr>
                <w:p w14:paraId="26161B64">
                  <w:pPr>
                    <w:spacing w:line="240" w:lineRule="auto"/>
                    <w:ind w:firstLine="0" w:firstLineChars="0"/>
                    <w:jc w:val="center"/>
                    <w:rPr>
                      <w:rFonts w:hint="default" w:eastAsia="宋体"/>
                      <w:color w:val="auto"/>
                      <w:sz w:val="21"/>
                      <w:szCs w:val="21"/>
                      <w:u w:val="none" w:color="auto"/>
                      <w:lang w:val="en-US" w:eastAsia="zh-CN"/>
                    </w:rPr>
                  </w:pPr>
                  <w:r>
                    <w:rPr>
                      <w:rFonts w:hint="eastAsia"/>
                      <w:color w:val="auto"/>
                      <w:sz w:val="21"/>
                      <w:szCs w:val="21"/>
                      <w:u w:val="none" w:color="auto"/>
                      <w:lang w:eastAsia="zh-CN"/>
                    </w:rPr>
                    <w:t>已建</w:t>
                  </w:r>
                </w:p>
              </w:tc>
            </w:tr>
            <w:tr w14:paraId="3A32C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6" w:type="pct"/>
                  <w:vMerge w:val="restart"/>
                  <w:noWrap/>
                  <w:vAlign w:val="center"/>
                </w:tcPr>
                <w:p w14:paraId="48749865">
                  <w:pPr>
                    <w:spacing w:line="240" w:lineRule="auto"/>
                    <w:ind w:firstLine="0" w:firstLineChars="0"/>
                    <w:jc w:val="center"/>
                    <w:rPr>
                      <w:color w:val="auto"/>
                      <w:sz w:val="21"/>
                      <w:szCs w:val="21"/>
                      <w:u w:val="none" w:color="auto"/>
                    </w:rPr>
                  </w:pPr>
                  <w:r>
                    <w:rPr>
                      <w:rFonts w:hint="eastAsia"/>
                      <w:color w:val="auto"/>
                      <w:sz w:val="21"/>
                      <w:szCs w:val="21"/>
                      <w:u w:val="none" w:color="auto"/>
                    </w:rPr>
                    <w:t>公用工程</w:t>
                  </w:r>
                </w:p>
              </w:tc>
              <w:tc>
                <w:tcPr>
                  <w:tcW w:w="1608" w:type="pct"/>
                  <w:noWrap/>
                  <w:vAlign w:val="center"/>
                </w:tcPr>
                <w:p w14:paraId="175F967C">
                  <w:pPr>
                    <w:spacing w:line="240" w:lineRule="auto"/>
                    <w:ind w:firstLine="0" w:firstLineChars="0"/>
                    <w:jc w:val="center"/>
                    <w:rPr>
                      <w:color w:val="auto"/>
                      <w:sz w:val="21"/>
                      <w:szCs w:val="21"/>
                      <w:u w:val="none" w:color="auto"/>
                    </w:rPr>
                  </w:pPr>
                  <w:r>
                    <w:rPr>
                      <w:rFonts w:hint="eastAsia"/>
                      <w:color w:val="auto"/>
                      <w:sz w:val="21"/>
                      <w:szCs w:val="21"/>
                      <w:u w:val="none" w:color="auto"/>
                    </w:rPr>
                    <w:t>给水</w:t>
                  </w:r>
                </w:p>
              </w:tc>
              <w:tc>
                <w:tcPr>
                  <w:tcW w:w="2615" w:type="pct"/>
                  <w:noWrap/>
                  <w:vAlign w:val="center"/>
                </w:tcPr>
                <w:p w14:paraId="04BD1FB8">
                  <w:pPr>
                    <w:spacing w:line="240" w:lineRule="auto"/>
                    <w:ind w:firstLine="0" w:firstLineChars="0"/>
                    <w:jc w:val="center"/>
                    <w:rPr>
                      <w:color w:val="auto"/>
                      <w:sz w:val="21"/>
                      <w:szCs w:val="21"/>
                      <w:u w:val="none" w:color="auto"/>
                    </w:rPr>
                  </w:pPr>
                  <w:r>
                    <w:rPr>
                      <w:rFonts w:hint="eastAsia"/>
                      <w:color w:val="auto"/>
                      <w:sz w:val="21"/>
                      <w:szCs w:val="21"/>
                      <w:u w:val="none" w:color="auto"/>
                    </w:rPr>
                    <w:t>市政供水</w:t>
                  </w:r>
                </w:p>
              </w:tc>
              <w:tc>
                <w:tcPr>
                  <w:tcW w:w="459" w:type="pct"/>
                  <w:noWrap/>
                  <w:vAlign w:val="center"/>
                </w:tcPr>
                <w:p w14:paraId="129B5764">
                  <w:pPr>
                    <w:spacing w:line="240" w:lineRule="auto"/>
                    <w:ind w:firstLine="0" w:firstLineChars="0"/>
                    <w:jc w:val="center"/>
                    <w:rPr>
                      <w:rFonts w:hint="eastAsia" w:eastAsia="宋体"/>
                      <w:color w:val="auto"/>
                      <w:sz w:val="21"/>
                      <w:szCs w:val="21"/>
                      <w:u w:val="none" w:color="auto"/>
                      <w:lang w:val="en-US" w:eastAsia="zh-CN"/>
                    </w:rPr>
                  </w:pPr>
                  <w:r>
                    <w:rPr>
                      <w:rFonts w:hint="eastAsia"/>
                      <w:color w:val="auto"/>
                      <w:sz w:val="21"/>
                      <w:szCs w:val="21"/>
                      <w:u w:val="none" w:color="auto"/>
                      <w:lang w:eastAsia="zh-CN"/>
                    </w:rPr>
                    <w:t>已建</w:t>
                  </w:r>
                </w:p>
              </w:tc>
            </w:tr>
            <w:tr w14:paraId="4EA32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6" w:type="pct"/>
                  <w:vMerge w:val="continue"/>
                  <w:noWrap/>
                  <w:vAlign w:val="center"/>
                </w:tcPr>
                <w:p w14:paraId="64C5A225">
                  <w:pPr>
                    <w:spacing w:line="240" w:lineRule="auto"/>
                    <w:ind w:firstLine="0" w:firstLineChars="0"/>
                    <w:jc w:val="center"/>
                    <w:rPr>
                      <w:color w:val="auto"/>
                      <w:sz w:val="21"/>
                      <w:szCs w:val="21"/>
                      <w:u w:val="none" w:color="auto"/>
                    </w:rPr>
                  </w:pPr>
                </w:p>
              </w:tc>
              <w:tc>
                <w:tcPr>
                  <w:tcW w:w="1608" w:type="pct"/>
                  <w:noWrap/>
                  <w:vAlign w:val="center"/>
                </w:tcPr>
                <w:p w14:paraId="262E408E">
                  <w:pPr>
                    <w:spacing w:line="240" w:lineRule="auto"/>
                    <w:ind w:firstLine="0" w:firstLineChars="0"/>
                    <w:jc w:val="center"/>
                    <w:rPr>
                      <w:color w:val="auto"/>
                      <w:sz w:val="21"/>
                      <w:szCs w:val="21"/>
                      <w:u w:val="none" w:color="auto"/>
                    </w:rPr>
                  </w:pPr>
                  <w:r>
                    <w:rPr>
                      <w:rFonts w:hint="eastAsia"/>
                      <w:color w:val="auto"/>
                      <w:sz w:val="21"/>
                      <w:szCs w:val="21"/>
                      <w:u w:val="none" w:color="auto"/>
                    </w:rPr>
                    <w:t>排水</w:t>
                  </w:r>
                </w:p>
              </w:tc>
              <w:tc>
                <w:tcPr>
                  <w:tcW w:w="2615" w:type="pct"/>
                  <w:noWrap/>
                  <w:vAlign w:val="center"/>
                </w:tcPr>
                <w:p w14:paraId="1232A976">
                  <w:pPr>
                    <w:spacing w:line="240" w:lineRule="auto"/>
                    <w:ind w:firstLine="0" w:firstLineChars="0"/>
                    <w:jc w:val="center"/>
                    <w:rPr>
                      <w:color w:val="auto"/>
                      <w:sz w:val="21"/>
                      <w:szCs w:val="21"/>
                      <w:u w:val="none" w:color="auto"/>
                    </w:rPr>
                  </w:pPr>
                  <w:r>
                    <w:rPr>
                      <w:rFonts w:hint="eastAsia"/>
                      <w:color w:val="auto"/>
                      <w:sz w:val="21"/>
                      <w:szCs w:val="21"/>
                      <w:u w:val="none" w:color="auto"/>
                    </w:rPr>
                    <w:t>雨污分流</w:t>
                  </w:r>
                </w:p>
              </w:tc>
              <w:tc>
                <w:tcPr>
                  <w:tcW w:w="459" w:type="pct"/>
                  <w:noWrap/>
                  <w:vAlign w:val="center"/>
                </w:tcPr>
                <w:p w14:paraId="7477B92E">
                  <w:pPr>
                    <w:spacing w:line="240" w:lineRule="auto"/>
                    <w:ind w:firstLine="0" w:firstLineChars="0"/>
                    <w:jc w:val="center"/>
                    <w:rPr>
                      <w:rFonts w:hint="eastAsia" w:eastAsia="宋体"/>
                      <w:color w:val="auto"/>
                      <w:sz w:val="21"/>
                      <w:szCs w:val="21"/>
                      <w:u w:val="none" w:color="auto"/>
                      <w:lang w:val="en-US" w:eastAsia="zh-CN"/>
                    </w:rPr>
                  </w:pPr>
                  <w:r>
                    <w:rPr>
                      <w:rFonts w:hint="eastAsia"/>
                      <w:color w:val="auto"/>
                      <w:sz w:val="21"/>
                      <w:szCs w:val="21"/>
                      <w:u w:val="none" w:color="auto"/>
                      <w:lang w:eastAsia="zh-CN"/>
                    </w:rPr>
                    <w:t>已建</w:t>
                  </w:r>
                </w:p>
              </w:tc>
            </w:tr>
            <w:tr w14:paraId="7CE68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6" w:type="pct"/>
                  <w:vMerge w:val="continue"/>
                  <w:noWrap/>
                  <w:vAlign w:val="center"/>
                </w:tcPr>
                <w:p w14:paraId="428E02B9">
                  <w:pPr>
                    <w:spacing w:line="240" w:lineRule="auto"/>
                    <w:ind w:firstLine="0" w:firstLineChars="0"/>
                    <w:jc w:val="center"/>
                    <w:rPr>
                      <w:color w:val="auto"/>
                      <w:sz w:val="21"/>
                      <w:szCs w:val="21"/>
                      <w:u w:val="none" w:color="auto"/>
                    </w:rPr>
                  </w:pPr>
                </w:p>
              </w:tc>
              <w:tc>
                <w:tcPr>
                  <w:tcW w:w="1608" w:type="pct"/>
                  <w:noWrap/>
                  <w:vAlign w:val="center"/>
                </w:tcPr>
                <w:p w14:paraId="7919AF8E">
                  <w:pPr>
                    <w:spacing w:line="240" w:lineRule="auto"/>
                    <w:ind w:firstLine="0" w:firstLineChars="0"/>
                    <w:jc w:val="center"/>
                    <w:rPr>
                      <w:color w:val="auto"/>
                      <w:sz w:val="21"/>
                      <w:szCs w:val="21"/>
                      <w:u w:val="none" w:color="auto"/>
                    </w:rPr>
                  </w:pPr>
                  <w:r>
                    <w:rPr>
                      <w:rFonts w:hint="eastAsia"/>
                      <w:color w:val="auto"/>
                      <w:sz w:val="21"/>
                      <w:szCs w:val="21"/>
                      <w:u w:val="none" w:color="auto"/>
                    </w:rPr>
                    <w:t>供电</w:t>
                  </w:r>
                </w:p>
              </w:tc>
              <w:tc>
                <w:tcPr>
                  <w:tcW w:w="2615" w:type="pct"/>
                  <w:noWrap/>
                  <w:vAlign w:val="center"/>
                </w:tcPr>
                <w:p w14:paraId="45EB1E87">
                  <w:pPr>
                    <w:spacing w:line="240" w:lineRule="auto"/>
                    <w:ind w:firstLine="0" w:firstLineChars="0"/>
                    <w:jc w:val="center"/>
                    <w:rPr>
                      <w:color w:val="auto"/>
                      <w:sz w:val="21"/>
                      <w:szCs w:val="21"/>
                      <w:u w:val="none" w:color="auto"/>
                    </w:rPr>
                  </w:pPr>
                  <w:r>
                    <w:rPr>
                      <w:rFonts w:hint="eastAsia"/>
                      <w:color w:val="auto"/>
                      <w:sz w:val="21"/>
                      <w:szCs w:val="21"/>
                      <w:u w:val="none" w:color="auto"/>
                    </w:rPr>
                    <w:t xml:space="preserve">市政供电 </w:t>
                  </w:r>
                </w:p>
              </w:tc>
              <w:tc>
                <w:tcPr>
                  <w:tcW w:w="459" w:type="pct"/>
                  <w:noWrap/>
                  <w:vAlign w:val="center"/>
                </w:tcPr>
                <w:p w14:paraId="631A4458">
                  <w:pPr>
                    <w:spacing w:line="240" w:lineRule="auto"/>
                    <w:ind w:firstLine="0" w:firstLineChars="0"/>
                    <w:jc w:val="center"/>
                    <w:rPr>
                      <w:rFonts w:hint="eastAsia" w:eastAsia="宋体"/>
                      <w:color w:val="auto"/>
                      <w:sz w:val="21"/>
                      <w:szCs w:val="21"/>
                      <w:u w:val="none" w:color="auto"/>
                      <w:lang w:val="en-US" w:eastAsia="zh-CN"/>
                    </w:rPr>
                  </w:pPr>
                  <w:r>
                    <w:rPr>
                      <w:rFonts w:hint="eastAsia"/>
                      <w:color w:val="auto"/>
                      <w:sz w:val="21"/>
                      <w:szCs w:val="21"/>
                      <w:u w:val="none" w:color="auto"/>
                      <w:lang w:eastAsia="zh-CN"/>
                    </w:rPr>
                    <w:t>已建</w:t>
                  </w:r>
                </w:p>
              </w:tc>
            </w:tr>
            <w:tr w14:paraId="174AF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6" w:type="pct"/>
                  <w:vMerge w:val="restart"/>
                  <w:noWrap/>
                  <w:vAlign w:val="center"/>
                </w:tcPr>
                <w:p w14:paraId="0CBBDEFA">
                  <w:pPr>
                    <w:spacing w:line="240" w:lineRule="auto"/>
                    <w:ind w:firstLine="0" w:firstLineChars="0"/>
                    <w:jc w:val="center"/>
                    <w:rPr>
                      <w:color w:val="auto"/>
                      <w:sz w:val="21"/>
                      <w:szCs w:val="21"/>
                      <w:u w:val="none" w:color="auto"/>
                    </w:rPr>
                  </w:pPr>
                  <w:r>
                    <w:rPr>
                      <w:rFonts w:hint="eastAsia"/>
                      <w:color w:val="auto"/>
                      <w:sz w:val="21"/>
                      <w:szCs w:val="21"/>
                      <w:u w:val="none" w:color="auto"/>
                    </w:rPr>
                    <w:t>环保工程</w:t>
                  </w:r>
                </w:p>
              </w:tc>
              <w:tc>
                <w:tcPr>
                  <w:tcW w:w="1608" w:type="pct"/>
                  <w:vMerge w:val="restart"/>
                  <w:noWrap/>
                  <w:vAlign w:val="center"/>
                </w:tcPr>
                <w:p w14:paraId="2A8A536A">
                  <w:pPr>
                    <w:spacing w:line="240" w:lineRule="auto"/>
                    <w:ind w:firstLine="0" w:firstLineChars="0"/>
                    <w:jc w:val="center"/>
                    <w:rPr>
                      <w:color w:val="auto"/>
                      <w:sz w:val="21"/>
                      <w:szCs w:val="21"/>
                      <w:u w:val="none" w:color="auto"/>
                    </w:rPr>
                  </w:pPr>
                  <w:r>
                    <w:rPr>
                      <w:rFonts w:hint="eastAsia"/>
                      <w:color w:val="auto"/>
                      <w:sz w:val="21"/>
                      <w:szCs w:val="21"/>
                      <w:u w:val="none" w:color="auto"/>
                    </w:rPr>
                    <w:t>废水治理</w:t>
                  </w:r>
                </w:p>
              </w:tc>
              <w:tc>
                <w:tcPr>
                  <w:tcW w:w="2615" w:type="pct"/>
                  <w:tcBorders>
                    <w:bottom w:val="single" w:color="000000" w:sz="4" w:space="0"/>
                  </w:tcBorders>
                  <w:noWrap/>
                  <w:vAlign w:val="center"/>
                </w:tcPr>
                <w:p w14:paraId="6FD4E2EE">
                  <w:pPr>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rPr>
                    <w:t>生活污水</w:t>
                  </w:r>
                  <w:r>
                    <w:rPr>
                      <w:rFonts w:hint="eastAsia" w:cs="Times New Roman"/>
                      <w:color w:val="auto"/>
                      <w:sz w:val="21"/>
                      <w:szCs w:val="21"/>
                      <w:u w:val="none" w:color="auto"/>
                      <w:lang w:eastAsia="zh-CN"/>
                    </w:rPr>
                    <w:t>依托</w:t>
                  </w:r>
                  <w:r>
                    <w:rPr>
                      <w:rFonts w:hint="eastAsia" w:ascii="Times New Roman" w:hAnsi="Times New Roman" w:eastAsia="宋体" w:cs="Times New Roman"/>
                      <w:color w:val="auto"/>
                      <w:sz w:val="21"/>
                      <w:szCs w:val="21"/>
                      <w:u w:val="none" w:color="auto"/>
                      <w:lang w:val="en-US" w:eastAsia="zh-CN"/>
                    </w:rPr>
                    <w:t>园区</w:t>
                  </w:r>
                  <w:r>
                    <w:rPr>
                      <w:rFonts w:hint="eastAsia" w:ascii="Times New Roman" w:hAnsi="Times New Roman" w:cs="Times New Roman"/>
                      <w:color w:val="auto"/>
                      <w:sz w:val="21"/>
                      <w:szCs w:val="21"/>
                      <w:u w:val="none" w:color="auto"/>
                      <w:lang w:val="en-US" w:eastAsia="zh-CN"/>
                    </w:rPr>
                    <w:t>化粪池</w:t>
                  </w:r>
                  <w:r>
                    <w:rPr>
                      <w:rFonts w:hint="eastAsia" w:ascii="Times New Roman" w:hAnsi="Times New Roman" w:eastAsia="宋体" w:cs="Times New Roman"/>
                      <w:color w:val="auto"/>
                      <w:sz w:val="21"/>
                      <w:szCs w:val="21"/>
                      <w:u w:val="none" w:color="auto"/>
                    </w:rPr>
                    <w:t>处理</w:t>
                  </w:r>
                  <w:r>
                    <w:rPr>
                      <w:rFonts w:hint="eastAsia" w:ascii="Times New Roman" w:hAnsi="Times New Roman" w:cs="Times New Roman"/>
                      <w:color w:val="auto"/>
                      <w:sz w:val="21"/>
                      <w:szCs w:val="21"/>
                      <w:u w:val="none" w:color="auto"/>
                      <w:lang w:val="en-US" w:eastAsia="zh-CN"/>
                    </w:rPr>
                    <w:t>后排入市政污水管网</w:t>
                  </w:r>
                </w:p>
              </w:tc>
              <w:tc>
                <w:tcPr>
                  <w:tcW w:w="459" w:type="pct"/>
                  <w:tcBorders>
                    <w:bottom w:val="single" w:color="000000" w:sz="4" w:space="0"/>
                  </w:tcBorders>
                  <w:noWrap/>
                  <w:vAlign w:val="center"/>
                </w:tcPr>
                <w:p w14:paraId="7DB7CCDC">
                  <w:pPr>
                    <w:spacing w:line="240" w:lineRule="auto"/>
                    <w:ind w:firstLine="0" w:firstLineChars="0"/>
                    <w:jc w:val="center"/>
                    <w:rPr>
                      <w:rFonts w:hint="eastAsia" w:eastAsia="宋体"/>
                      <w:color w:val="auto"/>
                      <w:sz w:val="21"/>
                      <w:szCs w:val="21"/>
                      <w:u w:val="none" w:color="auto"/>
                      <w:lang w:val="en-US" w:eastAsia="zh-CN"/>
                    </w:rPr>
                  </w:pPr>
                  <w:r>
                    <w:rPr>
                      <w:rFonts w:hint="eastAsia"/>
                      <w:color w:val="auto"/>
                      <w:sz w:val="21"/>
                      <w:szCs w:val="21"/>
                      <w:u w:val="none" w:color="auto"/>
                      <w:lang w:eastAsia="zh-CN"/>
                    </w:rPr>
                    <w:t>已建</w:t>
                  </w:r>
                </w:p>
              </w:tc>
            </w:tr>
            <w:tr w14:paraId="682F2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316" w:type="pct"/>
                  <w:vMerge w:val="continue"/>
                  <w:noWrap/>
                  <w:vAlign w:val="center"/>
                </w:tcPr>
                <w:p w14:paraId="16684AFA">
                  <w:pPr>
                    <w:spacing w:line="240" w:lineRule="auto"/>
                    <w:ind w:firstLine="0" w:firstLineChars="0"/>
                    <w:jc w:val="center"/>
                    <w:rPr>
                      <w:rFonts w:hint="eastAsia"/>
                      <w:color w:val="auto"/>
                      <w:sz w:val="21"/>
                      <w:szCs w:val="21"/>
                      <w:u w:val="none" w:color="auto"/>
                    </w:rPr>
                  </w:pPr>
                </w:p>
              </w:tc>
              <w:tc>
                <w:tcPr>
                  <w:tcW w:w="1608" w:type="pct"/>
                  <w:vMerge w:val="continue"/>
                  <w:noWrap/>
                  <w:vAlign w:val="center"/>
                </w:tcPr>
                <w:p w14:paraId="299CB022">
                  <w:pPr>
                    <w:spacing w:line="240" w:lineRule="auto"/>
                    <w:ind w:firstLine="0" w:firstLineChars="0"/>
                    <w:jc w:val="center"/>
                    <w:rPr>
                      <w:rFonts w:hint="eastAsia"/>
                      <w:color w:val="auto"/>
                      <w:sz w:val="21"/>
                      <w:szCs w:val="21"/>
                      <w:u w:val="none" w:color="auto"/>
                    </w:rPr>
                  </w:pPr>
                </w:p>
              </w:tc>
              <w:tc>
                <w:tcPr>
                  <w:tcW w:w="2615" w:type="pct"/>
                  <w:tcBorders>
                    <w:top w:val="single" w:color="000000" w:sz="4" w:space="0"/>
                    <w:bottom w:val="single" w:color="auto" w:sz="4" w:space="0"/>
                  </w:tcBorders>
                  <w:noWrap/>
                  <w:vAlign w:val="center"/>
                </w:tcPr>
                <w:p w14:paraId="13A31D78">
                  <w:pPr>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洗拖把清洗</w:t>
                  </w:r>
                  <w:r>
                    <w:rPr>
                      <w:rFonts w:hint="eastAsia" w:ascii="Times New Roman" w:hAnsi="Times New Roman" w:cs="Times New Roman"/>
                      <w:color w:val="auto"/>
                      <w:sz w:val="21"/>
                      <w:szCs w:val="21"/>
                      <w:u w:val="none" w:color="auto"/>
                      <w:lang w:val="en-US" w:eastAsia="zh-CN"/>
                    </w:rPr>
                    <w:t>废水经沉淀池</w:t>
                  </w:r>
                  <w:r>
                    <w:rPr>
                      <w:rFonts w:hint="eastAsia" w:cs="Times New Roman"/>
                      <w:color w:val="auto"/>
                      <w:sz w:val="21"/>
                      <w:szCs w:val="21"/>
                      <w:u w:val="none" w:color="auto"/>
                      <w:lang w:val="en-US" w:eastAsia="zh-CN"/>
                    </w:rPr>
                    <w:t>（6m</w:t>
                  </w:r>
                  <w:r>
                    <w:rPr>
                      <w:rFonts w:hint="eastAsia" w:cs="Times New Roman"/>
                      <w:color w:val="auto"/>
                      <w:sz w:val="21"/>
                      <w:szCs w:val="21"/>
                      <w:u w:val="none" w:color="auto"/>
                      <w:vertAlign w:val="superscript"/>
                      <w:lang w:val="en-US" w:eastAsia="zh-CN"/>
                    </w:rPr>
                    <w:t>3</w:t>
                  </w:r>
                  <w:r>
                    <w:rPr>
                      <w:rFonts w:hint="eastAsia" w:cs="Times New Roman"/>
                      <w:color w:val="auto"/>
                      <w:sz w:val="21"/>
                      <w:szCs w:val="21"/>
                      <w:u w:val="none" w:color="auto"/>
                      <w:lang w:val="en-US" w:eastAsia="zh-CN"/>
                    </w:rPr>
                    <w:t>）</w:t>
                  </w:r>
                  <w:r>
                    <w:rPr>
                      <w:rFonts w:hint="eastAsia" w:ascii="Times New Roman" w:hAnsi="Times New Roman" w:cs="Times New Roman"/>
                      <w:color w:val="auto"/>
                      <w:sz w:val="21"/>
                      <w:szCs w:val="21"/>
                      <w:u w:val="none" w:color="auto"/>
                      <w:lang w:val="en-US" w:eastAsia="zh-CN"/>
                    </w:rPr>
                    <w:t>处理后排入市政污水管网</w:t>
                  </w:r>
                </w:p>
              </w:tc>
              <w:tc>
                <w:tcPr>
                  <w:tcW w:w="459" w:type="pct"/>
                  <w:tcBorders>
                    <w:top w:val="single" w:color="000000" w:sz="4" w:space="0"/>
                    <w:bottom w:val="single" w:color="auto" w:sz="4" w:space="0"/>
                  </w:tcBorders>
                  <w:noWrap/>
                  <w:vAlign w:val="center"/>
                </w:tcPr>
                <w:p w14:paraId="3F46F27E">
                  <w:pPr>
                    <w:spacing w:line="240" w:lineRule="auto"/>
                    <w:ind w:firstLine="0" w:firstLineChars="0"/>
                    <w:jc w:val="center"/>
                    <w:rPr>
                      <w:rFonts w:hint="eastAsia"/>
                      <w:color w:val="auto"/>
                      <w:sz w:val="21"/>
                      <w:szCs w:val="21"/>
                      <w:u w:val="none" w:color="auto"/>
                      <w:lang w:val="en-US" w:eastAsia="zh-CN"/>
                    </w:rPr>
                  </w:pPr>
                  <w:r>
                    <w:rPr>
                      <w:rFonts w:hint="eastAsia"/>
                      <w:color w:val="auto"/>
                      <w:sz w:val="21"/>
                      <w:szCs w:val="21"/>
                      <w:u w:val="none" w:color="auto"/>
                      <w:lang w:eastAsia="zh-CN"/>
                    </w:rPr>
                    <w:t>已建</w:t>
                  </w:r>
                </w:p>
              </w:tc>
            </w:tr>
            <w:tr w14:paraId="6AD0E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316" w:type="pct"/>
                  <w:vMerge w:val="continue"/>
                  <w:noWrap/>
                  <w:vAlign w:val="center"/>
                </w:tcPr>
                <w:p w14:paraId="1E7BCD48">
                  <w:pPr>
                    <w:spacing w:line="240" w:lineRule="auto"/>
                    <w:ind w:firstLine="0" w:firstLineChars="0"/>
                    <w:jc w:val="center"/>
                    <w:rPr>
                      <w:rFonts w:hint="eastAsia"/>
                      <w:color w:val="auto"/>
                      <w:sz w:val="21"/>
                      <w:szCs w:val="21"/>
                      <w:u w:val="none" w:color="auto"/>
                    </w:rPr>
                  </w:pPr>
                </w:p>
              </w:tc>
              <w:tc>
                <w:tcPr>
                  <w:tcW w:w="1608" w:type="pct"/>
                  <w:vMerge w:val="continue"/>
                  <w:noWrap/>
                  <w:vAlign w:val="center"/>
                </w:tcPr>
                <w:p w14:paraId="56203BD9">
                  <w:pPr>
                    <w:spacing w:line="240" w:lineRule="auto"/>
                    <w:ind w:firstLine="0" w:firstLineChars="0"/>
                    <w:jc w:val="center"/>
                    <w:rPr>
                      <w:rFonts w:hint="eastAsia"/>
                      <w:color w:val="auto"/>
                      <w:sz w:val="21"/>
                      <w:szCs w:val="21"/>
                      <w:u w:val="none" w:color="auto"/>
                    </w:rPr>
                  </w:pPr>
                </w:p>
              </w:tc>
              <w:tc>
                <w:tcPr>
                  <w:tcW w:w="2615" w:type="pct"/>
                  <w:tcBorders>
                    <w:top w:val="single" w:color="auto" w:sz="4" w:space="0"/>
                  </w:tcBorders>
                  <w:noWrap/>
                  <w:vAlign w:val="center"/>
                </w:tcPr>
                <w:p w14:paraId="2B67A80F">
                  <w:pPr>
                    <w:spacing w:line="240" w:lineRule="auto"/>
                    <w:ind w:firstLine="0" w:firstLineChars="0"/>
                    <w:jc w:val="center"/>
                    <w:rPr>
                      <w:rFonts w:hint="eastAsia"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制纯水浓水、冷却循环水定期排水等清净下水直接排入</w:t>
                  </w:r>
                  <w:r>
                    <w:rPr>
                      <w:rFonts w:hint="eastAsia" w:ascii="Times New Roman" w:hAnsi="Times New Roman" w:cs="Times New Roman"/>
                      <w:color w:val="auto"/>
                      <w:sz w:val="21"/>
                      <w:szCs w:val="21"/>
                      <w:u w:val="none" w:color="auto"/>
                      <w:lang w:val="en-US" w:eastAsia="zh-CN"/>
                    </w:rPr>
                    <w:t>市政污水管网</w:t>
                  </w:r>
                </w:p>
              </w:tc>
              <w:tc>
                <w:tcPr>
                  <w:tcW w:w="459" w:type="pct"/>
                  <w:tcBorders>
                    <w:top w:val="single" w:color="auto" w:sz="4" w:space="0"/>
                  </w:tcBorders>
                  <w:noWrap/>
                  <w:vAlign w:val="center"/>
                </w:tcPr>
                <w:p w14:paraId="710F3613">
                  <w:pPr>
                    <w:spacing w:line="240" w:lineRule="auto"/>
                    <w:ind w:firstLine="0" w:firstLineChars="0"/>
                    <w:jc w:val="center"/>
                    <w:rPr>
                      <w:rFonts w:hint="eastAsia"/>
                      <w:color w:val="auto"/>
                      <w:sz w:val="21"/>
                      <w:szCs w:val="21"/>
                      <w:u w:val="none" w:color="auto"/>
                      <w:lang w:val="en-US" w:eastAsia="zh-CN"/>
                    </w:rPr>
                  </w:pPr>
                  <w:r>
                    <w:rPr>
                      <w:rFonts w:hint="eastAsia"/>
                      <w:color w:val="auto"/>
                      <w:sz w:val="21"/>
                      <w:szCs w:val="21"/>
                      <w:u w:val="none" w:color="auto"/>
                      <w:lang w:eastAsia="zh-CN"/>
                    </w:rPr>
                    <w:t>已建</w:t>
                  </w:r>
                </w:p>
              </w:tc>
            </w:tr>
            <w:tr w14:paraId="0C463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316" w:type="pct"/>
                  <w:vMerge w:val="continue"/>
                  <w:noWrap/>
                  <w:vAlign w:val="center"/>
                </w:tcPr>
                <w:p w14:paraId="1AFE9A2C">
                  <w:pPr>
                    <w:spacing w:line="240" w:lineRule="auto"/>
                    <w:ind w:firstLine="0" w:firstLineChars="0"/>
                    <w:jc w:val="center"/>
                    <w:rPr>
                      <w:color w:val="auto"/>
                      <w:sz w:val="21"/>
                      <w:szCs w:val="21"/>
                      <w:u w:val="none" w:color="auto"/>
                    </w:rPr>
                  </w:pPr>
                </w:p>
              </w:tc>
              <w:tc>
                <w:tcPr>
                  <w:tcW w:w="1608" w:type="pct"/>
                  <w:vMerge w:val="restart"/>
                  <w:noWrap/>
                  <w:vAlign w:val="center"/>
                </w:tcPr>
                <w:p w14:paraId="3686EB92">
                  <w:pPr>
                    <w:spacing w:line="240" w:lineRule="auto"/>
                    <w:ind w:firstLine="0" w:firstLineChars="0"/>
                    <w:jc w:val="center"/>
                    <w:rPr>
                      <w:color w:val="auto"/>
                      <w:sz w:val="21"/>
                      <w:szCs w:val="21"/>
                      <w:u w:val="none" w:color="auto"/>
                    </w:rPr>
                  </w:pPr>
                  <w:r>
                    <w:rPr>
                      <w:rFonts w:hint="eastAsia"/>
                      <w:color w:val="auto"/>
                      <w:sz w:val="21"/>
                      <w:szCs w:val="21"/>
                      <w:u w:val="none" w:color="auto"/>
                    </w:rPr>
                    <w:t>废气治理</w:t>
                  </w:r>
                </w:p>
              </w:tc>
              <w:tc>
                <w:tcPr>
                  <w:tcW w:w="2615" w:type="pct"/>
                  <w:noWrap/>
                  <w:vAlign w:val="center"/>
                </w:tcPr>
                <w:p w14:paraId="7BE1243E">
                  <w:pPr>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涂布烘干NMP</w:t>
                  </w:r>
                  <w:r>
                    <w:rPr>
                      <w:rFonts w:hint="eastAsia" w:ascii="Times New Roman" w:hAnsi="Times New Roman" w:eastAsia="宋体" w:cs="Times New Roman"/>
                      <w:color w:val="auto"/>
                      <w:sz w:val="21"/>
                      <w:szCs w:val="21"/>
                      <w:u w:val="none" w:color="auto"/>
                    </w:rPr>
                    <w:t>有机废气经</w:t>
                  </w:r>
                  <w:r>
                    <w:rPr>
                      <w:rFonts w:hint="eastAsia" w:ascii="Times New Roman" w:hAnsi="Times New Roman" w:cs="Times New Roman"/>
                      <w:color w:val="auto"/>
                      <w:sz w:val="21"/>
                      <w:szCs w:val="21"/>
                      <w:u w:val="none" w:color="auto"/>
                      <w:lang w:val="en-US" w:eastAsia="zh-CN"/>
                    </w:rPr>
                    <w:t>冷凝回收装置处理</w:t>
                  </w:r>
                  <w:r>
                    <w:rPr>
                      <w:rFonts w:hint="eastAsia" w:ascii="Times New Roman" w:hAnsi="Times New Roman" w:eastAsia="宋体" w:cs="Times New Roman"/>
                      <w:color w:val="auto"/>
                      <w:sz w:val="21"/>
                      <w:szCs w:val="21"/>
                      <w:u w:val="none" w:color="auto"/>
                      <w:lang w:eastAsia="zh-CN"/>
                    </w:rPr>
                    <w:t>后</w:t>
                  </w:r>
                  <w:r>
                    <w:rPr>
                      <w:rFonts w:hint="eastAsia" w:ascii="Times New Roman" w:hAnsi="Times New Roman" w:cs="Times New Roman"/>
                      <w:color w:val="auto"/>
                      <w:sz w:val="21"/>
                      <w:szCs w:val="21"/>
                      <w:u w:val="none" w:color="auto"/>
                      <w:lang w:val="en-US" w:eastAsia="zh-CN"/>
                    </w:rPr>
                    <w:t>经</w:t>
                  </w:r>
                  <w:r>
                    <w:rPr>
                      <w:rFonts w:hint="eastAsia" w:cs="Times New Roman"/>
                      <w:color w:val="auto"/>
                      <w:sz w:val="21"/>
                      <w:szCs w:val="21"/>
                      <w:u w:val="none" w:color="auto"/>
                      <w:lang w:val="en-US" w:eastAsia="zh-CN"/>
                    </w:rPr>
                    <w:t>约25</w:t>
                  </w:r>
                  <w:r>
                    <w:rPr>
                      <w:rFonts w:hint="eastAsia" w:ascii="Times New Roman" w:hAnsi="Times New Roman" w:cs="Times New Roman"/>
                      <w:color w:val="auto"/>
                      <w:sz w:val="21"/>
                      <w:szCs w:val="21"/>
                      <w:u w:val="none" w:color="auto"/>
                      <w:lang w:val="en-US" w:eastAsia="zh-CN"/>
                    </w:rPr>
                    <w:t>m高排气筒</w:t>
                  </w:r>
                  <w:r>
                    <w:rPr>
                      <w:rFonts w:hint="eastAsia" w:cs="Times New Roman"/>
                      <w:color w:val="auto"/>
                      <w:sz w:val="21"/>
                      <w:szCs w:val="21"/>
                      <w:u w:val="none" w:color="auto"/>
                      <w:lang w:val="en-US" w:eastAsia="zh-CN"/>
                    </w:rPr>
                    <w:t>（DA001）</w:t>
                  </w:r>
                  <w:r>
                    <w:rPr>
                      <w:rFonts w:hint="eastAsia" w:ascii="Times New Roman" w:hAnsi="Times New Roman" w:eastAsia="宋体" w:cs="Times New Roman"/>
                      <w:color w:val="auto"/>
                      <w:sz w:val="21"/>
                      <w:szCs w:val="21"/>
                      <w:u w:val="none" w:color="auto"/>
                      <w:lang w:eastAsia="zh-CN"/>
                    </w:rPr>
                    <w:t>排放</w:t>
                  </w:r>
                </w:p>
              </w:tc>
              <w:tc>
                <w:tcPr>
                  <w:tcW w:w="459" w:type="pct"/>
                  <w:noWrap/>
                  <w:vAlign w:val="center"/>
                </w:tcPr>
                <w:p w14:paraId="72A20F1D">
                  <w:pPr>
                    <w:spacing w:line="240" w:lineRule="auto"/>
                    <w:ind w:firstLine="0" w:firstLineChars="0"/>
                    <w:jc w:val="center"/>
                    <w:rPr>
                      <w:rFonts w:hint="default" w:eastAsia="宋体"/>
                      <w:color w:val="auto"/>
                      <w:sz w:val="21"/>
                      <w:szCs w:val="21"/>
                      <w:u w:val="none" w:color="auto"/>
                      <w:lang w:val="en-US" w:eastAsia="zh-CN"/>
                    </w:rPr>
                  </w:pPr>
                  <w:r>
                    <w:rPr>
                      <w:rFonts w:hint="eastAsia"/>
                      <w:color w:val="auto"/>
                      <w:sz w:val="21"/>
                      <w:szCs w:val="21"/>
                      <w:u w:val="none" w:color="auto"/>
                      <w:lang w:eastAsia="zh-CN"/>
                    </w:rPr>
                    <w:t>已建</w:t>
                  </w:r>
                </w:p>
              </w:tc>
            </w:tr>
            <w:tr w14:paraId="0DDFD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316" w:type="pct"/>
                  <w:vMerge w:val="continue"/>
                  <w:noWrap/>
                  <w:vAlign w:val="center"/>
                </w:tcPr>
                <w:p w14:paraId="0A6C8494">
                  <w:pPr>
                    <w:spacing w:line="240" w:lineRule="auto"/>
                    <w:ind w:firstLine="0" w:firstLineChars="0"/>
                    <w:jc w:val="center"/>
                    <w:rPr>
                      <w:color w:val="auto"/>
                      <w:sz w:val="21"/>
                      <w:szCs w:val="21"/>
                      <w:u w:val="none" w:color="auto"/>
                    </w:rPr>
                  </w:pPr>
                </w:p>
              </w:tc>
              <w:tc>
                <w:tcPr>
                  <w:tcW w:w="1608" w:type="pct"/>
                  <w:vMerge w:val="continue"/>
                  <w:noWrap/>
                  <w:vAlign w:val="center"/>
                </w:tcPr>
                <w:p w14:paraId="49DD99F3">
                  <w:pPr>
                    <w:spacing w:line="240" w:lineRule="auto"/>
                    <w:ind w:firstLine="0" w:firstLineChars="0"/>
                    <w:jc w:val="center"/>
                    <w:rPr>
                      <w:rFonts w:hint="eastAsia"/>
                      <w:color w:val="auto"/>
                      <w:sz w:val="21"/>
                      <w:szCs w:val="21"/>
                      <w:u w:val="none" w:color="auto"/>
                    </w:rPr>
                  </w:pPr>
                </w:p>
              </w:tc>
              <w:tc>
                <w:tcPr>
                  <w:tcW w:w="2615" w:type="pct"/>
                  <w:noWrap/>
                  <w:vAlign w:val="center"/>
                </w:tcPr>
                <w:p w14:paraId="407A7B1F">
                  <w:pPr>
                    <w:spacing w:line="240" w:lineRule="auto"/>
                    <w:ind w:firstLine="0" w:firstLineChars="0"/>
                    <w:jc w:val="center"/>
                    <w:rPr>
                      <w:rFonts w:hint="eastAsia"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电解液注液在真空负压装置内，注液废气引至厂外排放</w:t>
                  </w:r>
                </w:p>
              </w:tc>
              <w:tc>
                <w:tcPr>
                  <w:tcW w:w="459" w:type="pct"/>
                  <w:noWrap/>
                  <w:vAlign w:val="center"/>
                </w:tcPr>
                <w:p w14:paraId="26DF859B">
                  <w:pPr>
                    <w:spacing w:line="240" w:lineRule="auto"/>
                    <w:ind w:firstLine="0" w:firstLineChars="0"/>
                    <w:jc w:val="center"/>
                    <w:rPr>
                      <w:rFonts w:hint="eastAsia"/>
                      <w:color w:val="auto"/>
                      <w:sz w:val="21"/>
                      <w:szCs w:val="21"/>
                      <w:u w:val="none" w:color="auto"/>
                      <w:lang w:val="en-US" w:eastAsia="zh-CN"/>
                    </w:rPr>
                  </w:pPr>
                  <w:r>
                    <w:rPr>
                      <w:rFonts w:hint="eastAsia"/>
                      <w:color w:val="auto"/>
                      <w:sz w:val="21"/>
                      <w:szCs w:val="21"/>
                      <w:u w:val="none" w:color="auto"/>
                      <w:lang w:eastAsia="zh-CN"/>
                    </w:rPr>
                    <w:t>已建</w:t>
                  </w:r>
                </w:p>
              </w:tc>
            </w:tr>
            <w:tr w14:paraId="32738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316" w:type="pct"/>
                  <w:vMerge w:val="continue"/>
                  <w:noWrap/>
                  <w:vAlign w:val="center"/>
                </w:tcPr>
                <w:p w14:paraId="0125A60D">
                  <w:pPr>
                    <w:spacing w:line="240" w:lineRule="auto"/>
                    <w:ind w:firstLine="0" w:firstLineChars="0"/>
                    <w:jc w:val="center"/>
                    <w:rPr>
                      <w:color w:val="auto"/>
                      <w:sz w:val="21"/>
                      <w:szCs w:val="21"/>
                      <w:u w:val="none" w:color="auto"/>
                    </w:rPr>
                  </w:pPr>
                </w:p>
              </w:tc>
              <w:tc>
                <w:tcPr>
                  <w:tcW w:w="1608" w:type="pct"/>
                  <w:vMerge w:val="continue"/>
                  <w:noWrap/>
                  <w:vAlign w:val="center"/>
                </w:tcPr>
                <w:p w14:paraId="363D8EDC">
                  <w:pPr>
                    <w:spacing w:line="240" w:lineRule="auto"/>
                    <w:ind w:firstLine="0" w:firstLineChars="0"/>
                    <w:jc w:val="center"/>
                    <w:rPr>
                      <w:rFonts w:hint="eastAsia"/>
                      <w:color w:val="auto"/>
                      <w:sz w:val="21"/>
                      <w:szCs w:val="21"/>
                      <w:u w:val="none" w:color="auto"/>
                    </w:rPr>
                  </w:pPr>
                </w:p>
              </w:tc>
              <w:tc>
                <w:tcPr>
                  <w:tcW w:w="2615" w:type="pct"/>
                  <w:noWrap/>
                  <w:vAlign w:val="center"/>
                </w:tcPr>
                <w:p w14:paraId="1C6C56DB">
                  <w:pPr>
                    <w:spacing w:line="240" w:lineRule="auto"/>
                    <w:ind w:firstLine="0" w:firstLineChars="0"/>
                    <w:jc w:val="center"/>
                    <w:rPr>
                      <w:rFonts w:hint="eastAsia"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油墨喷码废气为车间内无组织排放</w:t>
                  </w:r>
                </w:p>
              </w:tc>
              <w:tc>
                <w:tcPr>
                  <w:tcW w:w="459" w:type="pct"/>
                  <w:noWrap/>
                  <w:vAlign w:val="center"/>
                </w:tcPr>
                <w:p w14:paraId="5C247912">
                  <w:pPr>
                    <w:spacing w:line="240" w:lineRule="auto"/>
                    <w:ind w:firstLine="0" w:firstLineChars="0"/>
                    <w:jc w:val="center"/>
                    <w:rPr>
                      <w:rFonts w:hint="eastAsia"/>
                      <w:color w:val="auto"/>
                      <w:sz w:val="21"/>
                      <w:szCs w:val="21"/>
                      <w:u w:val="none" w:color="auto"/>
                      <w:lang w:val="en-US" w:eastAsia="zh-CN"/>
                    </w:rPr>
                  </w:pPr>
                  <w:r>
                    <w:rPr>
                      <w:rFonts w:hint="eastAsia"/>
                      <w:color w:val="auto"/>
                      <w:sz w:val="21"/>
                      <w:szCs w:val="21"/>
                      <w:u w:val="none" w:color="auto"/>
                      <w:lang w:eastAsia="zh-CN"/>
                    </w:rPr>
                    <w:t>已建</w:t>
                  </w:r>
                </w:p>
              </w:tc>
            </w:tr>
            <w:tr w14:paraId="62245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6" w:type="pct"/>
                  <w:vMerge w:val="continue"/>
                  <w:noWrap/>
                  <w:vAlign w:val="center"/>
                </w:tcPr>
                <w:p w14:paraId="0C57BCAE">
                  <w:pPr>
                    <w:spacing w:line="240" w:lineRule="auto"/>
                    <w:ind w:firstLine="0" w:firstLineChars="0"/>
                    <w:jc w:val="center"/>
                    <w:rPr>
                      <w:color w:val="auto"/>
                      <w:sz w:val="21"/>
                      <w:szCs w:val="21"/>
                      <w:u w:val="none" w:color="auto"/>
                    </w:rPr>
                  </w:pPr>
                </w:p>
              </w:tc>
              <w:tc>
                <w:tcPr>
                  <w:tcW w:w="1608" w:type="pct"/>
                  <w:noWrap/>
                  <w:vAlign w:val="center"/>
                </w:tcPr>
                <w:p w14:paraId="6C1B5290">
                  <w:pPr>
                    <w:spacing w:line="240" w:lineRule="auto"/>
                    <w:ind w:firstLine="0" w:firstLineChars="0"/>
                    <w:jc w:val="center"/>
                    <w:rPr>
                      <w:color w:val="auto"/>
                      <w:sz w:val="21"/>
                      <w:szCs w:val="21"/>
                      <w:u w:val="none" w:color="auto"/>
                    </w:rPr>
                  </w:pPr>
                  <w:r>
                    <w:rPr>
                      <w:rFonts w:hint="eastAsia"/>
                      <w:color w:val="auto"/>
                      <w:sz w:val="21"/>
                      <w:szCs w:val="21"/>
                      <w:u w:val="none" w:color="auto"/>
                    </w:rPr>
                    <w:t>噪声治理</w:t>
                  </w:r>
                </w:p>
              </w:tc>
              <w:tc>
                <w:tcPr>
                  <w:tcW w:w="2615" w:type="pct"/>
                  <w:noWrap/>
                  <w:vAlign w:val="center"/>
                </w:tcPr>
                <w:p w14:paraId="4F48B2E1">
                  <w:pPr>
                    <w:spacing w:line="240" w:lineRule="auto"/>
                    <w:ind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噪声设备减振、</w:t>
                  </w:r>
                  <w:r>
                    <w:rPr>
                      <w:rFonts w:hint="eastAsia" w:ascii="Times New Roman" w:hAnsi="Times New Roman" w:eastAsia="宋体" w:cs="Times New Roman"/>
                      <w:color w:val="auto"/>
                      <w:sz w:val="21"/>
                      <w:szCs w:val="21"/>
                      <w:u w:val="none" w:color="auto"/>
                      <w:lang w:eastAsia="zh-CN"/>
                    </w:rPr>
                    <w:t>厂房墙壁隔声</w:t>
                  </w:r>
                  <w:r>
                    <w:rPr>
                      <w:rFonts w:hint="eastAsia" w:ascii="Times New Roman" w:hAnsi="Times New Roman" w:eastAsia="宋体" w:cs="Times New Roman"/>
                      <w:color w:val="auto"/>
                      <w:sz w:val="21"/>
                      <w:szCs w:val="21"/>
                      <w:u w:val="none" w:color="auto"/>
                    </w:rPr>
                    <w:t>等措施</w:t>
                  </w:r>
                </w:p>
              </w:tc>
              <w:tc>
                <w:tcPr>
                  <w:tcW w:w="459" w:type="pct"/>
                  <w:noWrap/>
                  <w:vAlign w:val="center"/>
                </w:tcPr>
                <w:p w14:paraId="04D1878D">
                  <w:pPr>
                    <w:spacing w:line="240" w:lineRule="auto"/>
                    <w:ind w:firstLine="0" w:firstLineChars="0"/>
                    <w:jc w:val="center"/>
                    <w:rPr>
                      <w:rFonts w:hint="eastAsia" w:eastAsia="宋体"/>
                      <w:color w:val="auto"/>
                      <w:sz w:val="21"/>
                      <w:szCs w:val="21"/>
                      <w:u w:val="none" w:color="auto"/>
                      <w:lang w:val="en-US" w:eastAsia="zh-CN"/>
                    </w:rPr>
                  </w:pPr>
                  <w:r>
                    <w:rPr>
                      <w:rFonts w:hint="eastAsia"/>
                      <w:color w:val="auto"/>
                      <w:sz w:val="21"/>
                      <w:szCs w:val="21"/>
                      <w:u w:val="none" w:color="auto"/>
                      <w:lang w:eastAsia="zh-CN"/>
                    </w:rPr>
                    <w:t>已建</w:t>
                  </w:r>
                </w:p>
              </w:tc>
            </w:tr>
            <w:tr w14:paraId="31888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6" w:type="pct"/>
                  <w:vMerge w:val="continue"/>
                  <w:noWrap/>
                  <w:vAlign w:val="center"/>
                </w:tcPr>
                <w:p w14:paraId="6511884C">
                  <w:pPr>
                    <w:spacing w:line="240" w:lineRule="auto"/>
                    <w:ind w:firstLine="0" w:firstLineChars="0"/>
                    <w:jc w:val="center"/>
                    <w:rPr>
                      <w:color w:val="auto"/>
                      <w:sz w:val="21"/>
                      <w:szCs w:val="21"/>
                      <w:u w:val="none" w:color="auto"/>
                    </w:rPr>
                  </w:pPr>
                </w:p>
              </w:tc>
              <w:tc>
                <w:tcPr>
                  <w:tcW w:w="1608" w:type="pct"/>
                  <w:vMerge w:val="restart"/>
                  <w:noWrap/>
                  <w:vAlign w:val="center"/>
                </w:tcPr>
                <w:p w14:paraId="492C8C47">
                  <w:pPr>
                    <w:spacing w:line="240" w:lineRule="auto"/>
                    <w:ind w:firstLine="0" w:firstLineChars="0"/>
                    <w:jc w:val="center"/>
                    <w:rPr>
                      <w:color w:val="auto"/>
                      <w:sz w:val="21"/>
                      <w:szCs w:val="21"/>
                      <w:u w:val="none" w:color="auto"/>
                    </w:rPr>
                  </w:pPr>
                  <w:r>
                    <w:rPr>
                      <w:rFonts w:hint="eastAsia"/>
                      <w:color w:val="auto"/>
                      <w:sz w:val="21"/>
                      <w:szCs w:val="21"/>
                      <w:u w:val="none" w:color="auto"/>
                    </w:rPr>
                    <w:t>固废治理</w:t>
                  </w:r>
                </w:p>
              </w:tc>
              <w:tc>
                <w:tcPr>
                  <w:tcW w:w="2615" w:type="pct"/>
                  <w:noWrap/>
                  <w:vAlign w:val="center"/>
                </w:tcPr>
                <w:p w14:paraId="7E3900E4">
                  <w:pPr>
                    <w:spacing w:line="240" w:lineRule="auto"/>
                    <w:ind w:firstLine="0" w:firstLineChars="0"/>
                    <w:jc w:val="center"/>
                    <w:rPr>
                      <w:rFonts w:hint="default" w:eastAsia="宋体"/>
                      <w:color w:val="auto"/>
                      <w:sz w:val="21"/>
                      <w:szCs w:val="21"/>
                      <w:u w:val="none" w:color="auto"/>
                      <w:lang w:val="en-US" w:eastAsia="zh-CN"/>
                    </w:rPr>
                  </w:pPr>
                  <w:r>
                    <w:rPr>
                      <w:rFonts w:hint="eastAsia"/>
                      <w:color w:val="auto"/>
                      <w:sz w:val="21"/>
                      <w:szCs w:val="21"/>
                      <w:u w:val="none" w:color="auto"/>
                      <w:lang w:val="en-US" w:eastAsia="zh-CN"/>
                    </w:rPr>
                    <w:t>一般固体废物</w:t>
                  </w:r>
                  <w:r>
                    <w:rPr>
                      <w:rFonts w:hint="eastAsia"/>
                      <w:color w:val="auto"/>
                      <w:sz w:val="21"/>
                      <w:szCs w:val="21"/>
                      <w:u w:val="none" w:color="auto"/>
                    </w:rPr>
                    <w:t>统一收集后存放</w:t>
                  </w:r>
                  <w:r>
                    <w:rPr>
                      <w:rFonts w:hint="eastAsia"/>
                      <w:color w:val="auto"/>
                      <w:sz w:val="21"/>
                      <w:szCs w:val="21"/>
                      <w:u w:val="none" w:color="auto"/>
                      <w:lang w:val="en-US" w:eastAsia="zh-CN"/>
                    </w:rPr>
                    <w:t>在厂房后的厂棚</w:t>
                  </w:r>
                </w:p>
              </w:tc>
              <w:tc>
                <w:tcPr>
                  <w:tcW w:w="459" w:type="pct"/>
                  <w:noWrap/>
                  <w:vAlign w:val="center"/>
                </w:tcPr>
                <w:p w14:paraId="4A09D831">
                  <w:pPr>
                    <w:spacing w:line="240" w:lineRule="auto"/>
                    <w:ind w:firstLine="0" w:firstLineChars="0"/>
                    <w:jc w:val="center"/>
                    <w:rPr>
                      <w:rFonts w:hint="eastAsia" w:eastAsia="宋体"/>
                      <w:color w:val="auto"/>
                      <w:sz w:val="21"/>
                      <w:szCs w:val="21"/>
                      <w:u w:val="none" w:color="auto"/>
                      <w:lang w:val="en-US" w:eastAsia="zh-CN"/>
                    </w:rPr>
                  </w:pPr>
                  <w:r>
                    <w:rPr>
                      <w:rFonts w:hint="eastAsia"/>
                      <w:color w:val="auto"/>
                      <w:sz w:val="21"/>
                      <w:szCs w:val="21"/>
                      <w:u w:val="none" w:color="auto"/>
                      <w:lang w:eastAsia="zh-CN"/>
                    </w:rPr>
                    <w:t>已建</w:t>
                  </w:r>
                </w:p>
              </w:tc>
            </w:tr>
            <w:tr w14:paraId="59AA1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6" w:type="pct"/>
                  <w:vMerge w:val="continue"/>
                  <w:noWrap/>
                  <w:vAlign w:val="center"/>
                </w:tcPr>
                <w:p w14:paraId="32EA91F8">
                  <w:pPr>
                    <w:spacing w:line="240" w:lineRule="auto"/>
                    <w:ind w:firstLine="0" w:firstLineChars="0"/>
                    <w:jc w:val="center"/>
                    <w:rPr>
                      <w:color w:val="auto"/>
                      <w:sz w:val="21"/>
                      <w:szCs w:val="21"/>
                      <w:u w:val="none" w:color="auto"/>
                    </w:rPr>
                  </w:pPr>
                </w:p>
              </w:tc>
              <w:tc>
                <w:tcPr>
                  <w:tcW w:w="1608" w:type="pct"/>
                  <w:vMerge w:val="continue"/>
                  <w:noWrap/>
                  <w:vAlign w:val="center"/>
                </w:tcPr>
                <w:p w14:paraId="1C76947A">
                  <w:pPr>
                    <w:spacing w:line="240" w:lineRule="auto"/>
                    <w:ind w:firstLine="0" w:firstLineChars="0"/>
                    <w:jc w:val="center"/>
                    <w:rPr>
                      <w:color w:val="auto"/>
                      <w:sz w:val="21"/>
                      <w:szCs w:val="21"/>
                      <w:u w:val="none" w:color="auto"/>
                    </w:rPr>
                  </w:pPr>
                </w:p>
              </w:tc>
              <w:tc>
                <w:tcPr>
                  <w:tcW w:w="2615" w:type="pct"/>
                  <w:noWrap/>
                  <w:vAlign w:val="center"/>
                </w:tcPr>
                <w:p w14:paraId="43F5D63E">
                  <w:pPr>
                    <w:spacing w:line="240" w:lineRule="auto"/>
                    <w:ind w:firstLine="0" w:firstLineChars="0"/>
                    <w:jc w:val="center"/>
                    <w:rPr>
                      <w:color w:val="auto"/>
                      <w:sz w:val="21"/>
                      <w:szCs w:val="21"/>
                      <w:u w:val="none" w:color="auto"/>
                    </w:rPr>
                  </w:pPr>
                  <w:r>
                    <w:rPr>
                      <w:rFonts w:hint="eastAsia"/>
                      <w:color w:val="auto"/>
                      <w:sz w:val="21"/>
                      <w:szCs w:val="21"/>
                      <w:u w:val="none" w:color="auto"/>
                    </w:rPr>
                    <w:t>危废暂存间</w:t>
                  </w:r>
                  <w:r>
                    <w:rPr>
                      <w:rFonts w:hint="eastAsia"/>
                      <w:color w:val="auto"/>
                      <w:sz w:val="21"/>
                      <w:szCs w:val="21"/>
                      <w:u w:val="none" w:color="auto"/>
                      <w:lang w:val="en-US" w:eastAsia="zh-CN"/>
                    </w:rPr>
                    <w:t>约20</w:t>
                  </w:r>
                  <w:r>
                    <w:rPr>
                      <w:rFonts w:hint="eastAsia"/>
                      <w:color w:val="auto"/>
                      <w:sz w:val="21"/>
                      <w:szCs w:val="21"/>
                      <w:u w:val="none" w:color="auto"/>
                    </w:rPr>
                    <w:t>m</w:t>
                  </w:r>
                  <w:r>
                    <w:rPr>
                      <w:rFonts w:hint="eastAsia"/>
                      <w:color w:val="auto"/>
                      <w:sz w:val="21"/>
                      <w:szCs w:val="21"/>
                      <w:u w:val="none" w:color="auto"/>
                      <w:vertAlign w:val="superscript"/>
                    </w:rPr>
                    <w:t>2</w:t>
                  </w:r>
                  <w:r>
                    <w:rPr>
                      <w:rFonts w:hint="eastAsia"/>
                      <w:color w:val="auto"/>
                      <w:sz w:val="21"/>
                      <w:szCs w:val="21"/>
                      <w:u w:val="none" w:color="auto"/>
                      <w:vertAlign w:val="baseline"/>
                      <w:lang w:eastAsia="zh-CN"/>
                    </w:rPr>
                    <w:t>，</w:t>
                  </w:r>
                  <w:r>
                    <w:rPr>
                      <w:rFonts w:hint="eastAsia"/>
                      <w:color w:val="auto"/>
                      <w:sz w:val="21"/>
                      <w:szCs w:val="21"/>
                      <w:u w:val="none" w:color="auto"/>
                      <w:lang w:eastAsia="zh-CN"/>
                    </w:rPr>
                    <w:t>位于</w:t>
                  </w:r>
                  <w:r>
                    <w:rPr>
                      <w:rFonts w:hint="eastAsia"/>
                      <w:color w:val="auto"/>
                      <w:sz w:val="21"/>
                      <w:szCs w:val="21"/>
                      <w:u w:val="none" w:color="auto"/>
                      <w:lang w:val="en-US" w:eastAsia="zh-CN"/>
                    </w:rPr>
                    <w:t>厂房四楼</w:t>
                  </w:r>
                  <w:r>
                    <w:rPr>
                      <w:rFonts w:hint="eastAsia"/>
                      <w:color w:val="auto"/>
                      <w:sz w:val="21"/>
                      <w:szCs w:val="21"/>
                      <w:u w:val="none" w:color="auto"/>
                    </w:rPr>
                    <w:t>，定期委托有危险废物处理资质的单位处置</w:t>
                  </w:r>
                </w:p>
              </w:tc>
              <w:tc>
                <w:tcPr>
                  <w:tcW w:w="459" w:type="pct"/>
                  <w:noWrap/>
                  <w:vAlign w:val="center"/>
                </w:tcPr>
                <w:p w14:paraId="44CB97D9">
                  <w:pPr>
                    <w:spacing w:line="240" w:lineRule="auto"/>
                    <w:ind w:firstLine="0" w:firstLineChars="0"/>
                    <w:jc w:val="center"/>
                    <w:rPr>
                      <w:rFonts w:hint="eastAsia" w:eastAsia="宋体"/>
                      <w:color w:val="auto"/>
                      <w:sz w:val="21"/>
                      <w:szCs w:val="21"/>
                      <w:u w:val="none" w:color="auto"/>
                      <w:lang w:val="en-US" w:eastAsia="zh-CN"/>
                    </w:rPr>
                  </w:pPr>
                  <w:r>
                    <w:rPr>
                      <w:rFonts w:hint="eastAsia"/>
                      <w:color w:val="auto"/>
                      <w:sz w:val="21"/>
                      <w:szCs w:val="21"/>
                      <w:u w:val="none" w:color="auto"/>
                      <w:lang w:eastAsia="zh-CN"/>
                    </w:rPr>
                    <w:t>已建</w:t>
                  </w:r>
                </w:p>
              </w:tc>
            </w:tr>
            <w:tr w14:paraId="1FCB3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6" w:type="pct"/>
                  <w:vMerge w:val="continue"/>
                  <w:noWrap/>
                  <w:vAlign w:val="center"/>
                </w:tcPr>
                <w:p w14:paraId="045B36CD">
                  <w:pPr>
                    <w:spacing w:line="240" w:lineRule="auto"/>
                    <w:ind w:firstLine="0" w:firstLineChars="0"/>
                    <w:jc w:val="center"/>
                    <w:rPr>
                      <w:color w:val="auto"/>
                      <w:sz w:val="21"/>
                      <w:szCs w:val="21"/>
                      <w:u w:val="none" w:color="auto"/>
                    </w:rPr>
                  </w:pPr>
                </w:p>
              </w:tc>
              <w:tc>
                <w:tcPr>
                  <w:tcW w:w="1608" w:type="pct"/>
                  <w:vMerge w:val="continue"/>
                  <w:noWrap/>
                  <w:vAlign w:val="center"/>
                </w:tcPr>
                <w:p w14:paraId="789D3EA4">
                  <w:pPr>
                    <w:spacing w:line="240" w:lineRule="auto"/>
                    <w:ind w:firstLine="0" w:firstLineChars="0"/>
                    <w:jc w:val="center"/>
                    <w:rPr>
                      <w:color w:val="auto"/>
                      <w:sz w:val="21"/>
                      <w:szCs w:val="21"/>
                      <w:u w:val="none" w:color="auto"/>
                    </w:rPr>
                  </w:pPr>
                </w:p>
              </w:tc>
              <w:tc>
                <w:tcPr>
                  <w:tcW w:w="2615" w:type="pct"/>
                  <w:noWrap/>
                  <w:vAlign w:val="center"/>
                </w:tcPr>
                <w:p w14:paraId="3051B112">
                  <w:pPr>
                    <w:spacing w:line="240" w:lineRule="auto"/>
                    <w:ind w:firstLine="0" w:firstLineChars="0"/>
                    <w:jc w:val="center"/>
                    <w:rPr>
                      <w:color w:val="auto"/>
                      <w:sz w:val="21"/>
                      <w:szCs w:val="21"/>
                      <w:u w:val="none" w:color="auto"/>
                    </w:rPr>
                  </w:pPr>
                  <w:r>
                    <w:rPr>
                      <w:rFonts w:hint="eastAsia"/>
                      <w:color w:val="auto"/>
                      <w:sz w:val="21"/>
                      <w:szCs w:val="21"/>
                      <w:u w:val="none" w:color="auto"/>
                    </w:rPr>
                    <w:t>生活垃圾统一收集，定期交环卫部门清运</w:t>
                  </w:r>
                </w:p>
              </w:tc>
              <w:tc>
                <w:tcPr>
                  <w:tcW w:w="459" w:type="pct"/>
                  <w:noWrap/>
                  <w:vAlign w:val="center"/>
                </w:tcPr>
                <w:p w14:paraId="6B267D65">
                  <w:pPr>
                    <w:spacing w:line="240" w:lineRule="auto"/>
                    <w:ind w:firstLine="0" w:firstLineChars="0"/>
                    <w:jc w:val="center"/>
                    <w:rPr>
                      <w:rFonts w:hint="eastAsia" w:eastAsia="宋体"/>
                      <w:color w:val="auto"/>
                      <w:sz w:val="21"/>
                      <w:szCs w:val="21"/>
                      <w:u w:val="none" w:color="auto"/>
                      <w:lang w:val="en-US" w:eastAsia="zh-CN"/>
                    </w:rPr>
                  </w:pPr>
                  <w:r>
                    <w:rPr>
                      <w:rFonts w:hint="eastAsia"/>
                      <w:color w:val="auto"/>
                      <w:sz w:val="21"/>
                      <w:szCs w:val="21"/>
                      <w:u w:val="none" w:color="auto"/>
                      <w:lang w:eastAsia="zh-CN"/>
                    </w:rPr>
                    <w:t>已建</w:t>
                  </w:r>
                </w:p>
              </w:tc>
            </w:tr>
            <w:tr w14:paraId="1E262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6" w:type="pct"/>
                  <w:vMerge w:val="continue"/>
                  <w:noWrap/>
                  <w:vAlign w:val="center"/>
                </w:tcPr>
                <w:p w14:paraId="071E94B6">
                  <w:pPr>
                    <w:spacing w:line="240" w:lineRule="auto"/>
                    <w:ind w:firstLine="0" w:firstLineChars="0"/>
                    <w:jc w:val="center"/>
                    <w:rPr>
                      <w:color w:val="auto"/>
                      <w:sz w:val="21"/>
                      <w:szCs w:val="21"/>
                      <w:u w:val="none" w:color="auto"/>
                    </w:rPr>
                  </w:pPr>
                </w:p>
              </w:tc>
              <w:tc>
                <w:tcPr>
                  <w:tcW w:w="1608" w:type="pct"/>
                  <w:noWrap/>
                  <w:vAlign w:val="center"/>
                </w:tcPr>
                <w:p w14:paraId="0045C9F6">
                  <w:pPr>
                    <w:spacing w:line="240" w:lineRule="auto"/>
                    <w:ind w:firstLine="0" w:firstLineChars="0"/>
                    <w:jc w:val="center"/>
                    <w:rPr>
                      <w:rFonts w:hint="eastAsia" w:eastAsia="宋体"/>
                      <w:color w:val="auto"/>
                      <w:sz w:val="21"/>
                      <w:szCs w:val="21"/>
                      <w:u w:val="none" w:color="auto"/>
                      <w:lang w:eastAsia="zh-CN"/>
                    </w:rPr>
                  </w:pPr>
                  <w:r>
                    <w:rPr>
                      <w:rFonts w:hint="eastAsia"/>
                      <w:color w:val="auto"/>
                      <w:sz w:val="21"/>
                      <w:szCs w:val="21"/>
                      <w:u w:val="none" w:color="auto"/>
                      <w:lang w:eastAsia="zh-CN"/>
                    </w:rPr>
                    <w:t>风险防治</w:t>
                  </w:r>
                </w:p>
              </w:tc>
              <w:tc>
                <w:tcPr>
                  <w:tcW w:w="2615" w:type="pct"/>
                  <w:noWrap/>
                  <w:vAlign w:val="center"/>
                </w:tcPr>
                <w:p w14:paraId="324B9D54">
                  <w:pPr>
                    <w:spacing w:line="240" w:lineRule="auto"/>
                    <w:ind w:firstLine="0" w:firstLineChars="0"/>
                    <w:jc w:val="center"/>
                    <w:rPr>
                      <w:rFonts w:hint="eastAsia" w:eastAsia="宋体"/>
                      <w:color w:val="auto"/>
                      <w:sz w:val="21"/>
                      <w:szCs w:val="21"/>
                      <w:u w:val="none" w:color="auto"/>
                      <w:lang w:eastAsia="zh-CN"/>
                    </w:rPr>
                  </w:pPr>
                  <w:r>
                    <w:rPr>
                      <w:rFonts w:hint="eastAsia"/>
                      <w:color w:val="auto"/>
                      <w:sz w:val="21"/>
                      <w:szCs w:val="21"/>
                      <w:u w:val="none" w:color="auto"/>
                      <w:lang w:eastAsia="zh-CN"/>
                    </w:rPr>
                    <w:t>厂区采取分区防渗措施，存放液体原料的仓库、</w:t>
                  </w:r>
                  <w:r>
                    <w:rPr>
                      <w:rFonts w:hint="eastAsia"/>
                      <w:color w:val="auto"/>
                      <w:sz w:val="21"/>
                      <w:szCs w:val="21"/>
                      <w:u w:val="none" w:color="auto"/>
                    </w:rPr>
                    <w:t>搅拌车间、危险废物暂存间</w:t>
                  </w:r>
                  <w:r>
                    <w:rPr>
                      <w:rFonts w:hint="eastAsia"/>
                      <w:color w:val="auto"/>
                      <w:sz w:val="21"/>
                      <w:szCs w:val="21"/>
                      <w:u w:val="none" w:color="auto"/>
                      <w:lang w:eastAsia="zh-CN"/>
                    </w:rPr>
                    <w:t>、污水处理设施设置重点防渗</w:t>
                  </w:r>
                </w:p>
              </w:tc>
              <w:tc>
                <w:tcPr>
                  <w:tcW w:w="459" w:type="pct"/>
                  <w:noWrap/>
                  <w:vAlign w:val="center"/>
                </w:tcPr>
                <w:p w14:paraId="1A37224E">
                  <w:pPr>
                    <w:spacing w:line="240" w:lineRule="auto"/>
                    <w:ind w:firstLine="0" w:firstLineChars="0"/>
                    <w:jc w:val="center"/>
                    <w:rPr>
                      <w:rFonts w:hint="eastAsia"/>
                      <w:color w:val="auto"/>
                      <w:sz w:val="21"/>
                      <w:szCs w:val="21"/>
                      <w:u w:val="none" w:color="auto"/>
                      <w:lang w:eastAsia="zh-CN"/>
                    </w:rPr>
                  </w:pPr>
                  <w:r>
                    <w:rPr>
                      <w:rFonts w:hint="eastAsia"/>
                      <w:color w:val="auto"/>
                      <w:sz w:val="21"/>
                      <w:szCs w:val="21"/>
                      <w:u w:val="none" w:color="auto"/>
                      <w:lang w:eastAsia="zh-CN"/>
                    </w:rPr>
                    <w:t>已建</w:t>
                  </w:r>
                </w:p>
              </w:tc>
            </w:tr>
          </w:tbl>
          <w:p w14:paraId="4D5D7BBE">
            <w:pPr>
              <w:widowControl/>
              <w:ind w:firstLine="482"/>
              <w:jc w:val="left"/>
              <w:rPr>
                <w:b/>
                <w:color w:val="auto"/>
                <w:kern w:val="0"/>
                <w:u w:val="none" w:color="auto"/>
              </w:rPr>
            </w:pPr>
            <w:r>
              <w:rPr>
                <w:rFonts w:hint="eastAsia"/>
                <w:b/>
                <w:color w:val="auto"/>
                <w:kern w:val="0"/>
                <w:u w:val="none" w:color="auto"/>
              </w:rPr>
              <w:t>（二）主要产品</w:t>
            </w:r>
          </w:p>
          <w:p w14:paraId="6CC76605">
            <w:pPr>
              <w:bidi w:val="0"/>
              <w:rPr>
                <w:rFonts w:hint="eastAsia"/>
                <w:color w:val="auto"/>
                <w:u w:val="none" w:color="auto"/>
              </w:rPr>
            </w:pPr>
            <w:r>
              <w:rPr>
                <w:rFonts w:hint="eastAsia"/>
                <w:color w:val="auto"/>
                <w:u w:val="none" w:color="auto"/>
              </w:rPr>
              <w:t>项目产品主要为</w:t>
            </w:r>
            <w:r>
              <w:rPr>
                <w:rFonts w:hint="eastAsia"/>
                <w:color w:val="auto"/>
                <w:highlight w:val="none"/>
                <w:u w:val="none" w:color="auto"/>
                <w:lang w:val="en-US" w:eastAsia="zh-CN"/>
              </w:rPr>
              <w:t>聚合物</w:t>
            </w:r>
            <w:r>
              <w:rPr>
                <w:rFonts w:hint="eastAsia"/>
                <w:color w:val="auto"/>
                <w:u w:val="none" w:color="auto"/>
              </w:rPr>
              <w:t>锂</w:t>
            </w:r>
            <w:r>
              <w:rPr>
                <w:rFonts w:hint="eastAsia"/>
                <w:color w:val="auto"/>
                <w:u w:val="none" w:color="auto"/>
                <w:lang w:val="en-US" w:eastAsia="zh-CN"/>
              </w:rPr>
              <w:t>离子</w:t>
            </w:r>
            <w:r>
              <w:rPr>
                <w:rFonts w:hint="eastAsia"/>
                <w:color w:val="auto"/>
                <w:u w:val="none" w:color="auto"/>
              </w:rPr>
              <w:t>电池，具体如下：</w:t>
            </w:r>
          </w:p>
          <w:p w14:paraId="26C673D9">
            <w:pPr>
              <w:spacing w:line="400" w:lineRule="exact"/>
              <w:ind w:firstLine="422"/>
              <w:jc w:val="center"/>
              <w:rPr>
                <w:rFonts w:hint="eastAsia"/>
                <w:b/>
                <w:bCs/>
                <w:color w:val="auto"/>
                <w:sz w:val="21"/>
                <w:szCs w:val="21"/>
                <w:u w:val="none" w:color="auto"/>
              </w:rPr>
            </w:pPr>
            <w:r>
              <w:rPr>
                <w:rFonts w:hint="eastAsia"/>
                <w:b/>
                <w:bCs/>
                <w:color w:val="auto"/>
                <w:sz w:val="21"/>
                <w:szCs w:val="21"/>
                <w:u w:val="none" w:color="auto"/>
              </w:rPr>
              <w:t>表2-2产品方案一览表</w:t>
            </w:r>
          </w:p>
          <w:tbl>
            <w:tblPr>
              <w:tblStyle w:val="28"/>
              <w:tblW w:w="8380" w:type="dxa"/>
              <w:tblInd w:w="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04"/>
              <w:gridCol w:w="1563"/>
              <w:gridCol w:w="1181"/>
              <w:gridCol w:w="783"/>
              <w:gridCol w:w="1422"/>
              <w:gridCol w:w="2827"/>
            </w:tblGrid>
            <w:tr w14:paraId="5F041B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0" w:type="pct"/>
                  <w:tcBorders>
                    <w:tl2br w:val="nil"/>
                    <w:tr2bl w:val="nil"/>
                  </w:tcBorders>
                  <w:noWrap w:val="0"/>
                  <w:vAlign w:val="center"/>
                </w:tcPr>
                <w:p w14:paraId="6F02B2CE">
                  <w:pPr>
                    <w:spacing w:line="240" w:lineRule="auto"/>
                    <w:ind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序号</w:t>
                  </w:r>
                </w:p>
              </w:tc>
              <w:tc>
                <w:tcPr>
                  <w:tcW w:w="932" w:type="pct"/>
                  <w:tcBorders>
                    <w:tl2br w:val="nil"/>
                    <w:tr2bl w:val="nil"/>
                  </w:tcBorders>
                  <w:noWrap w:val="0"/>
                  <w:vAlign w:val="center"/>
                </w:tcPr>
                <w:p w14:paraId="6B61F93C">
                  <w:pPr>
                    <w:spacing w:line="240" w:lineRule="auto"/>
                    <w:ind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产品名称</w:t>
                  </w:r>
                </w:p>
              </w:tc>
              <w:tc>
                <w:tcPr>
                  <w:tcW w:w="704" w:type="pct"/>
                  <w:tcBorders>
                    <w:tl2br w:val="nil"/>
                    <w:tr2bl w:val="nil"/>
                  </w:tcBorders>
                  <w:noWrap w:val="0"/>
                  <w:vAlign w:val="center"/>
                </w:tcPr>
                <w:p w14:paraId="7157D8A3">
                  <w:pPr>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rPr>
                    <w:t>产量</w:t>
                  </w:r>
                  <w:r>
                    <w:rPr>
                      <w:rFonts w:hint="eastAsia" w:ascii="Times New Roman" w:hAnsi="Times New Roman" w:eastAsia="宋体" w:cs="Times New Roman"/>
                      <w:color w:val="auto"/>
                      <w:sz w:val="21"/>
                      <w:szCs w:val="21"/>
                      <w:u w:val="none" w:color="auto"/>
                      <w:lang w:val="en-US" w:eastAsia="zh-CN"/>
                    </w:rPr>
                    <w:t>/年</w:t>
                  </w:r>
                </w:p>
              </w:tc>
              <w:tc>
                <w:tcPr>
                  <w:tcW w:w="467" w:type="pct"/>
                  <w:tcBorders>
                    <w:tl2br w:val="nil"/>
                    <w:tr2bl w:val="nil"/>
                  </w:tcBorders>
                  <w:noWrap w:val="0"/>
                  <w:vAlign w:val="center"/>
                </w:tcPr>
                <w:p w14:paraId="7BE8B9AB">
                  <w:pPr>
                    <w:spacing w:line="240" w:lineRule="auto"/>
                    <w:ind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规格</w:t>
                  </w:r>
                </w:p>
              </w:tc>
              <w:tc>
                <w:tcPr>
                  <w:tcW w:w="848" w:type="pct"/>
                  <w:tcBorders>
                    <w:tl2br w:val="nil"/>
                    <w:tr2bl w:val="nil"/>
                  </w:tcBorders>
                  <w:noWrap w:val="0"/>
                  <w:vAlign w:val="center"/>
                </w:tcPr>
                <w:p w14:paraId="49C64DBA">
                  <w:pPr>
                    <w:spacing w:line="240" w:lineRule="auto"/>
                    <w:ind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电容量</w:t>
                  </w:r>
                </w:p>
              </w:tc>
              <w:tc>
                <w:tcPr>
                  <w:tcW w:w="1686" w:type="pct"/>
                  <w:tcBorders>
                    <w:tl2br w:val="nil"/>
                    <w:tr2bl w:val="nil"/>
                  </w:tcBorders>
                  <w:noWrap w:val="0"/>
                  <w:vAlign w:val="center"/>
                </w:tcPr>
                <w:p w14:paraId="7DD37A95">
                  <w:pPr>
                    <w:spacing w:line="240" w:lineRule="auto"/>
                    <w:ind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产品质量</w:t>
                  </w:r>
                  <w:r>
                    <w:rPr>
                      <w:rFonts w:hint="eastAsia" w:cs="Times New Roman"/>
                      <w:color w:val="auto"/>
                      <w:sz w:val="21"/>
                      <w:szCs w:val="21"/>
                      <w:u w:val="none" w:color="auto"/>
                      <w:lang w:eastAsia="zh-CN"/>
                    </w:rPr>
                    <w:t>根据《锂离子电池行业规范条件》规定</w:t>
                  </w:r>
                </w:p>
              </w:tc>
            </w:tr>
            <w:tr w14:paraId="4E2F72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0" w:type="pct"/>
                  <w:tcBorders>
                    <w:tl2br w:val="nil"/>
                    <w:tr2bl w:val="nil"/>
                  </w:tcBorders>
                  <w:noWrap w:val="0"/>
                  <w:vAlign w:val="center"/>
                </w:tcPr>
                <w:p w14:paraId="61597544">
                  <w:pPr>
                    <w:spacing w:line="240" w:lineRule="auto"/>
                    <w:ind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1</w:t>
                  </w:r>
                </w:p>
                <w:p w14:paraId="0C94CC56">
                  <w:pPr>
                    <w:spacing w:line="240" w:lineRule="auto"/>
                    <w:ind w:firstLine="0" w:firstLineChars="0"/>
                    <w:jc w:val="center"/>
                    <w:rPr>
                      <w:rFonts w:hint="eastAsia" w:ascii="Times New Roman" w:hAnsi="Times New Roman" w:eastAsia="宋体" w:cs="Times New Roman"/>
                      <w:color w:val="auto"/>
                      <w:sz w:val="21"/>
                      <w:szCs w:val="21"/>
                      <w:u w:val="none" w:color="auto"/>
                    </w:rPr>
                  </w:pPr>
                </w:p>
              </w:tc>
              <w:tc>
                <w:tcPr>
                  <w:tcW w:w="932" w:type="pct"/>
                  <w:tcBorders>
                    <w:tl2br w:val="nil"/>
                    <w:tr2bl w:val="nil"/>
                  </w:tcBorders>
                  <w:noWrap w:val="0"/>
                  <w:vAlign w:val="center"/>
                </w:tcPr>
                <w:p w14:paraId="3AA1C550">
                  <w:pPr>
                    <w:spacing w:line="240" w:lineRule="auto"/>
                    <w:ind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聚合物</w:t>
                  </w:r>
                  <w:r>
                    <w:rPr>
                      <w:rFonts w:hint="eastAsia" w:ascii="Times New Roman" w:hAnsi="Times New Roman" w:eastAsia="宋体" w:cs="Times New Roman"/>
                      <w:color w:val="auto"/>
                      <w:sz w:val="21"/>
                      <w:szCs w:val="21"/>
                      <w:u w:val="none" w:color="auto"/>
                    </w:rPr>
                    <w:t>锂</w:t>
                  </w:r>
                  <w:r>
                    <w:rPr>
                      <w:rFonts w:hint="eastAsia" w:ascii="Times New Roman" w:hAnsi="Times New Roman" w:eastAsia="宋体" w:cs="Times New Roman"/>
                      <w:color w:val="auto"/>
                      <w:sz w:val="21"/>
                      <w:szCs w:val="21"/>
                      <w:u w:val="none" w:color="auto"/>
                      <w:lang w:val="en-US" w:eastAsia="zh-CN"/>
                    </w:rPr>
                    <w:t>离子</w:t>
                  </w:r>
                  <w:r>
                    <w:rPr>
                      <w:rFonts w:hint="eastAsia" w:ascii="Times New Roman" w:hAnsi="Times New Roman" w:eastAsia="宋体" w:cs="Times New Roman"/>
                      <w:color w:val="auto"/>
                      <w:sz w:val="21"/>
                      <w:szCs w:val="21"/>
                      <w:u w:val="none" w:color="auto"/>
                    </w:rPr>
                    <w:t>电池</w:t>
                  </w:r>
                </w:p>
              </w:tc>
              <w:tc>
                <w:tcPr>
                  <w:tcW w:w="704" w:type="pct"/>
                  <w:tcBorders>
                    <w:tl2br w:val="nil"/>
                    <w:tr2bl w:val="nil"/>
                  </w:tcBorders>
                  <w:noWrap w:val="0"/>
                  <w:vAlign w:val="center"/>
                </w:tcPr>
                <w:p w14:paraId="56DB126C">
                  <w:pPr>
                    <w:spacing w:line="240" w:lineRule="auto"/>
                    <w:ind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15</w:t>
                  </w:r>
                  <w:r>
                    <w:rPr>
                      <w:rFonts w:hint="eastAsia" w:ascii="Times New Roman" w:hAnsi="Times New Roman" w:eastAsia="宋体" w:cs="Times New Roman"/>
                      <w:color w:val="auto"/>
                      <w:sz w:val="21"/>
                      <w:szCs w:val="21"/>
                      <w:u w:val="none" w:color="auto"/>
                    </w:rPr>
                    <w:t>00万只</w:t>
                  </w:r>
                </w:p>
              </w:tc>
              <w:tc>
                <w:tcPr>
                  <w:tcW w:w="467" w:type="pct"/>
                  <w:tcBorders>
                    <w:tl2br w:val="nil"/>
                    <w:tr2bl w:val="nil"/>
                  </w:tcBorders>
                  <w:noWrap w:val="0"/>
                  <w:vAlign w:val="center"/>
                </w:tcPr>
                <w:p w14:paraId="4920D439">
                  <w:pPr>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c>
                <w:tcPr>
                  <w:tcW w:w="848" w:type="pct"/>
                  <w:tcBorders>
                    <w:tl2br w:val="nil"/>
                    <w:tr2bl w:val="nil"/>
                  </w:tcBorders>
                  <w:noWrap w:val="0"/>
                  <w:vAlign w:val="center"/>
                </w:tcPr>
                <w:p w14:paraId="3761F91B">
                  <w:pPr>
                    <w:spacing w:line="240" w:lineRule="auto"/>
                    <w:ind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0.03552</w:t>
                  </w:r>
                  <w:r>
                    <w:rPr>
                      <w:rFonts w:hint="eastAsia" w:ascii="Times New Roman" w:hAnsi="Times New Roman" w:eastAsia="宋体" w:cs="Times New Roman"/>
                      <w:color w:val="auto"/>
                      <w:sz w:val="21"/>
                      <w:szCs w:val="21"/>
                      <w:u w:val="none" w:color="auto"/>
                    </w:rPr>
                    <w:t>GWh</w:t>
                  </w:r>
                </w:p>
              </w:tc>
              <w:tc>
                <w:tcPr>
                  <w:tcW w:w="1686" w:type="pct"/>
                  <w:vMerge w:val="restart"/>
                  <w:tcBorders>
                    <w:tl2br w:val="nil"/>
                    <w:tr2bl w:val="nil"/>
                  </w:tcBorders>
                  <w:noWrap w:val="0"/>
                  <w:vAlign w:val="center"/>
                </w:tcPr>
                <w:p w14:paraId="0A72B190">
                  <w:pPr>
                    <w:spacing w:line="240" w:lineRule="auto"/>
                    <w:ind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消费型单体电池能量密度≥150Wh/kg，电池组能量密度≥120Wh/kg；动力型能量型单体电池能量密度≥120Wh/kg，电池组能量密度≥85Wh/kg；功率型单体电池功率密度≥3000W/kg，电池组功率密度≥2100W/kg；储能型单体电池能量密度≥110Wh/kg，电池组能量密度≥75Wh/kg。</w:t>
                  </w:r>
                </w:p>
              </w:tc>
            </w:tr>
            <w:tr w14:paraId="634FEC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0" w:type="pct"/>
                  <w:tcBorders>
                    <w:tl2br w:val="nil"/>
                    <w:tr2bl w:val="nil"/>
                  </w:tcBorders>
                  <w:noWrap w:val="0"/>
                  <w:vAlign w:val="center"/>
                </w:tcPr>
                <w:p w14:paraId="16A53B4E">
                  <w:pPr>
                    <w:spacing w:line="240" w:lineRule="auto"/>
                    <w:ind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2</w:t>
                  </w:r>
                </w:p>
                <w:p w14:paraId="44692482">
                  <w:pPr>
                    <w:spacing w:line="240" w:lineRule="auto"/>
                    <w:ind w:firstLine="0" w:firstLineChars="0"/>
                    <w:jc w:val="center"/>
                    <w:rPr>
                      <w:rFonts w:hint="eastAsia" w:ascii="Times New Roman" w:hAnsi="Times New Roman" w:eastAsia="宋体" w:cs="Times New Roman"/>
                      <w:color w:val="auto"/>
                      <w:sz w:val="21"/>
                      <w:szCs w:val="21"/>
                      <w:u w:val="none" w:color="auto"/>
                    </w:rPr>
                  </w:pPr>
                </w:p>
              </w:tc>
              <w:tc>
                <w:tcPr>
                  <w:tcW w:w="932" w:type="pct"/>
                  <w:tcBorders>
                    <w:tl2br w:val="nil"/>
                    <w:tr2bl w:val="nil"/>
                  </w:tcBorders>
                  <w:noWrap w:val="0"/>
                  <w:vAlign w:val="center"/>
                </w:tcPr>
                <w:p w14:paraId="2BF9095A">
                  <w:pPr>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铝（钢）壳锂离子电池</w:t>
                  </w:r>
                </w:p>
              </w:tc>
              <w:tc>
                <w:tcPr>
                  <w:tcW w:w="704" w:type="pct"/>
                  <w:tcBorders>
                    <w:tl2br w:val="nil"/>
                    <w:tr2bl w:val="nil"/>
                  </w:tcBorders>
                  <w:noWrap w:val="0"/>
                  <w:vAlign w:val="center"/>
                </w:tcPr>
                <w:p w14:paraId="35930567">
                  <w:pPr>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12</w:t>
                  </w:r>
                  <w:r>
                    <w:rPr>
                      <w:rFonts w:hint="eastAsia" w:ascii="Times New Roman" w:hAnsi="Times New Roman" w:eastAsia="宋体" w:cs="Times New Roman"/>
                      <w:color w:val="auto"/>
                      <w:sz w:val="21"/>
                      <w:szCs w:val="21"/>
                      <w:u w:val="none" w:color="auto"/>
                    </w:rPr>
                    <w:t>00万只</w:t>
                  </w:r>
                </w:p>
              </w:tc>
              <w:tc>
                <w:tcPr>
                  <w:tcW w:w="467" w:type="pct"/>
                  <w:tcBorders>
                    <w:tl2br w:val="nil"/>
                    <w:tr2bl w:val="nil"/>
                  </w:tcBorders>
                  <w:noWrap w:val="0"/>
                  <w:vAlign w:val="center"/>
                </w:tcPr>
                <w:p w14:paraId="0B8531FB">
                  <w:pPr>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c>
                <w:tcPr>
                  <w:tcW w:w="848" w:type="pct"/>
                  <w:tcBorders>
                    <w:tl2br w:val="nil"/>
                    <w:tr2bl w:val="nil"/>
                  </w:tcBorders>
                  <w:noWrap w:val="0"/>
                  <w:vAlign w:val="center"/>
                </w:tcPr>
                <w:p w14:paraId="762B8002">
                  <w:pPr>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0.02664</w:t>
                  </w:r>
                  <w:r>
                    <w:rPr>
                      <w:rFonts w:hint="eastAsia" w:ascii="Times New Roman" w:hAnsi="Times New Roman" w:eastAsia="宋体" w:cs="Times New Roman"/>
                      <w:color w:val="auto"/>
                      <w:sz w:val="21"/>
                      <w:szCs w:val="21"/>
                      <w:u w:val="none" w:color="auto"/>
                    </w:rPr>
                    <w:t>GWh</w:t>
                  </w:r>
                </w:p>
              </w:tc>
              <w:tc>
                <w:tcPr>
                  <w:tcW w:w="1686" w:type="pct"/>
                  <w:vMerge w:val="continue"/>
                  <w:tcBorders>
                    <w:tl2br w:val="nil"/>
                    <w:tr2bl w:val="nil"/>
                  </w:tcBorders>
                  <w:noWrap w:val="0"/>
                  <w:vAlign w:val="center"/>
                </w:tcPr>
                <w:p w14:paraId="00AE2B72">
                  <w:pPr>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p>
              </w:tc>
            </w:tr>
          </w:tbl>
          <w:p w14:paraId="7C216D49">
            <w:pPr>
              <w:ind w:firstLine="482"/>
              <w:jc w:val="left"/>
              <w:rPr>
                <w:b/>
                <w:bCs/>
                <w:color w:val="auto"/>
                <w:u w:val="none" w:color="auto"/>
              </w:rPr>
            </w:pPr>
            <w:r>
              <w:rPr>
                <w:rFonts w:hint="eastAsia"/>
                <w:b/>
                <w:bCs/>
                <w:color w:val="auto"/>
                <w:u w:val="none" w:color="auto"/>
              </w:rPr>
              <w:t>（三）主要原辅材料</w:t>
            </w:r>
          </w:p>
          <w:p w14:paraId="1AC121EA">
            <w:pPr>
              <w:bidi w:val="0"/>
              <w:rPr>
                <w:rFonts w:hint="eastAsia"/>
                <w:color w:val="auto"/>
                <w:u w:val="none" w:color="auto"/>
              </w:rPr>
            </w:pPr>
            <w:r>
              <w:rPr>
                <w:rFonts w:hint="eastAsia"/>
                <w:color w:val="auto"/>
                <w:u w:val="none" w:color="auto"/>
              </w:rPr>
              <w:t>本项目主要原辅材料见下表2-3。</w:t>
            </w:r>
          </w:p>
          <w:p w14:paraId="197FEB52">
            <w:pPr>
              <w:spacing w:line="400" w:lineRule="exact"/>
              <w:ind w:firstLine="422"/>
              <w:jc w:val="center"/>
              <w:rPr>
                <w:rFonts w:hint="eastAsia"/>
                <w:b/>
                <w:bCs/>
                <w:color w:val="auto"/>
                <w:sz w:val="21"/>
                <w:szCs w:val="21"/>
                <w:u w:val="none" w:color="auto"/>
              </w:rPr>
            </w:pPr>
            <w:r>
              <w:rPr>
                <w:rFonts w:hint="eastAsia"/>
                <w:b/>
                <w:bCs/>
                <w:color w:val="auto"/>
                <w:sz w:val="21"/>
                <w:szCs w:val="21"/>
                <w:u w:val="none" w:color="auto"/>
              </w:rPr>
              <w:t>表2-3主要原辅材料一览表</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
              <w:gridCol w:w="1101"/>
              <w:gridCol w:w="627"/>
              <w:gridCol w:w="898"/>
              <w:gridCol w:w="851"/>
              <w:gridCol w:w="1571"/>
              <w:gridCol w:w="1703"/>
              <w:gridCol w:w="1230"/>
            </w:tblGrid>
            <w:tr w14:paraId="2399E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tcBorders>
                    <w:tl2br w:val="nil"/>
                    <w:tr2bl w:val="nil"/>
                  </w:tcBorders>
                  <w:noWrap w:val="0"/>
                  <w:vAlign w:val="center"/>
                </w:tcPr>
                <w:p w14:paraId="157BB4A0">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序号</w:t>
                  </w:r>
                </w:p>
              </w:tc>
              <w:tc>
                <w:tcPr>
                  <w:tcW w:w="655" w:type="pct"/>
                  <w:tcBorders>
                    <w:tl2br w:val="nil"/>
                    <w:tr2bl w:val="nil"/>
                  </w:tcBorders>
                  <w:noWrap w:val="0"/>
                  <w:vAlign w:val="center"/>
                </w:tcPr>
                <w:p w14:paraId="185B834B">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名称</w:t>
                  </w:r>
                </w:p>
              </w:tc>
              <w:tc>
                <w:tcPr>
                  <w:tcW w:w="373" w:type="pct"/>
                  <w:tcBorders>
                    <w:tl2br w:val="nil"/>
                    <w:tr2bl w:val="nil"/>
                  </w:tcBorders>
                  <w:noWrap w:val="0"/>
                  <w:vAlign w:val="center"/>
                </w:tcPr>
                <w:p w14:paraId="5AC0E294">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单位</w:t>
                  </w:r>
                </w:p>
              </w:tc>
              <w:tc>
                <w:tcPr>
                  <w:tcW w:w="534" w:type="pct"/>
                  <w:tcBorders>
                    <w:tl2br w:val="nil"/>
                    <w:tr2bl w:val="nil"/>
                  </w:tcBorders>
                  <w:noWrap w:val="0"/>
                  <w:vAlign w:val="center"/>
                </w:tcPr>
                <w:p w14:paraId="7241EAA4">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年耗量</w:t>
                  </w:r>
                </w:p>
              </w:tc>
              <w:tc>
                <w:tcPr>
                  <w:tcW w:w="506" w:type="pct"/>
                  <w:tcBorders>
                    <w:tl2br w:val="nil"/>
                    <w:tr2bl w:val="nil"/>
                  </w:tcBorders>
                  <w:noWrap w:val="0"/>
                  <w:vAlign w:val="center"/>
                </w:tcPr>
                <w:p w14:paraId="64C54778">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最大暂存量</w:t>
                  </w:r>
                </w:p>
              </w:tc>
              <w:tc>
                <w:tcPr>
                  <w:tcW w:w="934" w:type="pct"/>
                  <w:tcBorders>
                    <w:tl2br w:val="nil"/>
                    <w:tr2bl w:val="nil"/>
                  </w:tcBorders>
                  <w:noWrap w:val="0"/>
                  <w:vAlign w:val="center"/>
                </w:tcPr>
                <w:p w14:paraId="37BDE4F2">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用途</w:t>
                  </w:r>
                </w:p>
              </w:tc>
              <w:tc>
                <w:tcPr>
                  <w:tcW w:w="1013" w:type="pct"/>
                  <w:tcBorders>
                    <w:tl2br w:val="nil"/>
                    <w:tr2bl w:val="nil"/>
                  </w:tcBorders>
                  <w:noWrap w:val="0"/>
                  <w:vAlign w:val="center"/>
                </w:tcPr>
                <w:p w14:paraId="7418A026">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包装方式及形态</w:t>
                  </w:r>
                </w:p>
              </w:tc>
              <w:tc>
                <w:tcPr>
                  <w:tcW w:w="731" w:type="pct"/>
                  <w:tcBorders>
                    <w:tl2br w:val="nil"/>
                    <w:tr2bl w:val="nil"/>
                  </w:tcBorders>
                  <w:noWrap w:val="0"/>
                  <w:vAlign w:val="center"/>
                </w:tcPr>
                <w:p w14:paraId="60D8DE19">
                  <w:pPr>
                    <w:spacing w:line="240" w:lineRule="auto"/>
                    <w:ind w:left="0" w:leftChars="0" w:firstLine="0" w:firstLineChars="0"/>
                    <w:jc w:val="center"/>
                    <w:rPr>
                      <w:rFonts w:hint="eastAsia" w:ascii="Times New Roman" w:hAnsi="Times New Roman" w:eastAsia="宋体" w:cs="Times New Roman"/>
                      <w:color w:val="auto"/>
                      <w:sz w:val="21"/>
                      <w:szCs w:val="21"/>
                      <w:u w:val="none" w:color="auto"/>
                      <w:lang w:eastAsia="zh-CN"/>
                    </w:rPr>
                  </w:pPr>
                  <w:r>
                    <w:rPr>
                      <w:rFonts w:hint="eastAsia" w:cs="Times New Roman"/>
                      <w:color w:val="auto"/>
                      <w:sz w:val="21"/>
                      <w:szCs w:val="21"/>
                      <w:u w:val="none" w:color="auto"/>
                      <w:lang w:eastAsia="zh-CN"/>
                    </w:rPr>
                    <w:t>暂存位置</w:t>
                  </w:r>
                </w:p>
              </w:tc>
            </w:tr>
            <w:tr w14:paraId="25C2C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tcBorders>
                    <w:tl2br w:val="nil"/>
                    <w:tr2bl w:val="nil"/>
                  </w:tcBorders>
                  <w:noWrap w:val="0"/>
                  <w:vAlign w:val="center"/>
                </w:tcPr>
                <w:p w14:paraId="667E3B8B">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rPr>
                    <w:t>1</w:t>
                  </w:r>
                </w:p>
              </w:tc>
              <w:tc>
                <w:tcPr>
                  <w:tcW w:w="655" w:type="pct"/>
                  <w:tcBorders>
                    <w:tl2br w:val="nil"/>
                    <w:tr2bl w:val="nil"/>
                  </w:tcBorders>
                  <w:noWrap w:val="0"/>
                  <w:vAlign w:val="center"/>
                </w:tcPr>
                <w:p w14:paraId="381E2BC7">
                  <w:pPr>
                    <w:spacing w:line="240" w:lineRule="auto"/>
                    <w:ind w:left="0" w:leftChars="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钴酸锂</w:t>
                  </w:r>
                </w:p>
              </w:tc>
              <w:tc>
                <w:tcPr>
                  <w:tcW w:w="373" w:type="pct"/>
                  <w:tcBorders>
                    <w:tl2br w:val="nil"/>
                    <w:tr2bl w:val="nil"/>
                  </w:tcBorders>
                  <w:noWrap w:val="0"/>
                  <w:vAlign w:val="center"/>
                </w:tcPr>
                <w:p w14:paraId="29AF5FB0">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t/a</w:t>
                  </w:r>
                </w:p>
              </w:tc>
              <w:tc>
                <w:tcPr>
                  <w:tcW w:w="534" w:type="pct"/>
                  <w:tcBorders>
                    <w:tl2br w:val="nil"/>
                    <w:tr2bl w:val="nil"/>
                  </w:tcBorders>
                  <w:noWrap w:val="0"/>
                  <w:vAlign w:val="center"/>
                </w:tcPr>
                <w:p w14:paraId="47222EB2">
                  <w:pPr>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11</w:t>
                  </w:r>
                </w:p>
              </w:tc>
              <w:tc>
                <w:tcPr>
                  <w:tcW w:w="506" w:type="pct"/>
                  <w:tcBorders>
                    <w:tl2br w:val="nil"/>
                    <w:tr2bl w:val="nil"/>
                  </w:tcBorders>
                  <w:noWrap w:val="0"/>
                  <w:vAlign w:val="center"/>
                </w:tcPr>
                <w:p w14:paraId="6AA61687">
                  <w:pPr>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0.5</w:t>
                  </w:r>
                </w:p>
              </w:tc>
              <w:tc>
                <w:tcPr>
                  <w:tcW w:w="934" w:type="pct"/>
                  <w:tcBorders>
                    <w:tl2br w:val="nil"/>
                    <w:tr2bl w:val="nil"/>
                  </w:tcBorders>
                  <w:noWrap w:val="0"/>
                  <w:vAlign w:val="center"/>
                </w:tcPr>
                <w:p w14:paraId="7D533DE1">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用于正极搅拌</w:t>
                  </w:r>
                </w:p>
              </w:tc>
              <w:tc>
                <w:tcPr>
                  <w:tcW w:w="1013" w:type="pct"/>
                  <w:tcBorders>
                    <w:tl2br w:val="nil"/>
                    <w:tr2bl w:val="nil"/>
                  </w:tcBorders>
                  <w:noWrap w:val="0"/>
                  <w:vAlign w:val="center"/>
                </w:tcPr>
                <w:p w14:paraId="6231F7C6">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粉状，真空包装</w:t>
                  </w:r>
                </w:p>
              </w:tc>
              <w:tc>
                <w:tcPr>
                  <w:tcW w:w="731" w:type="pct"/>
                  <w:tcBorders>
                    <w:tl2br w:val="nil"/>
                    <w:tr2bl w:val="nil"/>
                  </w:tcBorders>
                  <w:noWrap w:val="0"/>
                  <w:vAlign w:val="center"/>
                </w:tcPr>
                <w:p w14:paraId="36AAEAEA">
                  <w:pPr>
                    <w:spacing w:line="240" w:lineRule="auto"/>
                    <w:ind w:left="0" w:leftChars="0" w:firstLine="0" w:firstLineChars="0"/>
                    <w:jc w:val="center"/>
                    <w:rPr>
                      <w:rFonts w:hint="eastAsia" w:ascii="Times New Roman" w:hAnsi="Times New Roman" w:eastAsia="宋体" w:cs="Times New Roman"/>
                      <w:color w:val="auto"/>
                      <w:sz w:val="21"/>
                      <w:szCs w:val="21"/>
                      <w:u w:val="none" w:color="auto"/>
                      <w:lang w:eastAsia="zh-CN"/>
                    </w:rPr>
                  </w:pPr>
                  <w:r>
                    <w:rPr>
                      <w:rFonts w:hint="eastAsia" w:cs="Times New Roman"/>
                      <w:color w:val="auto"/>
                      <w:sz w:val="21"/>
                      <w:szCs w:val="21"/>
                      <w:u w:val="none" w:color="auto"/>
                      <w:lang w:eastAsia="zh-CN"/>
                    </w:rPr>
                    <w:t>一楼仓库</w:t>
                  </w:r>
                </w:p>
              </w:tc>
            </w:tr>
            <w:tr w14:paraId="61D0A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50" w:type="pct"/>
                  <w:tcBorders>
                    <w:tl2br w:val="nil"/>
                    <w:tr2bl w:val="nil"/>
                  </w:tcBorders>
                  <w:noWrap w:val="0"/>
                  <w:vAlign w:val="center"/>
                </w:tcPr>
                <w:p w14:paraId="2810CC13">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rPr>
                    <w:t>2</w:t>
                  </w:r>
                </w:p>
              </w:tc>
              <w:tc>
                <w:tcPr>
                  <w:tcW w:w="655" w:type="pct"/>
                  <w:tcBorders>
                    <w:tl2br w:val="nil"/>
                    <w:tr2bl w:val="nil"/>
                  </w:tcBorders>
                  <w:noWrap w:val="0"/>
                  <w:vAlign w:val="center"/>
                </w:tcPr>
                <w:p w14:paraId="50FE0D2E">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镍钴锰酸锂</w:t>
                  </w:r>
                </w:p>
              </w:tc>
              <w:tc>
                <w:tcPr>
                  <w:tcW w:w="373" w:type="pct"/>
                  <w:tcBorders>
                    <w:tl2br w:val="nil"/>
                    <w:tr2bl w:val="nil"/>
                  </w:tcBorders>
                  <w:noWrap w:val="0"/>
                  <w:vAlign w:val="center"/>
                </w:tcPr>
                <w:p w14:paraId="2BC161D0">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t/a</w:t>
                  </w:r>
                </w:p>
              </w:tc>
              <w:tc>
                <w:tcPr>
                  <w:tcW w:w="534" w:type="pct"/>
                  <w:tcBorders>
                    <w:tl2br w:val="nil"/>
                    <w:tr2bl w:val="nil"/>
                  </w:tcBorders>
                  <w:noWrap w:val="0"/>
                  <w:vAlign w:val="center"/>
                </w:tcPr>
                <w:p w14:paraId="55364F6F">
                  <w:pPr>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42</w:t>
                  </w:r>
                </w:p>
              </w:tc>
              <w:tc>
                <w:tcPr>
                  <w:tcW w:w="506" w:type="pct"/>
                  <w:tcBorders>
                    <w:tl2br w:val="nil"/>
                    <w:tr2bl w:val="nil"/>
                  </w:tcBorders>
                  <w:noWrap w:val="0"/>
                  <w:vAlign w:val="center"/>
                </w:tcPr>
                <w:p w14:paraId="0CE79C3F">
                  <w:pPr>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1.5</w:t>
                  </w:r>
                </w:p>
              </w:tc>
              <w:tc>
                <w:tcPr>
                  <w:tcW w:w="934" w:type="pct"/>
                  <w:tcBorders>
                    <w:tl2br w:val="nil"/>
                    <w:tr2bl w:val="nil"/>
                  </w:tcBorders>
                  <w:noWrap w:val="0"/>
                  <w:vAlign w:val="center"/>
                </w:tcPr>
                <w:p w14:paraId="606184DA">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用于正极搅拌</w:t>
                  </w:r>
                </w:p>
              </w:tc>
              <w:tc>
                <w:tcPr>
                  <w:tcW w:w="1013" w:type="pct"/>
                  <w:tcBorders>
                    <w:tl2br w:val="nil"/>
                    <w:tr2bl w:val="nil"/>
                  </w:tcBorders>
                  <w:noWrap w:val="0"/>
                  <w:vAlign w:val="center"/>
                </w:tcPr>
                <w:p w14:paraId="28DB2456">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粉状，真空包装</w:t>
                  </w:r>
                </w:p>
              </w:tc>
              <w:tc>
                <w:tcPr>
                  <w:tcW w:w="731" w:type="pct"/>
                  <w:tcBorders>
                    <w:tl2br w:val="nil"/>
                    <w:tr2bl w:val="nil"/>
                  </w:tcBorders>
                  <w:noWrap w:val="0"/>
                  <w:vAlign w:val="center"/>
                </w:tcPr>
                <w:p w14:paraId="0AD36444">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cs="Times New Roman"/>
                      <w:color w:val="auto"/>
                      <w:sz w:val="21"/>
                      <w:szCs w:val="21"/>
                      <w:u w:val="none" w:color="auto"/>
                      <w:lang w:eastAsia="zh-CN"/>
                    </w:rPr>
                    <w:t>一楼仓库</w:t>
                  </w:r>
                </w:p>
              </w:tc>
            </w:tr>
            <w:tr w14:paraId="733FD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tcBorders>
                    <w:tl2br w:val="nil"/>
                    <w:tr2bl w:val="nil"/>
                  </w:tcBorders>
                  <w:noWrap w:val="0"/>
                  <w:vAlign w:val="center"/>
                </w:tcPr>
                <w:p w14:paraId="573B8F93">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rPr>
                    <w:t>3</w:t>
                  </w:r>
                </w:p>
              </w:tc>
              <w:tc>
                <w:tcPr>
                  <w:tcW w:w="655" w:type="pct"/>
                  <w:tcBorders>
                    <w:tl2br w:val="nil"/>
                    <w:tr2bl w:val="nil"/>
                  </w:tcBorders>
                  <w:noWrap w:val="0"/>
                  <w:vAlign w:val="center"/>
                </w:tcPr>
                <w:p w14:paraId="3B7935D6">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锰酸锂</w:t>
                  </w:r>
                </w:p>
              </w:tc>
              <w:tc>
                <w:tcPr>
                  <w:tcW w:w="373" w:type="pct"/>
                  <w:tcBorders>
                    <w:tl2br w:val="nil"/>
                    <w:tr2bl w:val="nil"/>
                  </w:tcBorders>
                  <w:noWrap w:val="0"/>
                  <w:vAlign w:val="center"/>
                </w:tcPr>
                <w:p w14:paraId="1D4252B8">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t/a</w:t>
                  </w:r>
                </w:p>
              </w:tc>
              <w:tc>
                <w:tcPr>
                  <w:tcW w:w="534" w:type="pct"/>
                  <w:tcBorders>
                    <w:tl2br w:val="nil"/>
                    <w:tr2bl w:val="nil"/>
                  </w:tcBorders>
                  <w:noWrap w:val="0"/>
                  <w:vAlign w:val="center"/>
                </w:tcPr>
                <w:p w14:paraId="1EBB1C78">
                  <w:pPr>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70</w:t>
                  </w:r>
                </w:p>
              </w:tc>
              <w:tc>
                <w:tcPr>
                  <w:tcW w:w="506" w:type="pct"/>
                  <w:tcBorders>
                    <w:tl2br w:val="nil"/>
                    <w:tr2bl w:val="nil"/>
                  </w:tcBorders>
                  <w:noWrap w:val="0"/>
                  <w:vAlign w:val="center"/>
                </w:tcPr>
                <w:p w14:paraId="6FFEA27E">
                  <w:pPr>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w:t>
                  </w:r>
                </w:p>
              </w:tc>
              <w:tc>
                <w:tcPr>
                  <w:tcW w:w="934" w:type="pct"/>
                  <w:tcBorders>
                    <w:tl2br w:val="nil"/>
                    <w:tr2bl w:val="nil"/>
                  </w:tcBorders>
                  <w:noWrap w:val="0"/>
                  <w:vAlign w:val="center"/>
                </w:tcPr>
                <w:p w14:paraId="5048A215">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用于正极搅拌</w:t>
                  </w:r>
                </w:p>
              </w:tc>
              <w:tc>
                <w:tcPr>
                  <w:tcW w:w="1013" w:type="pct"/>
                  <w:tcBorders>
                    <w:tl2br w:val="nil"/>
                    <w:tr2bl w:val="nil"/>
                  </w:tcBorders>
                  <w:noWrap w:val="0"/>
                  <w:vAlign w:val="center"/>
                </w:tcPr>
                <w:p w14:paraId="37C788AA">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粉状，真空包装</w:t>
                  </w:r>
                </w:p>
              </w:tc>
              <w:tc>
                <w:tcPr>
                  <w:tcW w:w="731" w:type="pct"/>
                  <w:tcBorders>
                    <w:tl2br w:val="nil"/>
                    <w:tr2bl w:val="nil"/>
                  </w:tcBorders>
                  <w:noWrap w:val="0"/>
                  <w:vAlign w:val="center"/>
                </w:tcPr>
                <w:p w14:paraId="73C9528F">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cs="Times New Roman"/>
                      <w:color w:val="auto"/>
                      <w:sz w:val="21"/>
                      <w:szCs w:val="21"/>
                      <w:u w:val="none" w:color="auto"/>
                      <w:lang w:eastAsia="zh-CN"/>
                    </w:rPr>
                    <w:t>一楼仓库</w:t>
                  </w:r>
                </w:p>
              </w:tc>
            </w:tr>
            <w:tr w14:paraId="59EE1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tcBorders>
                    <w:tl2br w:val="nil"/>
                    <w:tr2bl w:val="nil"/>
                  </w:tcBorders>
                  <w:noWrap w:val="0"/>
                  <w:vAlign w:val="center"/>
                </w:tcPr>
                <w:p w14:paraId="7D1D3A0F">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rPr>
                    <w:t>4</w:t>
                  </w:r>
                </w:p>
              </w:tc>
              <w:tc>
                <w:tcPr>
                  <w:tcW w:w="655" w:type="pct"/>
                  <w:tcBorders>
                    <w:tl2br w:val="nil"/>
                    <w:tr2bl w:val="nil"/>
                  </w:tcBorders>
                  <w:noWrap w:val="0"/>
                  <w:vAlign w:val="center"/>
                </w:tcPr>
                <w:p w14:paraId="38551310">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铜箔</w:t>
                  </w:r>
                </w:p>
              </w:tc>
              <w:tc>
                <w:tcPr>
                  <w:tcW w:w="373" w:type="pct"/>
                  <w:tcBorders>
                    <w:tl2br w:val="nil"/>
                    <w:tr2bl w:val="nil"/>
                  </w:tcBorders>
                  <w:noWrap w:val="0"/>
                  <w:vAlign w:val="center"/>
                </w:tcPr>
                <w:p w14:paraId="5A7FEA0A">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t/a</w:t>
                  </w:r>
                </w:p>
              </w:tc>
              <w:tc>
                <w:tcPr>
                  <w:tcW w:w="534" w:type="pct"/>
                  <w:tcBorders>
                    <w:tl2br w:val="nil"/>
                    <w:tr2bl w:val="nil"/>
                  </w:tcBorders>
                  <w:noWrap w:val="0"/>
                  <w:vAlign w:val="center"/>
                </w:tcPr>
                <w:p w14:paraId="5563241D">
                  <w:pPr>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13</w:t>
                  </w:r>
                </w:p>
              </w:tc>
              <w:tc>
                <w:tcPr>
                  <w:tcW w:w="506" w:type="pct"/>
                  <w:tcBorders>
                    <w:tl2br w:val="nil"/>
                    <w:tr2bl w:val="nil"/>
                  </w:tcBorders>
                  <w:noWrap w:val="0"/>
                  <w:vAlign w:val="center"/>
                </w:tcPr>
                <w:p w14:paraId="6DBD57CA">
                  <w:pPr>
                    <w:spacing w:line="240" w:lineRule="auto"/>
                    <w:ind w:left="0" w:leftChars="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w:t>
                  </w:r>
                </w:p>
              </w:tc>
              <w:tc>
                <w:tcPr>
                  <w:tcW w:w="934" w:type="pct"/>
                  <w:tcBorders>
                    <w:tl2br w:val="nil"/>
                    <w:tr2bl w:val="nil"/>
                  </w:tcBorders>
                  <w:noWrap w:val="0"/>
                  <w:vAlign w:val="center"/>
                </w:tcPr>
                <w:p w14:paraId="6AE39237">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用于负极涂布</w:t>
                  </w:r>
                </w:p>
              </w:tc>
              <w:tc>
                <w:tcPr>
                  <w:tcW w:w="1013" w:type="pct"/>
                  <w:tcBorders>
                    <w:tl2br w:val="nil"/>
                    <w:tr2bl w:val="nil"/>
                  </w:tcBorders>
                  <w:noWrap w:val="0"/>
                  <w:vAlign w:val="center"/>
                </w:tcPr>
                <w:p w14:paraId="1D99701C">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固体，木箱装</w:t>
                  </w:r>
                </w:p>
              </w:tc>
              <w:tc>
                <w:tcPr>
                  <w:tcW w:w="731" w:type="pct"/>
                  <w:tcBorders>
                    <w:tl2br w:val="nil"/>
                    <w:tr2bl w:val="nil"/>
                  </w:tcBorders>
                  <w:noWrap w:val="0"/>
                  <w:vAlign w:val="center"/>
                </w:tcPr>
                <w:p w14:paraId="31961C00">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cs="Times New Roman"/>
                      <w:color w:val="auto"/>
                      <w:sz w:val="21"/>
                      <w:szCs w:val="21"/>
                      <w:u w:val="none" w:color="auto"/>
                      <w:lang w:eastAsia="zh-CN"/>
                    </w:rPr>
                    <w:t>一楼仓库</w:t>
                  </w:r>
                </w:p>
              </w:tc>
            </w:tr>
            <w:tr w14:paraId="61795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tcBorders>
                    <w:tl2br w:val="nil"/>
                    <w:tr2bl w:val="nil"/>
                  </w:tcBorders>
                  <w:noWrap w:val="0"/>
                  <w:vAlign w:val="center"/>
                </w:tcPr>
                <w:p w14:paraId="2AF84077">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rPr>
                    <w:t>5</w:t>
                  </w:r>
                </w:p>
              </w:tc>
              <w:tc>
                <w:tcPr>
                  <w:tcW w:w="655" w:type="pct"/>
                  <w:tcBorders>
                    <w:tl2br w:val="nil"/>
                    <w:tr2bl w:val="nil"/>
                  </w:tcBorders>
                  <w:noWrap w:val="0"/>
                  <w:vAlign w:val="center"/>
                </w:tcPr>
                <w:p w14:paraId="10807948">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铝箔</w:t>
                  </w:r>
                </w:p>
              </w:tc>
              <w:tc>
                <w:tcPr>
                  <w:tcW w:w="373" w:type="pct"/>
                  <w:tcBorders>
                    <w:tl2br w:val="nil"/>
                    <w:tr2bl w:val="nil"/>
                  </w:tcBorders>
                  <w:noWrap w:val="0"/>
                  <w:vAlign w:val="center"/>
                </w:tcPr>
                <w:p w14:paraId="4AB1454F">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t/a</w:t>
                  </w:r>
                </w:p>
              </w:tc>
              <w:tc>
                <w:tcPr>
                  <w:tcW w:w="534" w:type="pct"/>
                  <w:tcBorders>
                    <w:tl2br w:val="nil"/>
                    <w:tr2bl w:val="nil"/>
                  </w:tcBorders>
                  <w:noWrap w:val="0"/>
                  <w:vAlign w:val="center"/>
                </w:tcPr>
                <w:p w14:paraId="14FE0D7D">
                  <w:pPr>
                    <w:spacing w:line="240" w:lineRule="auto"/>
                    <w:ind w:left="0" w:leftChars="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8</w:t>
                  </w:r>
                </w:p>
              </w:tc>
              <w:tc>
                <w:tcPr>
                  <w:tcW w:w="506" w:type="pct"/>
                  <w:tcBorders>
                    <w:tl2br w:val="nil"/>
                    <w:tr2bl w:val="nil"/>
                  </w:tcBorders>
                  <w:noWrap w:val="0"/>
                  <w:vAlign w:val="center"/>
                </w:tcPr>
                <w:p w14:paraId="1455DE14">
                  <w:pPr>
                    <w:spacing w:line="240" w:lineRule="auto"/>
                    <w:ind w:left="0" w:leftChars="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w:t>
                  </w:r>
                </w:p>
              </w:tc>
              <w:tc>
                <w:tcPr>
                  <w:tcW w:w="934" w:type="pct"/>
                  <w:tcBorders>
                    <w:tl2br w:val="nil"/>
                    <w:tr2bl w:val="nil"/>
                  </w:tcBorders>
                  <w:noWrap w:val="0"/>
                  <w:vAlign w:val="center"/>
                </w:tcPr>
                <w:p w14:paraId="56B45A15">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用于正极涂布</w:t>
                  </w:r>
                </w:p>
              </w:tc>
              <w:tc>
                <w:tcPr>
                  <w:tcW w:w="1013" w:type="pct"/>
                  <w:tcBorders>
                    <w:tl2br w:val="nil"/>
                    <w:tr2bl w:val="nil"/>
                  </w:tcBorders>
                  <w:noWrap w:val="0"/>
                  <w:vAlign w:val="center"/>
                </w:tcPr>
                <w:p w14:paraId="1DB8CBBD">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固体，木箱装</w:t>
                  </w:r>
                </w:p>
              </w:tc>
              <w:tc>
                <w:tcPr>
                  <w:tcW w:w="731" w:type="pct"/>
                  <w:tcBorders>
                    <w:tl2br w:val="nil"/>
                    <w:tr2bl w:val="nil"/>
                  </w:tcBorders>
                  <w:noWrap w:val="0"/>
                  <w:vAlign w:val="center"/>
                </w:tcPr>
                <w:p w14:paraId="30A56709">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cs="Times New Roman"/>
                      <w:color w:val="auto"/>
                      <w:sz w:val="21"/>
                      <w:szCs w:val="21"/>
                      <w:u w:val="none" w:color="auto"/>
                      <w:lang w:eastAsia="zh-CN"/>
                    </w:rPr>
                    <w:t>一楼仓库</w:t>
                  </w:r>
                </w:p>
              </w:tc>
            </w:tr>
            <w:tr w14:paraId="4CC8A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tcBorders>
                    <w:tl2br w:val="nil"/>
                    <w:tr2bl w:val="nil"/>
                  </w:tcBorders>
                  <w:noWrap w:val="0"/>
                  <w:vAlign w:val="center"/>
                </w:tcPr>
                <w:p w14:paraId="30E4B551">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rPr>
                    <w:t>6</w:t>
                  </w:r>
                </w:p>
              </w:tc>
              <w:tc>
                <w:tcPr>
                  <w:tcW w:w="655" w:type="pct"/>
                  <w:tcBorders>
                    <w:tl2br w:val="nil"/>
                    <w:tr2bl w:val="nil"/>
                  </w:tcBorders>
                  <w:noWrap w:val="0"/>
                  <w:vAlign w:val="center"/>
                </w:tcPr>
                <w:p w14:paraId="410EB1D4">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N-甲基吡咯烷酮(NMP)</w:t>
                  </w:r>
                </w:p>
              </w:tc>
              <w:tc>
                <w:tcPr>
                  <w:tcW w:w="373" w:type="pct"/>
                  <w:tcBorders>
                    <w:tl2br w:val="nil"/>
                    <w:tr2bl w:val="nil"/>
                  </w:tcBorders>
                  <w:noWrap w:val="0"/>
                  <w:vAlign w:val="center"/>
                </w:tcPr>
                <w:p w14:paraId="6142F878">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t/a</w:t>
                  </w:r>
                </w:p>
              </w:tc>
              <w:tc>
                <w:tcPr>
                  <w:tcW w:w="534" w:type="pct"/>
                  <w:tcBorders>
                    <w:tl2br w:val="nil"/>
                    <w:tr2bl w:val="nil"/>
                  </w:tcBorders>
                  <w:noWrap w:val="0"/>
                  <w:vAlign w:val="center"/>
                </w:tcPr>
                <w:p w14:paraId="139E14AC">
                  <w:pPr>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13</w:t>
                  </w:r>
                </w:p>
              </w:tc>
              <w:tc>
                <w:tcPr>
                  <w:tcW w:w="506" w:type="pct"/>
                  <w:tcBorders>
                    <w:tl2br w:val="nil"/>
                    <w:tr2bl w:val="nil"/>
                  </w:tcBorders>
                  <w:noWrap w:val="0"/>
                  <w:vAlign w:val="center"/>
                </w:tcPr>
                <w:p w14:paraId="3B9F22AD">
                  <w:pPr>
                    <w:spacing w:line="240" w:lineRule="auto"/>
                    <w:ind w:left="0" w:leftChars="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w:t>
                  </w:r>
                </w:p>
              </w:tc>
              <w:tc>
                <w:tcPr>
                  <w:tcW w:w="934" w:type="pct"/>
                  <w:tcBorders>
                    <w:tl2br w:val="nil"/>
                    <w:tr2bl w:val="nil"/>
                  </w:tcBorders>
                  <w:noWrap w:val="0"/>
                  <w:vAlign w:val="center"/>
                </w:tcPr>
                <w:p w14:paraId="27DE46D8">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用于正极搅拌</w:t>
                  </w:r>
                </w:p>
              </w:tc>
              <w:tc>
                <w:tcPr>
                  <w:tcW w:w="1013" w:type="pct"/>
                  <w:tcBorders>
                    <w:tl2br w:val="nil"/>
                    <w:tr2bl w:val="nil"/>
                  </w:tcBorders>
                  <w:noWrap w:val="0"/>
                  <w:vAlign w:val="center"/>
                </w:tcPr>
                <w:p w14:paraId="6FE75023">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液体，不锈钢桶装</w:t>
                  </w:r>
                </w:p>
              </w:tc>
              <w:tc>
                <w:tcPr>
                  <w:tcW w:w="731" w:type="pct"/>
                  <w:tcBorders>
                    <w:tl2br w:val="nil"/>
                    <w:tr2bl w:val="nil"/>
                  </w:tcBorders>
                  <w:noWrap w:val="0"/>
                  <w:vAlign w:val="center"/>
                </w:tcPr>
                <w:p w14:paraId="0274F3A8">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cs="Times New Roman"/>
                      <w:color w:val="auto"/>
                      <w:sz w:val="21"/>
                      <w:szCs w:val="21"/>
                      <w:u w:val="none" w:color="auto"/>
                      <w:lang w:eastAsia="zh-CN"/>
                    </w:rPr>
                    <w:t>一楼仓库</w:t>
                  </w:r>
                </w:p>
              </w:tc>
            </w:tr>
            <w:tr w14:paraId="7582B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tcBorders>
                    <w:tl2br w:val="nil"/>
                    <w:tr2bl w:val="nil"/>
                  </w:tcBorders>
                  <w:noWrap w:val="0"/>
                  <w:vAlign w:val="center"/>
                </w:tcPr>
                <w:p w14:paraId="4820B4D4">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rPr>
                    <w:t>7</w:t>
                  </w:r>
                </w:p>
              </w:tc>
              <w:tc>
                <w:tcPr>
                  <w:tcW w:w="655" w:type="pct"/>
                  <w:tcBorders>
                    <w:tl2br w:val="nil"/>
                    <w:tr2bl w:val="nil"/>
                  </w:tcBorders>
                  <w:noWrap w:val="0"/>
                  <w:vAlign w:val="center"/>
                </w:tcPr>
                <w:p w14:paraId="34DB7C29">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PVDF聚偏氟乙烯</w:t>
                  </w:r>
                </w:p>
              </w:tc>
              <w:tc>
                <w:tcPr>
                  <w:tcW w:w="373" w:type="pct"/>
                  <w:tcBorders>
                    <w:tl2br w:val="nil"/>
                    <w:tr2bl w:val="nil"/>
                  </w:tcBorders>
                  <w:noWrap w:val="0"/>
                  <w:vAlign w:val="center"/>
                </w:tcPr>
                <w:p w14:paraId="78665D68">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t/a</w:t>
                  </w:r>
                </w:p>
              </w:tc>
              <w:tc>
                <w:tcPr>
                  <w:tcW w:w="534" w:type="pct"/>
                  <w:tcBorders>
                    <w:tl2br w:val="nil"/>
                    <w:tr2bl w:val="nil"/>
                  </w:tcBorders>
                  <w:noWrap w:val="0"/>
                  <w:vAlign w:val="center"/>
                </w:tcPr>
                <w:p w14:paraId="4394688C">
                  <w:pPr>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1.8</w:t>
                  </w:r>
                </w:p>
              </w:tc>
              <w:tc>
                <w:tcPr>
                  <w:tcW w:w="506" w:type="pct"/>
                  <w:tcBorders>
                    <w:tl2br w:val="nil"/>
                    <w:tr2bl w:val="nil"/>
                  </w:tcBorders>
                  <w:noWrap w:val="0"/>
                  <w:vAlign w:val="center"/>
                </w:tcPr>
                <w:p w14:paraId="65D455A9">
                  <w:pPr>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0.2</w:t>
                  </w:r>
                </w:p>
              </w:tc>
              <w:tc>
                <w:tcPr>
                  <w:tcW w:w="934" w:type="pct"/>
                  <w:tcBorders>
                    <w:tl2br w:val="nil"/>
                    <w:tr2bl w:val="nil"/>
                  </w:tcBorders>
                  <w:noWrap w:val="0"/>
                  <w:vAlign w:val="center"/>
                </w:tcPr>
                <w:p w14:paraId="338592D6">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用于正极搅拌</w:t>
                  </w:r>
                </w:p>
              </w:tc>
              <w:tc>
                <w:tcPr>
                  <w:tcW w:w="1013" w:type="pct"/>
                  <w:tcBorders>
                    <w:tl2br w:val="nil"/>
                    <w:tr2bl w:val="nil"/>
                  </w:tcBorders>
                  <w:noWrap w:val="0"/>
                  <w:vAlign w:val="center"/>
                </w:tcPr>
                <w:p w14:paraId="7F103BFE">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粉状，真空包装</w:t>
                  </w:r>
                </w:p>
              </w:tc>
              <w:tc>
                <w:tcPr>
                  <w:tcW w:w="731" w:type="pct"/>
                  <w:tcBorders>
                    <w:tl2br w:val="nil"/>
                    <w:tr2bl w:val="nil"/>
                  </w:tcBorders>
                  <w:noWrap w:val="0"/>
                  <w:vAlign w:val="center"/>
                </w:tcPr>
                <w:p w14:paraId="49A77177">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cs="Times New Roman"/>
                      <w:color w:val="auto"/>
                      <w:sz w:val="21"/>
                      <w:szCs w:val="21"/>
                      <w:u w:val="none" w:color="auto"/>
                      <w:lang w:eastAsia="zh-CN"/>
                    </w:rPr>
                    <w:t>一楼仓库</w:t>
                  </w:r>
                </w:p>
              </w:tc>
            </w:tr>
            <w:tr w14:paraId="005C1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tcBorders>
                    <w:tl2br w:val="nil"/>
                    <w:tr2bl w:val="nil"/>
                  </w:tcBorders>
                  <w:noWrap w:val="0"/>
                  <w:vAlign w:val="center"/>
                </w:tcPr>
                <w:p w14:paraId="0C30A2C8">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rPr>
                    <w:t>8</w:t>
                  </w:r>
                </w:p>
              </w:tc>
              <w:tc>
                <w:tcPr>
                  <w:tcW w:w="655" w:type="pct"/>
                  <w:tcBorders>
                    <w:tl2br w:val="nil"/>
                    <w:tr2bl w:val="nil"/>
                  </w:tcBorders>
                  <w:noWrap w:val="0"/>
                  <w:vAlign w:val="center"/>
                </w:tcPr>
                <w:p w14:paraId="7575AD8E">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S</w:t>
                  </w:r>
                  <w:r>
                    <w:rPr>
                      <w:rFonts w:hint="eastAsia" w:ascii="Times New Roman" w:hAnsi="Times New Roman" w:eastAsia="宋体" w:cs="Times New Roman"/>
                      <w:color w:val="auto"/>
                      <w:sz w:val="21"/>
                      <w:szCs w:val="21"/>
                      <w:u w:val="none" w:color="auto"/>
                      <w:lang w:val="en-US" w:eastAsia="zh-CN"/>
                    </w:rPr>
                    <w:t>-</w:t>
                  </w:r>
                  <w:r>
                    <w:rPr>
                      <w:rFonts w:hint="eastAsia" w:ascii="Times New Roman" w:hAnsi="Times New Roman" w:eastAsia="宋体" w:cs="Times New Roman"/>
                      <w:color w:val="auto"/>
                      <w:sz w:val="21"/>
                      <w:szCs w:val="21"/>
                      <w:u w:val="none" w:color="auto"/>
                    </w:rPr>
                    <w:t>P导电炭黑</w:t>
                  </w:r>
                </w:p>
              </w:tc>
              <w:tc>
                <w:tcPr>
                  <w:tcW w:w="373" w:type="pct"/>
                  <w:tcBorders>
                    <w:tl2br w:val="nil"/>
                    <w:tr2bl w:val="nil"/>
                  </w:tcBorders>
                  <w:noWrap w:val="0"/>
                  <w:vAlign w:val="center"/>
                </w:tcPr>
                <w:p w14:paraId="626706FA">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t/a</w:t>
                  </w:r>
                </w:p>
              </w:tc>
              <w:tc>
                <w:tcPr>
                  <w:tcW w:w="534" w:type="pct"/>
                  <w:tcBorders>
                    <w:tl2br w:val="nil"/>
                    <w:tr2bl w:val="nil"/>
                  </w:tcBorders>
                  <w:noWrap w:val="0"/>
                  <w:vAlign w:val="center"/>
                </w:tcPr>
                <w:p w14:paraId="7A4D63A4">
                  <w:pPr>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0.7</w:t>
                  </w:r>
                </w:p>
              </w:tc>
              <w:tc>
                <w:tcPr>
                  <w:tcW w:w="506" w:type="pct"/>
                  <w:tcBorders>
                    <w:tl2br w:val="nil"/>
                    <w:tr2bl w:val="nil"/>
                  </w:tcBorders>
                  <w:noWrap w:val="0"/>
                  <w:vAlign w:val="center"/>
                </w:tcPr>
                <w:p w14:paraId="4BF7E1C6">
                  <w:pPr>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0.05</w:t>
                  </w:r>
                </w:p>
              </w:tc>
              <w:tc>
                <w:tcPr>
                  <w:tcW w:w="934" w:type="pct"/>
                  <w:tcBorders>
                    <w:tl2br w:val="nil"/>
                    <w:tr2bl w:val="nil"/>
                  </w:tcBorders>
                  <w:noWrap w:val="0"/>
                  <w:vAlign w:val="center"/>
                </w:tcPr>
                <w:p w14:paraId="0AC70F1B">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用于正极搅拌</w:t>
                  </w:r>
                </w:p>
              </w:tc>
              <w:tc>
                <w:tcPr>
                  <w:tcW w:w="1013" w:type="pct"/>
                  <w:tcBorders>
                    <w:tl2br w:val="nil"/>
                    <w:tr2bl w:val="nil"/>
                  </w:tcBorders>
                  <w:noWrap w:val="0"/>
                  <w:vAlign w:val="center"/>
                </w:tcPr>
                <w:p w14:paraId="029D0607">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粉状，真空包装</w:t>
                  </w:r>
                </w:p>
              </w:tc>
              <w:tc>
                <w:tcPr>
                  <w:tcW w:w="731" w:type="pct"/>
                  <w:tcBorders>
                    <w:tl2br w:val="nil"/>
                    <w:tr2bl w:val="nil"/>
                  </w:tcBorders>
                  <w:noWrap w:val="0"/>
                  <w:vAlign w:val="center"/>
                </w:tcPr>
                <w:p w14:paraId="020FA89A">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cs="Times New Roman"/>
                      <w:color w:val="auto"/>
                      <w:sz w:val="21"/>
                      <w:szCs w:val="21"/>
                      <w:u w:val="none" w:color="auto"/>
                      <w:lang w:eastAsia="zh-CN"/>
                    </w:rPr>
                    <w:t>一楼仓库</w:t>
                  </w:r>
                </w:p>
              </w:tc>
            </w:tr>
            <w:tr w14:paraId="5417D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tcBorders>
                    <w:tl2br w:val="nil"/>
                    <w:tr2bl w:val="nil"/>
                  </w:tcBorders>
                  <w:noWrap w:val="0"/>
                  <w:vAlign w:val="center"/>
                </w:tcPr>
                <w:p w14:paraId="69965BC4">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rPr>
                    <w:t>9</w:t>
                  </w:r>
                </w:p>
              </w:tc>
              <w:tc>
                <w:tcPr>
                  <w:tcW w:w="655" w:type="pct"/>
                  <w:tcBorders>
                    <w:tl2br w:val="nil"/>
                    <w:tr2bl w:val="nil"/>
                  </w:tcBorders>
                  <w:noWrap w:val="0"/>
                  <w:vAlign w:val="center"/>
                </w:tcPr>
                <w:p w14:paraId="61D20F07">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石墨</w:t>
                  </w:r>
                </w:p>
              </w:tc>
              <w:tc>
                <w:tcPr>
                  <w:tcW w:w="373" w:type="pct"/>
                  <w:tcBorders>
                    <w:tl2br w:val="nil"/>
                    <w:tr2bl w:val="nil"/>
                  </w:tcBorders>
                  <w:noWrap w:val="0"/>
                  <w:vAlign w:val="center"/>
                </w:tcPr>
                <w:p w14:paraId="3E1FEC30">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t/a</w:t>
                  </w:r>
                </w:p>
              </w:tc>
              <w:tc>
                <w:tcPr>
                  <w:tcW w:w="534" w:type="pct"/>
                  <w:tcBorders>
                    <w:tl2br w:val="nil"/>
                    <w:tr2bl w:val="nil"/>
                  </w:tcBorders>
                  <w:noWrap w:val="0"/>
                  <w:vAlign w:val="center"/>
                </w:tcPr>
                <w:p w14:paraId="1A954FD5">
                  <w:pPr>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35</w:t>
                  </w:r>
                </w:p>
              </w:tc>
              <w:tc>
                <w:tcPr>
                  <w:tcW w:w="506" w:type="pct"/>
                  <w:tcBorders>
                    <w:tl2br w:val="nil"/>
                    <w:tr2bl w:val="nil"/>
                  </w:tcBorders>
                  <w:noWrap w:val="0"/>
                  <w:vAlign w:val="center"/>
                </w:tcPr>
                <w:p w14:paraId="062ABD11">
                  <w:pPr>
                    <w:spacing w:line="240" w:lineRule="auto"/>
                    <w:ind w:left="0" w:leftChars="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w:t>
                  </w:r>
                </w:p>
              </w:tc>
              <w:tc>
                <w:tcPr>
                  <w:tcW w:w="934" w:type="pct"/>
                  <w:tcBorders>
                    <w:tl2br w:val="nil"/>
                    <w:tr2bl w:val="nil"/>
                  </w:tcBorders>
                  <w:noWrap w:val="0"/>
                  <w:vAlign w:val="center"/>
                </w:tcPr>
                <w:p w14:paraId="40FC61A6">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用于负极搅拌</w:t>
                  </w:r>
                </w:p>
              </w:tc>
              <w:tc>
                <w:tcPr>
                  <w:tcW w:w="1013" w:type="pct"/>
                  <w:tcBorders>
                    <w:tl2br w:val="nil"/>
                    <w:tr2bl w:val="nil"/>
                  </w:tcBorders>
                  <w:noWrap w:val="0"/>
                  <w:vAlign w:val="center"/>
                </w:tcPr>
                <w:p w14:paraId="570B79EF">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粉状，真空包装</w:t>
                  </w:r>
                </w:p>
              </w:tc>
              <w:tc>
                <w:tcPr>
                  <w:tcW w:w="731" w:type="pct"/>
                  <w:tcBorders>
                    <w:tl2br w:val="nil"/>
                    <w:tr2bl w:val="nil"/>
                  </w:tcBorders>
                  <w:noWrap w:val="0"/>
                  <w:vAlign w:val="center"/>
                </w:tcPr>
                <w:p w14:paraId="13868E41">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cs="Times New Roman"/>
                      <w:color w:val="auto"/>
                      <w:sz w:val="21"/>
                      <w:szCs w:val="21"/>
                      <w:u w:val="none" w:color="auto"/>
                      <w:lang w:eastAsia="zh-CN"/>
                    </w:rPr>
                    <w:t>一楼仓库</w:t>
                  </w:r>
                </w:p>
              </w:tc>
            </w:tr>
            <w:tr w14:paraId="023C0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tcBorders>
                    <w:tl2br w:val="nil"/>
                    <w:tr2bl w:val="nil"/>
                  </w:tcBorders>
                  <w:noWrap w:val="0"/>
                  <w:vAlign w:val="center"/>
                </w:tcPr>
                <w:p w14:paraId="2D992F83">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rPr>
                    <w:t>10</w:t>
                  </w:r>
                </w:p>
              </w:tc>
              <w:tc>
                <w:tcPr>
                  <w:tcW w:w="655" w:type="pct"/>
                  <w:tcBorders>
                    <w:tl2br w:val="nil"/>
                    <w:tr2bl w:val="nil"/>
                  </w:tcBorders>
                  <w:noWrap w:val="0"/>
                  <w:vAlign w:val="center"/>
                </w:tcPr>
                <w:p w14:paraId="2B05F3DB">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CMC羧甲基纤维素钠</w:t>
                  </w:r>
                </w:p>
              </w:tc>
              <w:tc>
                <w:tcPr>
                  <w:tcW w:w="373" w:type="pct"/>
                  <w:tcBorders>
                    <w:tl2br w:val="nil"/>
                    <w:tr2bl w:val="nil"/>
                  </w:tcBorders>
                  <w:noWrap w:val="0"/>
                  <w:vAlign w:val="center"/>
                </w:tcPr>
                <w:p w14:paraId="688D8DDD">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t/a</w:t>
                  </w:r>
                </w:p>
              </w:tc>
              <w:tc>
                <w:tcPr>
                  <w:tcW w:w="534" w:type="pct"/>
                  <w:tcBorders>
                    <w:tl2br w:val="nil"/>
                    <w:tr2bl w:val="nil"/>
                  </w:tcBorders>
                  <w:noWrap w:val="0"/>
                  <w:vAlign w:val="center"/>
                </w:tcPr>
                <w:p w14:paraId="556673EA">
                  <w:pPr>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0.5</w:t>
                  </w:r>
                </w:p>
              </w:tc>
              <w:tc>
                <w:tcPr>
                  <w:tcW w:w="506" w:type="pct"/>
                  <w:tcBorders>
                    <w:tl2br w:val="nil"/>
                    <w:tr2bl w:val="nil"/>
                  </w:tcBorders>
                  <w:noWrap w:val="0"/>
                  <w:vAlign w:val="center"/>
                </w:tcPr>
                <w:p w14:paraId="220849BC">
                  <w:pPr>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0.05</w:t>
                  </w:r>
                </w:p>
              </w:tc>
              <w:tc>
                <w:tcPr>
                  <w:tcW w:w="934" w:type="pct"/>
                  <w:tcBorders>
                    <w:tl2br w:val="nil"/>
                    <w:tr2bl w:val="nil"/>
                  </w:tcBorders>
                  <w:noWrap w:val="0"/>
                  <w:vAlign w:val="center"/>
                </w:tcPr>
                <w:p w14:paraId="56978253">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用于负极搅拌</w:t>
                  </w:r>
                </w:p>
              </w:tc>
              <w:tc>
                <w:tcPr>
                  <w:tcW w:w="1013" w:type="pct"/>
                  <w:tcBorders>
                    <w:tl2br w:val="nil"/>
                    <w:tr2bl w:val="nil"/>
                  </w:tcBorders>
                  <w:noWrap w:val="0"/>
                  <w:vAlign w:val="center"/>
                </w:tcPr>
                <w:p w14:paraId="68FDB5C7">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粉状，真空包装</w:t>
                  </w:r>
                </w:p>
              </w:tc>
              <w:tc>
                <w:tcPr>
                  <w:tcW w:w="731" w:type="pct"/>
                  <w:tcBorders>
                    <w:tl2br w:val="nil"/>
                    <w:tr2bl w:val="nil"/>
                  </w:tcBorders>
                  <w:noWrap w:val="0"/>
                  <w:vAlign w:val="center"/>
                </w:tcPr>
                <w:p w14:paraId="1527C241">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cs="Times New Roman"/>
                      <w:color w:val="auto"/>
                      <w:sz w:val="21"/>
                      <w:szCs w:val="21"/>
                      <w:u w:val="none" w:color="auto"/>
                      <w:lang w:eastAsia="zh-CN"/>
                    </w:rPr>
                    <w:t>一楼仓库</w:t>
                  </w:r>
                </w:p>
              </w:tc>
            </w:tr>
            <w:tr w14:paraId="72234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tcBorders>
                    <w:tl2br w:val="nil"/>
                    <w:tr2bl w:val="nil"/>
                  </w:tcBorders>
                  <w:noWrap w:val="0"/>
                  <w:vAlign w:val="center"/>
                </w:tcPr>
                <w:p w14:paraId="70B813FC">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11</w:t>
                  </w:r>
                </w:p>
              </w:tc>
              <w:tc>
                <w:tcPr>
                  <w:tcW w:w="655" w:type="pct"/>
                  <w:tcBorders>
                    <w:tl2br w:val="nil"/>
                    <w:tr2bl w:val="nil"/>
                  </w:tcBorders>
                  <w:noWrap w:val="0"/>
                  <w:vAlign w:val="center"/>
                </w:tcPr>
                <w:p w14:paraId="47F9FCB9">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SBR丁苯橡胶乳液</w:t>
                  </w:r>
                </w:p>
              </w:tc>
              <w:tc>
                <w:tcPr>
                  <w:tcW w:w="373" w:type="pct"/>
                  <w:tcBorders>
                    <w:tl2br w:val="nil"/>
                    <w:tr2bl w:val="nil"/>
                  </w:tcBorders>
                  <w:noWrap w:val="0"/>
                  <w:vAlign w:val="center"/>
                </w:tcPr>
                <w:p w14:paraId="65ECF37E">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t/a</w:t>
                  </w:r>
                </w:p>
              </w:tc>
              <w:tc>
                <w:tcPr>
                  <w:tcW w:w="534" w:type="pct"/>
                  <w:tcBorders>
                    <w:tl2br w:val="nil"/>
                    <w:tr2bl w:val="nil"/>
                  </w:tcBorders>
                  <w:noWrap w:val="0"/>
                  <w:vAlign w:val="center"/>
                </w:tcPr>
                <w:p w14:paraId="59D33767">
                  <w:pPr>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0.8</w:t>
                  </w:r>
                </w:p>
              </w:tc>
              <w:tc>
                <w:tcPr>
                  <w:tcW w:w="506" w:type="pct"/>
                  <w:tcBorders>
                    <w:tl2br w:val="nil"/>
                    <w:tr2bl w:val="nil"/>
                  </w:tcBorders>
                  <w:noWrap w:val="0"/>
                  <w:vAlign w:val="center"/>
                </w:tcPr>
                <w:p w14:paraId="52A54D50">
                  <w:pPr>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0.05</w:t>
                  </w:r>
                </w:p>
              </w:tc>
              <w:tc>
                <w:tcPr>
                  <w:tcW w:w="934" w:type="pct"/>
                  <w:tcBorders>
                    <w:tl2br w:val="nil"/>
                    <w:tr2bl w:val="nil"/>
                  </w:tcBorders>
                  <w:noWrap w:val="0"/>
                  <w:vAlign w:val="center"/>
                </w:tcPr>
                <w:p w14:paraId="1DA8034E">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用于负极搅拌</w:t>
                  </w:r>
                </w:p>
              </w:tc>
              <w:tc>
                <w:tcPr>
                  <w:tcW w:w="1013" w:type="pct"/>
                  <w:tcBorders>
                    <w:tl2br w:val="nil"/>
                    <w:tr2bl w:val="nil"/>
                  </w:tcBorders>
                  <w:noWrap w:val="0"/>
                  <w:vAlign w:val="center"/>
                </w:tcPr>
                <w:p w14:paraId="6FF7A5A3">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粉状，真空包装</w:t>
                  </w:r>
                </w:p>
              </w:tc>
              <w:tc>
                <w:tcPr>
                  <w:tcW w:w="731" w:type="pct"/>
                  <w:tcBorders>
                    <w:tl2br w:val="nil"/>
                    <w:tr2bl w:val="nil"/>
                  </w:tcBorders>
                  <w:noWrap w:val="0"/>
                  <w:vAlign w:val="center"/>
                </w:tcPr>
                <w:p w14:paraId="3C791F90">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cs="Times New Roman"/>
                      <w:color w:val="auto"/>
                      <w:sz w:val="21"/>
                      <w:szCs w:val="21"/>
                      <w:u w:val="none" w:color="auto"/>
                      <w:lang w:eastAsia="zh-CN"/>
                    </w:rPr>
                    <w:t>一楼仓库</w:t>
                  </w:r>
                </w:p>
              </w:tc>
            </w:tr>
            <w:tr w14:paraId="267C0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tcBorders>
                    <w:tl2br w:val="nil"/>
                    <w:tr2bl w:val="nil"/>
                  </w:tcBorders>
                  <w:noWrap w:val="0"/>
                  <w:vAlign w:val="center"/>
                </w:tcPr>
                <w:p w14:paraId="78E2AF00">
                  <w:pPr>
                    <w:spacing w:line="240" w:lineRule="auto"/>
                    <w:ind w:left="0" w:leftChars="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12</w:t>
                  </w:r>
                </w:p>
              </w:tc>
              <w:tc>
                <w:tcPr>
                  <w:tcW w:w="655" w:type="pct"/>
                  <w:tcBorders>
                    <w:tl2br w:val="nil"/>
                    <w:tr2bl w:val="nil"/>
                  </w:tcBorders>
                  <w:noWrap w:val="0"/>
                  <w:vAlign w:val="center"/>
                </w:tcPr>
                <w:p w14:paraId="64365A5D">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隔膜</w:t>
                  </w:r>
                </w:p>
              </w:tc>
              <w:tc>
                <w:tcPr>
                  <w:tcW w:w="373" w:type="pct"/>
                  <w:tcBorders>
                    <w:tl2br w:val="nil"/>
                    <w:tr2bl w:val="nil"/>
                  </w:tcBorders>
                  <w:noWrap w:val="0"/>
                  <w:vAlign w:val="center"/>
                </w:tcPr>
                <w:p w14:paraId="7C37F573">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m</w:t>
                  </w:r>
                  <w:r>
                    <w:rPr>
                      <w:rFonts w:hint="eastAsia" w:ascii="Times New Roman" w:hAnsi="Times New Roman" w:eastAsia="宋体" w:cs="Times New Roman"/>
                      <w:color w:val="auto"/>
                      <w:sz w:val="21"/>
                      <w:szCs w:val="21"/>
                      <w:u w:val="none" w:color="auto"/>
                      <w:vertAlign w:val="superscript"/>
                    </w:rPr>
                    <w:t>2</w:t>
                  </w:r>
                  <w:r>
                    <w:rPr>
                      <w:rFonts w:hint="eastAsia" w:ascii="Times New Roman" w:hAnsi="Times New Roman" w:eastAsia="宋体" w:cs="Times New Roman"/>
                      <w:color w:val="auto"/>
                      <w:sz w:val="21"/>
                      <w:szCs w:val="21"/>
                      <w:u w:val="none" w:color="auto"/>
                    </w:rPr>
                    <w:t>/a</w:t>
                  </w:r>
                </w:p>
              </w:tc>
              <w:tc>
                <w:tcPr>
                  <w:tcW w:w="534" w:type="pct"/>
                  <w:tcBorders>
                    <w:tl2br w:val="nil"/>
                    <w:tr2bl w:val="nil"/>
                  </w:tcBorders>
                  <w:noWrap w:val="0"/>
                  <w:vAlign w:val="center"/>
                </w:tcPr>
                <w:p w14:paraId="5E6A4F8E">
                  <w:pPr>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400万平</w:t>
                  </w:r>
                </w:p>
              </w:tc>
              <w:tc>
                <w:tcPr>
                  <w:tcW w:w="506" w:type="pct"/>
                  <w:tcBorders>
                    <w:tl2br w:val="nil"/>
                    <w:tr2bl w:val="nil"/>
                  </w:tcBorders>
                  <w:noWrap w:val="0"/>
                  <w:vAlign w:val="center"/>
                </w:tcPr>
                <w:p w14:paraId="32E61AF3">
                  <w:pPr>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10万平</w:t>
                  </w:r>
                </w:p>
              </w:tc>
              <w:tc>
                <w:tcPr>
                  <w:tcW w:w="934" w:type="pct"/>
                  <w:tcBorders>
                    <w:tl2br w:val="nil"/>
                    <w:tr2bl w:val="nil"/>
                  </w:tcBorders>
                  <w:noWrap w:val="0"/>
                  <w:vAlign w:val="center"/>
                </w:tcPr>
                <w:p w14:paraId="0D219757">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用于卷绕</w:t>
                  </w:r>
                </w:p>
              </w:tc>
              <w:tc>
                <w:tcPr>
                  <w:tcW w:w="1013" w:type="pct"/>
                  <w:tcBorders>
                    <w:tl2br w:val="nil"/>
                    <w:tr2bl w:val="nil"/>
                  </w:tcBorders>
                  <w:noWrap w:val="0"/>
                  <w:vAlign w:val="center"/>
                </w:tcPr>
                <w:p w14:paraId="3EDEA807">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固体，纸箱装</w:t>
                  </w:r>
                </w:p>
              </w:tc>
              <w:tc>
                <w:tcPr>
                  <w:tcW w:w="731" w:type="pct"/>
                  <w:tcBorders>
                    <w:tl2br w:val="nil"/>
                    <w:tr2bl w:val="nil"/>
                  </w:tcBorders>
                  <w:noWrap w:val="0"/>
                  <w:vAlign w:val="center"/>
                </w:tcPr>
                <w:p w14:paraId="6AB47CB2">
                  <w:pPr>
                    <w:spacing w:line="240" w:lineRule="auto"/>
                    <w:ind w:left="0" w:leftChars="0" w:firstLine="0" w:firstLineChars="0"/>
                    <w:jc w:val="center"/>
                    <w:rPr>
                      <w:rFonts w:hint="eastAsia" w:ascii="Times New Roman" w:hAnsi="Times New Roman" w:eastAsia="宋体" w:cs="Times New Roman"/>
                      <w:color w:val="auto"/>
                      <w:sz w:val="21"/>
                      <w:szCs w:val="21"/>
                      <w:u w:val="none" w:color="auto"/>
                      <w:lang w:eastAsia="zh-CN"/>
                    </w:rPr>
                  </w:pPr>
                  <w:r>
                    <w:rPr>
                      <w:rFonts w:hint="eastAsia" w:cs="Times New Roman"/>
                      <w:color w:val="auto"/>
                      <w:sz w:val="21"/>
                      <w:szCs w:val="21"/>
                      <w:u w:val="none" w:color="auto"/>
                      <w:lang w:eastAsia="zh-CN"/>
                    </w:rPr>
                    <w:t>二楼仓库</w:t>
                  </w:r>
                </w:p>
              </w:tc>
            </w:tr>
            <w:tr w14:paraId="7C4F0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tcBorders>
                    <w:tl2br w:val="nil"/>
                    <w:tr2bl w:val="nil"/>
                  </w:tcBorders>
                  <w:noWrap w:val="0"/>
                  <w:vAlign w:val="center"/>
                </w:tcPr>
                <w:p w14:paraId="3275F064">
                  <w:pPr>
                    <w:spacing w:line="240" w:lineRule="auto"/>
                    <w:ind w:left="0" w:leftChars="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13</w:t>
                  </w:r>
                </w:p>
              </w:tc>
              <w:tc>
                <w:tcPr>
                  <w:tcW w:w="655" w:type="pct"/>
                  <w:tcBorders>
                    <w:tl2br w:val="nil"/>
                    <w:tr2bl w:val="nil"/>
                  </w:tcBorders>
                  <w:noWrap w:val="0"/>
                  <w:vAlign w:val="center"/>
                </w:tcPr>
                <w:p w14:paraId="4697C57B">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电解液</w:t>
                  </w:r>
                </w:p>
              </w:tc>
              <w:tc>
                <w:tcPr>
                  <w:tcW w:w="373" w:type="pct"/>
                  <w:tcBorders>
                    <w:tl2br w:val="nil"/>
                    <w:tr2bl w:val="nil"/>
                  </w:tcBorders>
                  <w:noWrap w:val="0"/>
                  <w:vAlign w:val="center"/>
                </w:tcPr>
                <w:p w14:paraId="08B720D8">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t/a</w:t>
                  </w:r>
                </w:p>
              </w:tc>
              <w:tc>
                <w:tcPr>
                  <w:tcW w:w="534" w:type="pct"/>
                  <w:tcBorders>
                    <w:tl2br w:val="nil"/>
                    <w:tr2bl w:val="nil"/>
                  </w:tcBorders>
                  <w:noWrap w:val="0"/>
                  <w:vAlign w:val="center"/>
                </w:tcPr>
                <w:p w14:paraId="5DF56F95">
                  <w:pPr>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30</w:t>
                  </w:r>
                </w:p>
              </w:tc>
              <w:tc>
                <w:tcPr>
                  <w:tcW w:w="506" w:type="pct"/>
                  <w:tcBorders>
                    <w:tl2br w:val="nil"/>
                    <w:tr2bl w:val="nil"/>
                  </w:tcBorders>
                  <w:noWrap w:val="0"/>
                  <w:vAlign w:val="center"/>
                </w:tcPr>
                <w:p w14:paraId="412F0A67">
                  <w:pPr>
                    <w:spacing w:line="240" w:lineRule="auto"/>
                    <w:ind w:left="0" w:leftChars="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w:t>
                  </w:r>
                </w:p>
              </w:tc>
              <w:tc>
                <w:tcPr>
                  <w:tcW w:w="934" w:type="pct"/>
                  <w:tcBorders>
                    <w:tl2br w:val="nil"/>
                    <w:tr2bl w:val="nil"/>
                  </w:tcBorders>
                  <w:noWrap w:val="0"/>
                  <w:vAlign w:val="center"/>
                </w:tcPr>
                <w:p w14:paraId="2230DD13">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用于注液</w:t>
                  </w:r>
                </w:p>
              </w:tc>
              <w:tc>
                <w:tcPr>
                  <w:tcW w:w="1013" w:type="pct"/>
                  <w:tcBorders>
                    <w:tl2br w:val="nil"/>
                    <w:tr2bl w:val="nil"/>
                  </w:tcBorders>
                  <w:noWrap w:val="0"/>
                  <w:vAlign w:val="center"/>
                </w:tcPr>
                <w:p w14:paraId="49D31F9C">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液体，不锈钢桶装</w:t>
                  </w:r>
                </w:p>
              </w:tc>
              <w:tc>
                <w:tcPr>
                  <w:tcW w:w="731" w:type="pct"/>
                  <w:tcBorders>
                    <w:tl2br w:val="nil"/>
                    <w:tr2bl w:val="nil"/>
                  </w:tcBorders>
                  <w:noWrap w:val="0"/>
                  <w:vAlign w:val="center"/>
                </w:tcPr>
                <w:p w14:paraId="4E88701C">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cs="Times New Roman"/>
                      <w:color w:val="auto"/>
                      <w:sz w:val="21"/>
                      <w:szCs w:val="21"/>
                      <w:u w:val="none" w:color="auto"/>
                      <w:lang w:eastAsia="zh-CN"/>
                    </w:rPr>
                    <w:t>三楼仓库</w:t>
                  </w:r>
                </w:p>
              </w:tc>
            </w:tr>
            <w:tr w14:paraId="60C54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tcBorders>
                    <w:tl2br w:val="nil"/>
                    <w:tr2bl w:val="nil"/>
                  </w:tcBorders>
                  <w:noWrap w:val="0"/>
                  <w:vAlign w:val="center"/>
                </w:tcPr>
                <w:p w14:paraId="05849258">
                  <w:pPr>
                    <w:spacing w:line="240" w:lineRule="auto"/>
                    <w:ind w:left="0" w:leftChars="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14</w:t>
                  </w:r>
                </w:p>
              </w:tc>
              <w:tc>
                <w:tcPr>
                  <w:tcW w:w="655" w:type="pct"/>
                  <w:tcBorders>
                    <w:tl2br w:val="nil"/>
                    <w:tr2bl w:val="nil"/>
                  </w:tcBorders>
                  <w:noWrap w:val="0"/>
                  <w:vAlign w:val="center"/>
                </w:tcPr>
                <w:p w14:paraId="4313E2E7">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极耳（铝极耳、镍极耳）</w:t>
                  </w:r>
                </w:p>
              </w:tc>
              <w:tc>
                <w:tcPr>
                  <w:tcW w:w="373" w:type="pct"/>
                  <w:tcBorders>
                    <w:tl2br w:val="nil"/>
                    <w:tr2bl w:val="nil"/>
                  </w:tcBorders>
                  <w:noWrap w:val="0"/>
                  <w:vAlign w:val="center"/>
                </w:tcPr>
                <w:p w14:paraId="39F7A4D5">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对</w:t>
                  </w:r>
                  <w:r>
                    <w:rPr>
                      <w:rFonts w:hint="eastAsia" w:ascii="Times New Roman" w:hAnsi="Times New Roman" w:eastAsia="宋体" w:cs="Times New Roman"/>
                      <w:color w:val="auto"/>
                      <w:sz w:val="21"/>
                      <w:szCs w:val="21"/>
                      <w:u w:val="none" w:color="auto"/>
                    </w:rPr>
                    <w:t>/a</w:t>
                  </w:r>
                </w:p>
              </w:tc>
              <w:tc>
                <w:tcPr>
                  <w:tcW w:w="534" w:type="pct"/>
                  <w:tcBorders>
                    <w:tl2br w:val="nil"/>
                    <w:tr2bl w:val="nil"/>
                  </w:tcBorders>
                  <w:noWrap w:val="0"/>
                  <w:vAlign w:val="center"/>
                </w:tcPr>
                <w:p w14:paraId="44582861">
                  <w:pPr>
                    <w:spacing w:line="240" w:lineRule="auto"/>
                    <w:ind w:left="0" w:leftChars="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15</w:t>
                  </w:r>
                  <w:r>
                    <w:rPr>
                      <w:rFonts w:hint="eastAsia" w:ascii="Times New Roman" w:hAnsi="Times New Roman" w:cs="Times New Roman"/>
                      <w:color w:val="auto"/>
                      <w:sz w:val="21"/>
                      <w:szCs w:val="21"/>
                      <w:u w:val="none" w:color="auto"/>
                    </w:rPr>
                    <w:t>00万</w:t>
                  </w:r>
                  <w:r>
                    <w:rPr>
                      <w:rFonts w:hint="eastAsia" w:ascii="Times New Roman" w:hAnsi="Times New Roman" w:cs="Times New Roman"/>
                      <w:color w:val="auto"/>
                      <w:sz w:val="21"/>
                      <w:szCs w:val="21"/>
                      <w:u w:val="none" w:color="auto"/>
                      <w:lang w:val="en-US" w:eastAsia="zh-CN"/>
                    </w:rPr>
                    <w:t>对</w:t>
                  </w:r>
                </w:p>
              </w:tc>
              <w:tc>
                <w:tcPr>
                  <w:tcW w:w="506" w:type="pct"/>
                  <w:tcBorders>
                    <w:tl2br w:val="nil"/>
                    <w:tr2bl w:val="nil"/>
                  </w:tcBorders>
                  <w:noWrap w:val="0"/>
                  <w:vAlign w:val="center"/>
                </w:tcPr>
                <w:p w14:paraId="1F8C9FA3">
                  <w:pPr>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30</w:t>
                  </w:r>
                  <w:r>
                    <w:rPr>
                      <w:rFonts w:hint="eastAsia" w:ascii="Times New Roman" w:hAnsi="Times New Roman" w:cs="Times New Roman"/>
                      <w:color w:val="auto"/>
                      <w:sz w:val="21"/>
                      <w:szCs w:val="21"/>
                      <w:u w:val="none" w:color="auto"/>
                    </w:rPr>
                    <w:t>万</w:t>
                  </w:r>
                  <w:r>
                    <w:rPr>
                      <w:rFonts w:hint="eastAsia" w:ascii="Times New Roman" w:hAnsi="Times New Roman" w:cs="Times New Roman"/>
                      <w:color w:val="auto"/>
                      <w:sz w:val="21"/>
                      <w:szCs w:val="21"/>
                      <w:u w:val="none" w:color="auto"/>
                      <w:lang w:val="en-US" w:eastAsia="zh-CN"/>
                    </w:rPr>
                    <w:t>对</w:t>
                  </w:r>
                </w:p>
              </w:tc>
              <w:tc>
                <w:tcPr>
                  <w:tcW w:w="934" w:type="pct"/>
                  <w:tcBorders>
                    <w:tl2br w:val="nil"/>
                    <w:tr2bl w:val="nil"/>
                  </w:tcBorders>
                  <w:noWrap w:val="0"/>
                  <w:vAlign w:val="center"/>
                </w:tcPr>
                <w:p w14:paraId="47C6B610">
                  <w:pPr>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rPr>
                    <w:t>用于</w:t>
                  </w:r>
                  <w:r>
                    <w:rPr>
                      <w:rFonts w:hint="eastAsia" w:ascii="Times New Roman" w:hAnsi="Times New Roman" w:eastAsia="宋体" w:cs="Times New Roman"/>
                      <w:color w:val="auto"/>
                      <w:sz w:val="21"/>
                      <w:szCs w:val="21"/>
                      <w:u w:val="none" w:color="auto"/>
                      <w:lang w:val="en-US" w:eastAsia="zh-CN"/>
                    </w:rPr>
                    <w:t>极片焊接</w:t>
                  </w:r>
                </w:p>
              </w:tc>
              <w:tc>
                <w:tcPr>
                  <w:tcW w:w="1013" w:type="pct"/>
                  <w:tcBorders>
                    <w:tl2br w:val="nil"/>
                    <w:tr2bl w:val="nil"/>
                  </w:tcBorders>
                  <w:noWrap w:val="0"/>
                  <w:vAlign w:val="center"/>
                </w:tcPr>
                <w:p w14:paraId="12DDABC9">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固体，纸箱装</w:t>
                  </w:r>
                </w:p>
              </w:tc>
              <w:tc>
                <w:tcPr>
                  <w:tcW w:w="731" w:type="pct"/>
                  <w:tcBorders>
                    <w:tl2br w:val="nil"/>
                    <w:tr2bl w:val="nil"/>
                  </w:tcBorders>
                  <w:noWrap w:val="0"/>
                  <w:vAlign w:val="center"/>
                </w:tcPr>
                <w:p w14:paraId="14D3C22E">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cs="Times New Roman"/>
                      <w:color w:val="auto"/>
                      <w:sz w:val="21"/>
                      <w:szCs w:val="21"/>
                      <w:u w:val="none" w:color="auto"/>
                      <w:lang w:eastAsia="zh-CN"/>
                    </w:rPr>
                    <w:t>三楼仓库</w:t>
                  </w:r>
                </w:p>
              </w:tc>
            </w:tr>
            <w:tr w14:paraId="45CA2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tcBorders>
                    <w:tl2br w:val="nil"/>
                    <w:tr2bl w:val="nil"/>
                  </w:tcBorders>
                  <w:noWrap w:val="0"/>
                  <w:vAlign w:val="center"/>
                </w:tcPr>
                <w:p w14:paraId="2294599A">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15</w:t>
                  </w:r>
                </w:p>
              </w:tc>
              <w:tc>
                <w:tcPr>
                  <w:tcW w:w="655" w:type="pct"/>
                  <w:tcBorders>
                    <w:tl2br w:val="nil"/>
                    <w:tr2bl w:val="nil"/>
                  </w:tcBorders>
                  <w:noWrap w:val="0"/>
                  <w:vAlign w:val="center"/>
                </w:tcPr>
                <w:p w14:paraId="0AB24273">
                  <w:pPr>
                    <w:spacing w:line="240" w:lineRule="auto"/>
                    <w:ind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color w:val="auto"/>
                      <w:sz w:val="21"/>
                      <w:szCs w:val="21"/>
                      <w:u w:val="none" w:color="auto"/>
                    </w:rPr>
                    <w:t>碳纳米管</w:t>
                  </w:r>
                  <w:r>
                    <w:rPr>
                      <w:rFonts w:hint="eastAsia"/>
                      <w:color w:val="auto"/>
                      <w:sz w:val="21"/>
                      <w:szCs w:val="21"/>
                      <w:u w:val="none" w:color="auto"/>
                    </w:rPr>
                    <w:t>（</w:t>
                  </w:r>
                  <w:r>
                    <w:rPr>
                      <w:color w:val="auto"/>
                      <w:sz w:val="21"/>
                      <w:szCs w:val="21"/>
                      <w:u w:val="none" w:color="auto"/>
                    </w:rPr>
                    <w:t>CNT</w:t>
                  </w:r>
                  <w:r>
                    <w:rPr>
                      <w:rFonts w:hint="eastAsia"/>
                      <w:color w:val="auto"/>
                      <w:sz w:val="21"/>
                      <w:szCs w:val="21"/>
                      <w:u w:val="none" w:color="auto"/>
                    </w:rPr>
                    <w:t>）</w:t>
                  </w:r>
                </w:p>
              </w:tc>
              <w:tc>
                <w:tcPr>
                  <w:tcW w:w="373" w:type="pct"/>
                  <w:tcBorders>
                    <w:tl2br w:val="nil"/>
                    <w:tr2bl w:val="nil"/>
                  </w:tcBorders>
                  <w:noWrap w:val="0"/>
                  <w:vAlign w:val="center"/>
                </w:tcPr>
                <w:p w14:paraId="028380E5">
                  <w:pPr>
                    <w:spacing w:line="240" w:lineRule="auto"/>
                    <w:ind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color w:val="auto"/>
                      <w:sz w:val="21"/>
                      <w:szCs w:val="21"/>
                      <w:u w:val="none" w:color="auto"/>
                    </w:rPr>
                    <w:t>t/a</w:t>
                  </w:r>
                </w:p>
              </w:tc>
              <w:tc>
                <w:tcPr>
                  <w:tcW w:w="534" w:type="pct"/>
                  <w:tcBorders>
                    <w:tl2br w:val="nil"/>
                    <w:tr2bl w:val="nil"/>
                  </w:tcBorders>
                  <w:noWrap w:val="0"/>
                  <w:vAlign w:val="center"/>
                </w:tcPr>
                <w:p w14:paraId="1BDC9414">
                  <w:pPr>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5</w:t>
                  </w:r>
                </w:p>
              </w:tc>
              <w:tc>
                <w:tcPr>
                  <w:tcW w:w="506" w:type="pct"/>
                  <w:tcBorders>
                    <w:tl2br w:val="nil"/>
                    <w:tr2bl w:val="nil"/>
                  </w:tcBorders>
                  <w:noWrap w:val="0"/>
                  <w:vAlign w:val="center"/>
                </w:tcPr>
                <w:p w14:paraId="5B10D2FF">
                  <w:pPr>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0.2</w:t>
                  </w:r>
                </w:p>
              </w:tc>
              <w:tc>
                <w:tcPr>
                  <w:tcW w:w="934" w:type="pct"/>
                  <w:tcBorders>
                    <w:tl2br w:val="nil"/>
                    <w:tr2bl w:val="nil"/>
                  </w:tcBorders>
                  <w:noWrap w:val="0"/>
                  <w:vAlign w:val="center"/>
                </w:tcPr>
                <w:p w14:paraId="3BF2AA76">
                  <w:pPr>
                    <w:spacing w:line="240" w:lineRule="auto"/>
                    <w:ind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color w:val="auto"/>
                      <w:sz w:val="21"/>
                      <w:szCs w:val="21"/>
                      <w:u w:val="none" w:color="auto"/>
                    </w:rPr>
                    <w:t>用于正极搅拌</w:t>
                  </w:r>
                </w:p>
              </w:tc>
              <w:tc>
                <w:tcPr>
                  <w:tcW w:w="1013" w:type="pct"/>
                  <w:tcBorders>
                    <w:tl2br w:val="nil"/>
                    <w:tr2bl w:val="nil"/>
                  </w:tcBorders>
                  <w:noWrap w:val="0"/>
                  <w:vAlign w:val="center"/>
                </w:tcPr>
                <w:p w14:paraId="0E77A500">
                  <w:pPr>
                    <w:spacing w:line="240" w:lineRule="auto"/>
                    <w:ind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color w:val="auto"/>
                      <w:sz w:val="21"/>
                      <w:szCs w:val="21"/>
                      <w:u w:val="none" w:color="auto"/>
                    </w:rPr>
                    <w:t>液体，不锈钢桶装</w:t>
                  </w:r>
                </w:p>
              </w:tc>
              <w:tc>
                <w:tcPr>
                  <w:tcW w:w="731" w:type="pct"/>
                  <w:tcBorders>
                    <w:tl2br w:val="nil"/>
                    <w:tr2bl w:val="nil"/>
                  </w:tcBorders>
                  <w:noWrap w:val="0"/>
                  <w:vAlign w:val="center"/>
                </w:tcPr>
                <w:p w14:paraId="4D0A71E3">
                  <w:pPr>
                    <w:spacing w:line="240" w:lineRule="auto"/>
                    <w:ind w:firstLine="0" w:firstLineChars="0"/>
                    <w:jc w:val="center"/>
                    <w:rPr>
                      <w:color w:val="auto"/>
                      <w:sz w:val="21"/>
                      <w:szCs w:val="21"/>
                      <w:u w:val="none" w:color="auto"/>
                    </w:rPr>
                  </w:pPr>
                  <w:r>
                    <w:rPr>
                      <w:rFonts w:hint="eastAsia" w:cs="Times New Roman"/>
                      <w:color w:val="auto"/>
                      <w:sz w:val="21"/>
                      <w:szCs w:val="21"/>
                      <w:u w:val="none" w:color="auto"/>
                      <w:lang w:eastAsia="zh-CN"/>
                    </w:rPr>
                    <w:t>一楼仓库</w:t>
                  </w:r>
                </w:p>
              </w:tc>
            </w:tr>
            <w:tr w14:paraId="3A425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tcBorders>
                    <w:tl2br w:val="nil"/>
                    <w:tr2bl w:val="nil"/>
                  </w:tcBorders>
                  <w:noWrap w:val="0"/>
                  <w:vAlign w:val="center"/>
                </w:tcPr>
                <w:p w14:paraId="35C875DA">
                  <w:pPr>
                    <w:spacing w:line="240" w:lineRule="auto"/>
                    <w:ind w:left="0" w:leftChars="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16</w:t>
                  </w:r>
                </w:p>
              </w:tc>
              <w:tc>
                <w:tcPr>
                  <w:tcW w:w="655" w:type="pct"/>
                  <w:tcBorders>
                    <w:tl2br w:val="nil"/>
                    <w:tr2bl w:val="nil"/>
                  </w:tcBorders>
                  <w:noWrap w:val="0"/>
                  <w:vAlign w:val="center"/>
                </w:tcPr>
                <w:p w14:paraId="360D6BC4">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铝（钢）壳</w:t>
                  </w:r>
                </w:p>
              </w:tc>
              <w:tc>
                <w:tcPr>
                  <w:tcW w:w="373" w:type="pct"/>
                  <w:tcBorders>
                    <w:tl2br w:val="nil"/>
                    <w:tr2bl w:val="nil"/>
                  </w:tcBorders>
                  <w:noWrap w:val="0"/>
                  <w:vAlign w:val="center"/>
                </w:tcPr>
                <w:p w14:paraId="14583C73">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只</w:t>
                  </w:r>
                  <w:r>
                    <w:rPr>
                      <w:rFonts w:hint="eastAsia" w:ascii="Times New Roman" w:hAnsi="Times New Roman" w:eastAsia="宋体" w:cs="Times New Roman"/>
                      <w:color w:val="auto"/>
                      <w:sz w:val="21"/>
                      <w:szCs w:val="21"/>
                      <w:u w:val="none" w:color="auto"/>
                    </w:rPr>
                    <w:t>/a</w:t>
                  </w:r>
                </w:p>
              </w:tc>
              <w:tc>
                <w:tcPr>
                  <w:tcW w:w="534" w:type="pct"/>
                  <w:tcBorders>
                    <w:tl2br w:val="nil"/>
                    <w:tr2bl w:val="nil"/>
                  </w:tcBorders>
                  <w:noWrap w:val="0"/>
                  <w:vAlign w:val="center"/>
                </w:tcPr>
                <w:p w14:paraId="4930A7C8">
                  <w:pPr>
                    <w:spacing w:line="240" w:lineRule="auto"/>
                    <w:ind w:left="0" w:leftChars="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1200万</w:t>
                  </w:r>
                </w:p>
              </w:tc>
              <w:tc>
                <w:tcPr>
                  <w:tcW w:w="506" w:type="pct"/>
                  <w:tcBorders>
                    <w:tl2br w:val="nil"/>
                    <w:tr2bl w:val="nil"/>
                  </w:tcBorders>
                  <w:noWrap w:val="0"/>
                  <w:vAlign w:val="center"/>
                </w:tcPr>
                <w:p w14:paraId="443EFE7D">
                  <w:pPr>
                    <w:spacing w:line="240" w:lineRule="auto"/>
                    <w:ind w:left="0" w:leftChars="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30万</w:t>
                  </w:r>
                </w:p>
              </w:tc>
              <w:tc>
                <w:tcPr>
                  <w:tcW w:w="934" w:type="pct"/>
                  <w:tcBorders>
                    <w:tl2br w:val="nil"/>
                    <w:tr2bl w:val="nil"/>
                  </w:tcBorders>
                  <w:noWrap w:val="0"/>
                  <w:vAlign w:val="center"/>
                </w:tcPr>
                <w:p w14:paraId="4C90ABA6">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用于入壳</w:t>
                  </w:r>
                </w:p>
              </w:tc>
              <w:tc>
                <w:tcPr>
                  <w:tcW w:w="1013" w:type="pct"/>
                  <w:tcBorders>
                    <w:tl2br w:val="nil"/>
                    <w:tr2bl w:val="nil"/>
                  </w:tcBorders>
                  <w:noWrap w:val="0"/>
                  <w:vAlign w:val="center"/>
                </w:tcPr>
                <w:p w14:paraId="5B1185CD">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rPr>
                    <w:t>固体，纸箱装</w:t>
                  </w:r>
                </w:p>
              </w:tc>
              <w:tc>
                <w:tcPr>
                  <w:tcW w:w="731" w:type="pct"/>
                  <w:tcBorders>
                    <w:tl2br w:val="nil"/>
                    <w:tr2bl w:val="nil"/>
                  </w:tcBorders>
                  <w:noWrap w:val="0"/>
                  <w:vAlign w:val="center"/>
                </w:tcPr>
                <w:p w14:paraId="76A68398">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cs="Times New Roman"/>
                      <w:color w:val="auto"/>
                      <w:sz w:val="21"/>
                      <w:szCs w:val="21"/>
                      <w:u w:val="none" w:color="auto"/>
                      <w:lang w:eastAsia="zh-CN"/>
                    </w:rPr>
                    <w:t>三楼仓库</w:t>
                  </w:r>
                </w:p>
              </w:tc>
            </w:tr>
            <w:tr w14:paraId="3155E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tcBorders>
                    <w:tl2br w:val="nil"/>
                    <w:tr2bl w:val="nil"/>
                  </w:tcBorders>
                  <w:noWrap w:val="0"/>
                  <w:vAlign w:val="center"/>
                </w:tcPr>
                <w:p w14:paraId="63E32D39">
                  <w:pPr>
                    <w:spacing w:line="240" w:lineRule="auto"/>
                    <w:ind w:left="0" w:leftChars="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17</w:t>
                  </w:r>
                </w:p>
              </w:tc>
              <w:tc>
                <w:tcPr>
                  <w:tcW w:w="655" w:type="pct"/>
                  <w:tcBorders>
                    <w:tl2br w:val="nil"/>
                    <w:tr2bl w:val="nil"/>
                  </w:tcBorders>
                  <w:noWrap w:val="0"/>
                  <w:vAlign w:val="center"/>
                </w:tcPr>
                <w:p w14:paraId="3751BB9A">
                  <w:pPr>
                    <w:spacing w:line="240" w:lineRule="auto"/>
                    <w:ind w:left="0" w:leftChars="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PVC/PET膜</w:t>
                  </w:r>
                </w:p>
              </w:tc>
              <w:tc>
                <w:tcPr>
                  <w:tcW w:w="373" w:type="pct"/>
                  <w:tcBorders>
                    <w:tl2br w:val="nil"/>
                    <w:tr2bl w:val="nil"/>
                  </w:tcBorders>
                  <w:noWrap w:val="0"/>
                  <w:vAlign w:val="center"/>
                </w:tcPr>
                <w:p w14:paraId="588854E7">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rPr>
                    <w:t>m</w:t>
                  </w:r>
                  <w:r>
                    <w:rPr>
                      <w:rFonts w:hint="eastAsia" w:ascii="Times New Roman" w:hAnsi="Times New Roman" w:eastAsia="宋体" w:cs="Times New Roman"/>
                      <w:color w:val="auto"/>
                      <w:sz w:val="21"/>
                      <w:szCs w:val="21"/>
                      <w:u w:val="none" w:color="auto"/>
                      <w:vertAlign w:val="superscript"/>
                    </w:rPr>
                    <w:t>2</w:t>
                  </w:r>
                  <w:r>
                    <w:rPr>
                      <w:rFonts w:hint="eastAsia" w:ascii="Times New Roman" w:hAnsi="Times New Roman" w:eastAsia="宋体" w:cs="Times New Roman"/>
                      <w:color w:val="auto"/>
                      <w:sz w:val="21"/>
                      <w:szCs w:val="21"/>
                      <w:u w:val="none" w:color="auto"/>
                    </w:rPr>
                    <w:t>/a</w:t>
                  </w:r>
                </w:p>
              </w:tc>
              <w:tc>
                <w:tcPr>
                  <w:tcW w:w="534" w:type="pct"/>
                  <w:tcBorders>
                    <w:tl2br w:val="nil"/>
                    <w:tr2bl w:val="nil"/>
                  </w:tcBorders>
                  <w:noWrap w:val="0"/>
                  <w:vAlign w:val="center"/>
                </w:tcPr>
                <w:p w14:paraId="3946C3E0">
                  <w:pPr>
                    <w:spacing w:line="240" w:lineRule="auto"/>
                    <w:ind w:left="0" w:leftChars="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20万平</w:t>
                  </w:r>
                </w:p>
              </w:tc>
              <w:tc>
                <w:tcPr>
                  <w:tcW w:w="506" w:type="pct"/>
                  <w:tcBorders>
                    <w:tl2br w:val="nil"/>
                    <w:tr2bl w:val="nil"/>
                  </w:tcBorders>
                  <w:noWrap w:val="0"/>
                  <w:vAlign w:val="center"/>
                </w:tcPr>
                <w:p w14:paraId="34B9220D">
                  <w:pPr>
                    <w:spacing w:line="240" w:lineRule="auto"/>
                    <w:ind w:left="0" w:leftChars="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5000平</w:t>
                  </w:r>
                </w:p>
              </w:tc>
              <w:tc>
                <w:tcPr>
                  <w:tcW w:w="934" w:type="pct"/>
                  <w:tcBorders>
                    <w:tl2br w:val="nil"/>
                    <w:tr2bl w:val="nil"/>
                  </w:tcBorders>
                  <w:noWrap w:val="0"/>
                  <w:vAlign w:val="center"/>
                </w:tcPr>
                <w:p w14:paraId="5181FF65">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用于套膜、入壳</w:t>
                  </w:r>
                </w:p>
              </w:tc>
              <w:tc>
                <w:tcPr>
                  <w:tcW w:w="1013" w:type="pct"/>
                  <w:tcBorders>
                    <w:tl2br w:val="nil"/>
                    <w:tr2bl w:val="nil"/>
                  </w:tcBorders>
                  <w:noWrap w:val="0"/>
                  <w:vAlign w:val="center"/>
                </w:tcPr>
                <w:p w14:paraId="32648AEE">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rPr>
                    <w:t>固体，纸箱装</w:t>
                  </w:r>
                </w:p>
              </w:tc>
              <w:tc>
                <w:tcPr>
                  <w:tcW w:w="731" w:type="pct"/>
                  <w:tcBorders>
                    <w:tl2br w:val="nil"/>
                    <w:tr2bl w:val="nil"/>
                  </w:tcBorders>
                  <w:noWrap w:val="0"/>
                  <w:vAlign w:val="center"/>
                </w:tcPr>
                <w:p w14:paraId="04405903">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cs="Times New Roman"/>
                      <w:color w:val="auto"/>
                      <w:sz w:val="21"/>
                      <w:szCs w:val="21"/>
                      <w:u w:val="none" w:color="auto"/>
                      <w:lang w:eastAsia="zh-CN"/>
                    </w:rPr>
                    <w:t>三楼仓库</w:t>
                  </w:r>
                </w:p>
              </w:tc>
            </w:tr>
            <w:tr w14:paraId="190F6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tcBorders>
                    <w:tl2br w:val="nil"/>
                    <w:tr2bl w:val="nil"/>
                  </w:tcBorders>
                  <w:noWrap w:val="0"/>
                  <w:vAlign w:val="center"/>
                </w:tcPr>
                <w:p w14:paraId="3ABE9A9E">
                  <w:pPr>
                    <w:spacing w:line="240" w:lineRule="auto"/>
                    <w:ind w:left="0" w:leftChars="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rPr>
                    <w:t>18</w:t>
                  </w:r>
                </w:p>
              </w:tc>
              <w:tc>
                <w:tcPr>
                  <w:tcW w:w="655" w:type="pct"/>
                  <w:tcBorders>
                    <w:tl2br w:val="nil"/>
                    <w:tr2bl w:val="nil"/>
                  </w:tcBorders>
                  <w:noWrap w:val="0"/>
                  <w:vAlign w:val="center"/>
                </w:tcPr>
                <w:p w14:paraId="2B34B43A">
                  <w:pPr>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铝（钢）</w:t>
                  </w:r>
                  <w:r>
                    <w:rPr>
                      <w:color w:val="auto"/>
                      <w:sz w:val="21"/>
                      <w:szCs w:val="21"/>
                      <w:u w:val="none" w:color="auto"/>
                    </w:rPr>
                    <w:t>盖帽</w:t>
                  </w:r>
                </w:p>
              </w:tc>
              <w:tc>
                <w:tcPr>
                  <w:tcW w:w="373" w:type="pct"/>
                  <w:tcBorders>
                    <w:tl2br w:val="nil"/>
                    <w:tr2bl w:val="nil"/>
                  </w:tcBorders>
                  <w:noWrap w:val="0"/>
                  <w:vAlign w:val="center"/>
                </w:tcPr>
                <w:p w14:paraId="6DA33231">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只</w:t>
                  </w:r>
                  <w:r>
                    <w:rPr>
                      <w:rFonts w:hint="eastAsia" w:ascii="Times New Roman" w:hAnsi="Times New Roman" w:eastAsia="宋体" w:cs="Times New Roman"/>
                      <w:color w:val="auto"/>
                      <w:sz w:val="21"/>
                      <w:szCs w:val="21"/>
                      <w:u w:val="none" w:color="auto"/>
                    </w:rPr>
                    <w:t>/a</w:t>
                  </w:r>
                </w:p>
              </w:tc>
              <w:tc>
                <w:tcPr>
                  <w:tcW w:w="534" w:type="pct"/>
                  <w:tcBorders>
                    <w:tl2br w:val="nil"/>
                    <w:tr2bl w:val="nil"/>
                  </w:tcBorders>
                  <w:noWrap w:val="0"/>
                  <w:vAlign w:val="center"/>
                </w:tcPr>
                <w:p w14:paraId="2A7A5173">
                  <w:pPr>
                    <w:spacing w:line="240" w:lineRule="auto"/>
                    <w:ind w:left="0" w:leftChars="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1200万</w:t>
                  </w:r>
                </w:p>
              </w:tc>
              <w:tc>
                <w:tcPr>
                  <w:tcW w:w="506" w:type="pct"/>
                  <w:tcBorders>
                    <w:tl2br w:val="nil"/>
                    <w:tr2bl w:val="nil"/>
                  </w:tcBorders>
                  <w:noWrap w:val="0"/>
                  <w:vAlign w:val="center"/>
                </w:tcPr>
                <w:p w14:paraId="0D9231F3">
                  <w:pPr>
                    <w:spacing w:line="240" w:lineRule="auto"/>
                    <w:ind w:left="0" w:leftChars="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30万</w:t>
                  </w:r>
                </w:p>
              </w:tc>
              <w:tc>
                <w:tcPr>
                  <w:tcW w:w="934" w:type="pct"/>
                  <w:tcBorders>
                    <w:tl2br w:val="nil"/>
                    <w:tr2bl w:val="nil"/>
                  </w:tcBorders>
                  <w:noWrap w:val="0"/>
                  <w:vAlign w:val="center"/>
                </w:tcPr>
                <w:p w14:paraId="14DEFF63">
                  <w:pPr>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color w:val="auto"/>
                      <w:sz w:val="21"/>
                      <w:szCs w:val="21"/>
                      <w:u w:val="none" w:color="auto"/>
                    </w:rPr>
                    <w:t>用于封壳</w:t>
                  </w:r>
                </w:p>
              </w:tc>
              <w:tc>
                <w:tcPr>
                  <w:tcW w:w="1013" w:type="pct"/>
                  <w:tcBorders>
                    <w:tl2br w:val="nil"/>
                    <w:tr2bl w:val="nil"/>
                  </w:tcBorders>
                  <w:noWrap w:val="0"/>
                  <w:vAlign w:val="center"/>
                </w:tcPr>
                <w:p w14:paraId="580FBAFA">
                  <w:pPr>
                    <w:spacing w:line="240" w:lineRule="auto"/>
                    <w:ind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color w:val="auto"/>
                      <w:sz w:val="21"/>
                      <w:szCs w:val="21"/>
                      <w:u w:val="none" w:color="auto"/>
                    </w:rPr>
                    <w:t>固体，纸箱装</w:t>
                  </w:r>
                </w:p>
              </w:tc>
              <w:tc>
                <w:tcPr>
                  <w:tcW w:w="731" w:type="pct"/>
                  <w:tcBorders>
                    <w:tl2br w:val="nil"/>
                    <w:tr2bl w:val="nil"/>
                  </w:tcBorders>
                  <w:noWrap w:val="0"/>
                  <w:vAlign w:val="center"/>
                </w:tcPr>
                <w:p w14:paraId="1945767A">
                  <w:pPr>
                    <w:spacing w:line="240" w:lineRule="auto"/>
                    <w:ind w:firstLine="0" w:firstLineChars="0"/>
                    <w:jc w:val="center"/>
                    <w:rPr>
                      <w:color w:val="auto"/>
                      <w:sz w:val="21"/>
                      <w:szCs w:val="21"/>
                      <w:u w:val="none" w:color="auto"/>
                    </w:rPr>
                  </w:pPr>
                  <w:r>
                    <w:rPr>
                      <w:rFonts w:hint="eastAsia" w:cs="Times New Roman"/>
                      <w:color w:val="auto"/>
                      <w:sz w:val="21"/>
                      <w:szCs w:val="21"/>
                      <w:u w:val="none" w:color="auto"/>
                      <w:lang w:eastAsia="zh-CN"/>
                    </w:rPr>
                    <w:t>三楼仓库</w:t>
                  </w:r>
                </w:p>
              </w:tc>
            </w:tr>
            <w:tr w14:paraId="29502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tcBorders>
                    <w:tl2br w:val="nil"/>
                    <w:tr2bl w:val="nil"/>
                  </w:tcBorders>
                  <w:noWrap w:val="0"/>
                  <w:vAlign w:val="center"/>
                </w:tcPr>
                <w:p w14:paraId="2561C2C0">
                  <w:pPr>
                    <w:spacing w:line="240" w:lineRule="auto"/>
                    <w:ind w:left="0" w:leftChars="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rPr>
                    <w:t>19</w:t>
                  </w:r>
                </w:p>
              </w:tc>
              <w:tc>
                <w:tcPr>
                  <w:tcW w:w="655" w:type="pct"/>
                  <w:tcBorders>
                    <w:tl2br w:val="nil"/>
                    <w:tr2bl w:val="nil"/>
                  </w:tcBorders>
                  <w:noWrap w:val="0"/>
                  <w:vAlign w:val="center"/>
                </w:tcPr>
                <w:p w14:paraId="28AF5970">
                  <w:pPr>
                    <w:spacing w:line="240" w:lineRule="auto"/>
                    <w:ind w:left="0" w:leftChars="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纸箱</w:t>
                  </w:r>
                </w:p>
              </w:tc>
              <w:tc>
                <w:tcPr>
                  <w:tcW w:w="373" w:type="pct"/>
                  <w:tcBorders>
                    <w:tl2br w:val="nil"/>
                    <w:tr2bl w:val="nil"/>
                  </w:tcBorders>
                  <w:noWrap w:val="0"/>
                  <w:vAlign w:val="center"/>
                </w:tcPr>
                <w:p w14:paraId="582E59BD">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rPr>
                    <w:t>t/a</w:t>
                  </w:r>
                </w:p>
              </w:tc>
              <w:tc>
                <w:tcPr>
                  <w:tcW w:w="534" w:type="pct"/>
                  <w:tcBorders>
                    <w:tl2br w:val="nil"/>
                    <w:tr2bl w:val="nil"/>
                  </w:tcBorders>
                  <w:noWrap w:val="0"/>
                  <w:vAlign w:val="center"/>
                </w:tcPr>
                <w:p w14:paraId="57D94217">
                  <w:pPr>
                    <w:spacing w:line="240" w:lineRule="auto"/>
                    <w:ind w:left="0" w:leftChars="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w:t>
                  </w:r>
                </w:p>
              </w:tc>
              <w:tc>
                <w:tcPr>
                  <w:tcW w:w="506" w:type="pct"/>
                  <w:tcBorders>
                    <w:tl2br w:val="nil"/>
                    <w:tr2bl w:val="nil"/>
                  </w:tcBorders>
                  <w:noWrap w:val="0"/>
                  <w:vAlign w:val="center"/>
                </w:tcPr>
                <w:p w14:paraId="32502549">
                  <w:pPr>
                    <w:spacing w:line="240" w:lineRule="auto"/>
                    <w:ind w:left="0" w:leftChars="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w:t>
                  </w:r>
                </w:p>
              </w:tc>
              <w:tc>
                <w:tcPr>
                  <w:tcW w:w="934" w:type="pct"/>
                  <w:tcBorders>
                    <w:tl2br w:val="nil"/>
                    <w:tr2bl w:val="nil"/>
                  </w:tcBorders>
                  <w:noWrap w:val="0"/>
                  <w:vAlign w:val="center"/>
                </w:tcPr>
                <w:p w14:paraId="5090CE52">
                  <w:pPr>
                    <w:spacing w:line="240" w:lineRule="auto"/>
                    <w:ind w:left="0" w:leftChars="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用于包装</w:t>
                  </w:r>
                </w:p>
              </w:tc>
              <w:tc>
                <w:tcPr>
                  <w:tcW w:w="1013" w:type="pct"/>
                  <w:tcBorders>
                    <w:tl2br w:val="nil"/>
                    <w:tr2bl w:val="nil"/>
                  </w:tcBorders>
                  <w:noWrap w:val="0"/>
                  <w:vAlign w:val="center"/>
                </w:tcPr>
                <w:p w14:paraId="569C8A81">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卡板</w:t>
                  </w:r>
                </w:p>
              </w:tc>
              <w:tc>
                <w:tcPr>
                  <w:tcW w:w="731" w:type="pct"/>
                  <w:tcBorders>
                    <w:tl2br w:val="nil"/>
                    <w:tr2bl w:val="nil"/>
                  </w:tcBorders>
                  <w:noWrap w:val="0"/>
                  <w:vAlign w:val="center"/>
                </w:tcPr>
                <w:p w14:paraId="49C409CD">
                  <w:pPr>
                    <w:spacing w:line="240" w:lineRule="auto"/>
                    <w:ind w:left="0" w:leftChars="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eastAsia="zh-CN"/>
                    </w:rPr>
                    <w:t>三楼仓库</w:t>
                  </w:r>
                </w:p>
              </w:tc>
            </w:tr>
            <w:tr w14:paraId="6E185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tcBorders>
                    <w:tl2br w:val="nil"/>
                    <w:tr2bl w:val="nil"/>
                  </w:tcBorders>
                  <w:noWrap w:val="0"/>
                  <w:vAlign w:val="center"/>
                </w:tcPr>
                <w:p w14:paraId="000551B4">
                  <w:pPr>
                    <w:spacing w:line="240" w:lineRule="auto"/>
                    <w:ind w:left="0" w:leftChars="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20</w:t>
                  </w:r>
                </w:p>
              </w:tc>
              <w:tc>
                <w:tcPr>
                  <w:tcW w:w="655" w:type="pct"/>
                  <w:tcBorders>
                    <w:tl2br w:val="nil"/>
                    <w:tr2bl w:val="nil"/>
                  </w:tcBorders>
                  <w:noWrap w:val="0"/>
                  <w:vAlign w:val="center"/>
                </w:tcPr>
                <w:p w14:paraId="0C3FE1E9">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除锈油</w:t>
                  </w:r>
                </w:p>
              </w:tc>
              <w:tc>
                <w:tcPr>
                  <w:tcW w:w="373" w:type="pct"/>
                  <w:tcBorders>
                    <w:tl2br w:val="nil"/>
                    <w:tr2bl w:val="nil"/>
                  </w:tcBorders>
                  <w:noWrap w:val="0"/>
                  <w:vAlign w:val="center"/>
                </w:tcPr>
                <w:p w14:paraId="092DC78B">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rPr>
                    <w:t>t/a</w:t>
                  </w:r>
                </w:p>
              </w:tc>
              <w:tc>
                <w:tcPr>
                  <w:tcW w:w="534" w:type="pct"/>
                  <w:tcBorders>
                    <w:tl2br w:val="nil"/>
                    <w:tr2bl w:val="nil"/>
                  </w:tcBorders>
                  <w:noWrap w:val="0"/>
                  <w:vAlign w:val="center"/>
                </w:tcPr>
                <w:p w14:paraId="2281A313">
                  <w:pPr>
                    <w:spacing w:line="240" w:lineRule="auto"/>
                    <w:ind w:left="0" w:leftChars="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0.01</w:t>
                  </w:r>
                </w:p>
              </w:tc>
              <w:tc>
                <w:tcPr>
                  <w:tcW w:w="506" w:type="pct"/>
                  <w:tcBorders>
                    <w:tl2br w:val="nil"/>
                    <w:tr2bl w:val="nil"/>
                  </w:tcBorders>
                  <w:noWrap w:val="0"/>
                  <w:vAlign w:val="center"/>
                </w:tcPr>
                <w:p w14:paraId="1DA06DD6">
                  <w:pPr>
                    <w:spacing w:line="240" w:lineRule="auto"/>
                    <w:ind w:left="0" w:leftChars="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0.001</w:t>
                  </w:r>
                </w:p>
              </w:tc>
              <w:tc>
                <w:tcPr>
                  <w:tcW w:w="934" w:type="pct"/>
                  <w:tcBorders>
                    <w:tl2br w:val="nil"/>
                    <w:tr2bl w:val="nil"/>
                  </w:tcBorders>
                  <w:noWrap w:val="0"/>
                  <w:vAlign w:val="center"/>
                </w:tcPr>
                <w:p w14:paraId="69A4AF7F">
                  <w:pPr>
                    <w:spacing w:line="240" w:lineRule="auto"/>
                    <w:ind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color w:val="auto"/>
                      <w:sz w:val="21"/>
                      <w:szCs w:val="21"/>
                      <w:u w:val="none" w:color="auto"/>
                    </w:rPr>
                    <w:t>电芯</w:t>
                  </w:r>
                  <w:r>
                    <w:rPr>
                      <w:rFonts w:hint="eastAsia"/>
                      <w:color w:val="auto"/>
                      <w:sz w:val="21"/>
                      <w:szCs w:val="21"/>
                      <w:u w:val="none" w:color="auto"/>
                      <w:lang w:eastAsia="zh-CN"/>
                    </w:rPr>
                    <w:t>防</w:t>
                  </w:r>
                  <w:r>
                    <w:rPr>
                      <w:rFonts w:hint="eastAsia"/>
                      <w:color w:val="auto"/>
                      <w:sz w:val="21"/>
                      <w:szCs w:val="21"/>
                      <w:u w:val="none" w:color="auto"/>
                    </w:rPr>
                    <w:t>锈</w:t>
                  </w:r>
                </w:p>
              </w:tc>
              <w:tc>
                <w:tcPr>
                  <w:tcW w:w="1013" w:type="pct"/>
                  <w:tcBorders>
                    <w:tl2br w:val="nil"/>
                    <w:tr2bl w:val="nil"/>
                  </w:tcBorders>
                  <w:noWrap w:val="0"/>
                  <w:vAlign w:val="center"/>
                </w:tcPr>
                <w:p w14:paraId="21D1BE81">
                  <w:pPr>
                    <w:spacing w:line="240" w:lineRule="auto"/>
                    <w:ind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color w:val="auto"/>
                      <w:sz w:val="21"/>
                      <w:szCs w:val="21"/>
                      <w:u w:val="none" w:color="auto"/>
                    </w:rPr>
                    <w:t>液体，不锈钢桶装</w:t>
                  </w:r>
                </w:p>
              </w:tc>
              <w:tc>
                <w:tcPr>
                  <w:tcW w:w="731" w:type="pct"/>
                  <w:tcBorders>
                    <w:tl2br w:val="nil"/>
                    <w:tr2bl w:val="nil"/>
                  </w:tcBorders>
                  <w:noWrap w:val="0"/>
                  <w:vAlign w:val="center"/>
                </w:tcPr>
                <w:p w14:paraId="08F330E3">
                  <w:pPr>
                    <w:spacing w:line="240" w:lineRule="auto"/>
                    <w:ind w:firstLine="0" w:firstLineChars="0"/>
                    <w:jc w:val="center"/>
                    <w:rPr>
                      <w:color w:val="auto"/>
                      <w:sz w:val="21"/>
                      <w:szCs w:val="21"/>
                      <w:u w:val="none" w:color="auto"/>
                    </w:rPr>
                  </w:pPr>
                  <w:r>
                    <w:rPr>
                      <w:rFonts w:hint="eastAsia" w:cs="Times New Roman"/>
                      <w:color w:val="auto"/>
                      <w:sz w:val="21"/>
                      <w:szCs w:val="21"/>
                      <w:u w:val="none" w:color="auto"/>
                      <w:lang w:eastAsia="zh-CN"/>
                    </w:rPr>
                    <w:t>三楼仓库</w:t>
                  </w:r>
                </w:p>
              </w:tc>
            </w:tr>
            <w:tr w14:paraId="17DCF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tcBorders>
                    <w:tl2br w:val="nil"/>
                    <w:tr2bl w:val="nil"/>
                  </w:tcBorders>
                  <w:noWrap w:val="0"/>
                  <w:vAlign w:val="center"/>
                </w:tcPr>
                <w:p w14:paraId="3E569594">
                  <w:pPr>
                    <w:spacing w:line="240" w:lineRule="auto"/>
                    <w:ind w:left="0" w:leftChars="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21</w:t>
                  </w:r>
                </w:p>
              </w:tc>
              <w:tc>
                <w:tcPr>
                  <w:tcW w:w="655" w:type="pct"/>
                  <w:tcBorders>
                    <w:tl2br w:val="nil"/>
                    <w:tr2bl w:val="nil"/>
                  </w:tcBorders>
                  <w:noWrap w:val="0"/>
                  <w:vAlign w:val="center"/>
                </w:tcPr>
                <w:p w14:paraId="347A355E">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油墨</w:t>
                  </w:r>
                </w:p>
              </w:tc>
              <w:tc>
                <w:tcPr>
                  <w:tcW w:w="373" w:type="pct"/>
                  <w:tcBorders>
                    <w:tl2br w:val="nil"/>
                    <w:tr2bl w:val="nil"/>
                  </w:tcBorders>
                  <w:noWrap w:val="0"/>
                  <w:vAlign w:val="center"/>
                </w:tcPr>
                <w:p w14:paraId="4118E464">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rPr>
                    <w:t>t/a</w:t>
                  </w:r>
                </w:p>
              </w:tc>
              <w:tc>
                <w:tcPr>
                  <w:tcW w:w="534" w:type="pct"/>
                  <w:tcBorders>
                    <w:tl2br w:val="nil"/>
                    <w:tr2bl w:val="nil"/>
                  </w:tcBorders>
                  <w:noWrap w:val="0"/>
                  <w:vAlign w:val="center"/>
                </w:tcPr>
                <w:p w14:paraId="16C992B9">
                  <w:pPr>
                    <w:spacing w:line="240" w:lineRule="auto"/>
                    <w:ind w:left="0" w:leftChars="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0.02</w:t>
                  </w:r>
                </w:p>
              </w:tc>
              <w:tc>
                <w:tcPr>
                  <w:tcW w:w="506" w:type="pct"/>
                  <w:tcBorders>
                    <w:tl2br w:val="nil"/>
                    <w:tr2bl w:val="nil"/>
                  </w:tcBorders>
                  <w:noWrap w:val="0"/>
                  <w:vAlign w:val="center"/>
                </w:tcPr>
                <w:p w14:paraId="0B761999">
                  <w:pPr>
                    <w:spacing w:line="240" w:lineRule="auto"/>
                    <w:ind w:left="0" w:leftChars="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0.02</w:t>
                  </w:r>
                </w:p>
              </w:tc>
              <w:tc>
                <w:tcPr>
                  <w:tcW w:w="934" w:type="pct"/>
                  <w:tcBorders>
                    <w:tl2br w:val="nil"/>
                    <w:tr2bl w:val="nil"/>
                  </w:tcBorders>
                  <w:noWrap w:val="0"/>
                  <w:vAlign w:val="center"/>
                </w:tcPr>
                <w:p w14:paraId="33B840FE">
                  <w:pPr>
                    <w:spacing w:line="240" w:lineRule="auto"/>
                    <w:ind w:left="0" w:leftChars="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喷码</w:t>
                  </w:r>
                </w:p>
              </w:tc>
              <w:tc>
                <w:tcPr>
                  <w:tcW w:w="1013" w:type="pct"/>
                  <w:tcBorders>
                    <w:tl2br w:val="nil"/>
                    <w:tr2bl w:val="nil"/>
                  </w:tcBorders>
                  <w:noWrap w:val="0"/>
                  <w:vAlign w:val="center"/>
                </w:tcPr>
                <w:p w14:paraId="4EB139CE">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rPr>
                    <w:t>液体、桶装</w:t>
                  </w:r>
                </w:p>
              </w:tc>
              <w:tc>
                <w:tcPr>
                  <w:tcW w:w="731" w:type="pct"/>
                  <w:tcBorders>
                    <w:tl2br w:val="nil"/>
                    <w:tr2bl w:val="nil"/>
                  </w:tcBorders>
                  <w:noWrap w:val="0"/>
                  <w:vAlign w:val="center"/>
                </w:tcPr>
                <w:p w14:paraId="792BA89C">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cs="Times New Roman"/>
                      <w:color w:val="auto"/>
                      <w:sz w:val="21"/>
                      <w:szCs w:val="21"/>
                      <w:u w:val="none" w:color="auto"/>
                      <w:lang w:eastAsia="zh-CN"/>
                    </w:rPr>
                    <w:t>三楼仓库</w:t>
                  </w:r>
                </w:p>
              </w:tc>
            </w:tr>
            <w:tr w14:paraId="643F8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tcBorders>
                    <w:tl2br w:val="nil"/>
                    <w:tr2bl w:val="nil"/>
                  </w:tcBorders>
                  <w:noWrap w:val="0"/>
                  <w:vAlign w:val="center"/>
                </w:tcPr>
                <w:p w14:paraId="4B4C364E">
                  <w:pPr>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22</w:t>
                  </w:r>
                </w:p>
              </w:tc>
              <w:tc>
                <w:tcPr>
                  <w:tcW w:w="655" w:type="pct"/>
                  <w:tcBorders>
                    <w:tl2br w:val="nil"/>
                    <w:tr2bl w:val="nil"/>
                  </w:tcBorders>
                  <w:noWrap w:val="0"/>
                  <w:vAlign w:val="center"/>
                </w:tcPr>
                <w:p w14:paraId="667734A3">
                  <w:pPr>
                    <w:spacing w:line="240" w:lineRule="auto"/>
                    <w:ind w:left="0" w:leftChars="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聚合氯化铝（PAC）</w:t>
                  </w:r>
                </w:p>
              </w:tc>
              <w:tc>
                <w:tcPr>
                  <w:tcW w:w="373" w:type="pct"/>
                  <w:tcBorders>
                    <w:tl2br w:val="nil"/>
                    <w:tr2bl w:val="nil"/>
                  </w:tcBorders>
                  <w:noWrap w:val="0"/>
                  <w:vAlign w:val="center"/>
                </w:tcPr>
                <w:p w14:paraId="097BFF52">
                  <w:pPr>
                    <w:spacing w:line="240" w:lineRule="auto"/>
                    <w:ind w:left="0" w:leftChars="0"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t/a</w:t>
                  </w:r>
                </w:p>
              </w:tc>
              <w:tc>
                <w:tcPr>
                  <w:tcW w:w="534" w:type="pct"/>
                  <w:tcBorders>
                    <w:tl2br w:val="nil"/>
                    <w:tr2bl w:val="nil"/>
                  </w:tcBorders>
                  <w:noWrap w:val="0"/>
                  <w:vAlign w:val="center"/>
                </w:tcPr>
                <w:p w14:paraId="0DA8FEC5">
                  <w:pPr>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0.01</w:t>
                  </w:r>
                </w:p>
              </w:tc>
              <w:tc>
                <w:tcPr>
                  <w:tcW w:w="506" w:type="pct"/>
                  <w:tcBorders>
                    <w:tl2br w:val="nil"/>
                    <w:tr2bl w:val="nil"/>
                  </w:tcBorders>
                  <w:noWrap w:val="0"/>
                  <w:vAlign w:val="center"/>
                </w:tcPr>
                <w:p w14:paraId="2D589F2F">
                  <w:pPr>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0.25</w:t>
                  </w:r>
                </w:p>
              </w:tc>
              <w:tc>
                <w:tcPr>
                  <w:tcW w:w="934" w:type="pct"/>
                  <w:tcBorders>
                    <w:tl2br w:val="nil"/>
                    <w:tr2bl w:val="nil"/>
                  </w:tcBorders>
                  <w:noWrap w:val="0"/>
                  <w:vAlign w:val="center"/>
                </w:tcPr>
                <w:p w14:paraId="309304F5">
                  <w:pPr>
                    <w:spacing w:line="240" w:lineRule="auto"/>
                    <w:ind w:left="0" w:leftChars="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废水混凝沉淀</w:t>
                  </w:r>
                </w:p>
              </w:tc>
              <w:tc>
                <w:tcPr>
                  <w:tcW w:w="1013" w:type="pct"/>
                  <w:tcBorders>
                    <w:tl2br w:val="nil"/>
                    <w:tr2bl w:val="nil"/>
                  </w:tcBorders>
                  <w:noWrap w:val="0"/>
                  <w:vAlign w:val="center"/>
                </w:tcPr>
                <w:p w14:paraId="5CCAB6C8">
                  <w:pPr>
                    <w:spacing w:line="240" w:lineRule="auto"/>
                    <w:ind w:left="0" w:leftChars="0" w:firstLine="0" w:firstLineChars="0"/>
                    <w:jc w:val="center"/>
                    <w:rPr>
                      <w:rFonts w:hint="eastAsia" w:ascii="Times New Roman" w:hAnsi="Times New Roman" w:eastAsia="宋体" w:cs="Times New Roman"/>
                      <w:color w:val="auto"/>
                      <w:sz w:val="21"/>
                      <w:szCs w:val="21"/>
                      <w:u w:val="none" w:color="auto"/>
                      <w:lang w:eastAsia="zh-CN"/>
                    </w:rPr>
                  </w:pPr>
                  <w:r>
                    <w:rPr>
                      <w:rFonts w:hint="eastAsia" w:cs="Times New Roman"/>
                      <w:color w:val="auto"/>
                      <w:sz w:val="21"/>
                      <w:szCs w:val="21"/>
                      <w:u w:val="none" w:color="auto"/>
                      <w:lang w:eastAsia="zh-CN"/>
                    </w:rPr>
                    <w:t>袋装</w:t>
                  </w:r>
                </w:p>
              </w:tc>
              <w:tc>
                <w:tcPr>
                  <w:tcW w:w="731" w:type="pct"/>
                  <w:tcBorders>
                    <w:tl2br w:val="nil"/>
                    <w:tr2bl w:val="nil"/>
                  </w:tcBorders>
                  <w:noWrap w:val="0"/>
                  <w:vAlign w:val="center"/>
                </w:tcPr>
                <w:p w14:paraId="7A71EB80">
                  <w:pPr>
                    <w:spacing w:line="240" w:lineRule="auto"/>
                    <w:ind w:left="0" w:leftChars="0" w:firstLine="0" w:firstLineChars="0"/>
                    <w:jc w:val="center"/>
                    <w:rPr>
                      <w:rFonts w:hint="eastAsia" w:cs="Times New Roman"/>
                      <w:color w:val="auto"/>
                      <w:sz w:val="21"/>
                      <w:szCs w:val="21"/>
                      <w:u w:val="none" w:color="auto"/>
                      <w:lang w:eastAsia="zh-CN"/>
                    </w:rPr>
                  </w:pPr>
                  <w:r>
                    <w:rPr>
                      <w:rFonts w:hint="eastAsia" w:cs="Times New Roman"/>
                      <w:color w:val="auto"/>
                      <w:sz w:val="21"/>
                      <w:szCs w:val="21"/>
                      <w:u w:val="none" w:color="auto"/>
                      <w:lang w:eastAsia="zh-CN"/>
                    </w:rPr>
                    <w:t>一楼仓库</w:t>
                  </w:r>
                </w:p>
              </w:tc>
            </w:tr>
          </w:tbl>
          <w:p w14:paraId="21F5B552">
            <w:pPr>
              <w:bidi w:val="0"/>
              <w:rPr>
                <w:color w:val="auto"/>
                <w:u w:val="none" w:color="auto"/>
              </w:rPr>
            </w:pPr>
            <w:r>
              <w:rPr>
                <w:rFonts w:hint="eastAsia"/>
                <w:color w:val="auto"/>
                <w:u w:val="none" w:color="auto"/>
              </w:rPr>
              <w:t>注：</w:t>
            </w:r>
            <w:r>
              <w:rPr>
                <w:rFonts w:hint="eastAsia"/>
                <w:color w:val="auto"/>
                <w:u w:val="none" w:color="auto"/>
                <w:lang w:eastAsia="zh-CN"/>
              </w:rPr>
              <w:t>本</w:t>
            </w:r>
            <w:r>
              <w:rPr>
                <w:rFonts w:hint="eastAsia"/>
                <w:color w:val="auto"/>
                <w:u w:val="none" w:color="auto"/>
                <w:lang w:val="de-DE"/>
              </w:rPr>
              <w:t>项目原辅材料、产品均按批次，品种分区域存放</w:t>
            </w:r>
            <w:r>
              <w:rPr>
                <w:rFonts w:hint="eastAsia"/>
                <w:color w:val="auto"/>
                <w:u w:val="none" w:color="auto"/>
                <w:lang w:val="de-DE" w:eastAsia="zh-CN"/>
              </w:rPr>
              <w:t>，</w:t>
            </w:r>
            <w:r>
              <w:rPr>
                <w:rFonts w:hint="eastAsia"/>
                <w:color w:val="auto"/>
                <w:u w:val="none" w:color="auto"/>
                <w:lang w:val="en-US" w:eastAsia="zh-CN"/>
              </w:rPr>
              <w:t>化学品存放在</w:t>
            </w:r>
            <w:r>
              <w:rPr>
                <w:rFonts w:hint="default"/>
                <w:color w:val="auto"/>
                <w:u w:val="none" w:color="auto"/>
              </w:rPr>
              <w:t>专门的化学品库贮存原料</w:t>
            </w:r>
            <w:r>
              <w:rPr>
                <w:rFonts w:hint="eastAsia"/>
                <w:color w:val="auto"/>
                <w:u w:val="none" w:color="auto"/>
                <w:lang w:val="de-DE"/>
              </w:rPr>
              <w:t>，储存周期为</w:t>
            </w:r>
            <w:r>
              <w:rPr>
                <w:rFonts w:hint="eastAsia"/>
                <w:color w:val="auto"/>
                <w:u w:val="none" w:color="auto"/>
                <w:lang w:val="en-US" w:eastAsia="zh-CN"/>
              </w:rPr>
              <w:t>15-30</w:t>
            </w:r>
            <w:r>
              <w:rPr>
                <w:rFonts w:hint="eastAsia"/>
                <w:color w:val="auto"/>
                <w:u w:val="none" w:color="auto"/>
                <w:lang w:val="de-DE" w:eastAsia="zh-CN"/>
              </w:rPr>
              <w:t>天</w:t>
            </w:r>
            <w:r>
              <w:rPr>
                <w:rFonts w:hint="eastAsia"/>
                <w:color w:val="auto"/>
                <w:u w:val="none" w:color="auto"/>
                <w:lang w:val="de-DE"/>
              </w:rPr>
              <w:t>。厂区内物料转运使用车辆装运，厂区外原材料及产品运输均通过汽车运输，由区内道路及市政道路运输。</w:t>
            </w:r>
          </w:p>
          <w:p w14:paraId="3D4A491F">
            <w:pPr>
              <w:ind w:firstLine="482"/>
              <w:rPr>
                <w:b/>
                <w:color w:val="auto"/>
                <w:u w:val="none" w:color="auto"/>
              </w:rPr>
            </w:pPr>
            <w:r>
              <w:rPr>
                <w:b/>
                <w:color w:val="auto"/>
                <w:u w:val="none" w:color="auto"/>
              </w:rPr>
              <w:t>本项目主要原材料理化性质如下：</w:t>
            </w:r>
          </w:p>
          <w:p w14:paraId="72D35E8D">
            <w:pPr>
              <w:spacing w:line="400" w:lineRule="exact"/>
              <w:ind w:firstLine="422"/>
              <w:jc w:val="center"/>
              <w:rPr>
                <w:rFonts w:hint="eastAsia"/>
                <w:b/>
                <w:bCs/>
                <w:color w:val="auto"/>
                <w:sz w:val="21"/>
                <w:szCs w:val="21"/>
                <w:u w:val="none" w:color="auto"/>
              </w:rPr>
            </w:pPr>
            <w:r>
              <w:rPr>
                <w:rFonts w:hint="eastAsia"/>
                <w:b/>
                <w:bCs/>
                <w:color w:val="auto"/>
                <w:sz w:val="21"/>
                <w:szCs w:val="21"/>
                <w:u w:val="none" w:color="auto"/>
              </w:rPr>
              <w:t>表2-4主要原辅材料理化性质或特点一览表</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1236"/>
              <w:gridCol w:w="4722"/>
              <w:gridCol w:w="1343"/>
            </w:tblGrid>
            <w:tr w14:paraId="28BA9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pct"/>
                  <w:noWrap w:val="0"/>
                  <w:vAlign w:val="center"/>
                </w:tcPr>
                <w:p w14:paraId="167B676B">
                  <w:pPr>
                    <w:spacing w:line="240" w:lineRule="auto"/>
                    <w:ind w:firstLine="0" w:firstLineChars="0"/>
                    <w:jc w:val="center"/>
                    <w:rPr>
                      <w:rFonts w:hint="eastAsia"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rPr>
                    <w:t>原辅材料</w:t>
                  </w:r>
                </w:p>
              </w:tc>
              <w:tc>
                <w:tcPr>
                  <w:tcW w:w="735" w:type="pct"/>
                  <w:noWrap w:val="0"/>
                  <w:vAlign w:val="center"/>
                </w:tcPr>
                <w:p w14:paraId="44915BB3">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主要成分</w:t>
                  </w:r>
                </w:p>
              </w:tc>
              <w:tc>
                <w:tcPr>
                  <w:tcW w:w="2809" w:type="pct"/>
                  <w:noWrap w:val="0"/>
                  <w:vAlign w:val="center"/>
                </w:tcPr>
                <w:p w14:paraId="30C615AD">
                  <w:pPr>
                    <w:spacing w:line="240" w:lineRule="auto"/>
                    <w:ind w:firstLine="0" w:firstLineChars="0"/>
                    <w:jc w:val="center"/>
                    <w:rPr>
                      <w:rFonts w:hint="eastAsia"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rPr>
                    <w:t>理化性质或特点</w:t>
                  </w:r>
                </w:p>
              </w:tc>
              <w:tc>
                <w:tcPr>
                  <w:tcW w:w="799" w:type="pct"/>
                  <w:noWrap w:val="0"/>
                  <w:vAlign w:val="center"/>
                </w:tcPr>
                <w:p w14:paraId="058B00FF">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危险性</w:t>
                  </w:r>
                </w:p>
              </w:tc>
            </w:tr>
            <w:tr w14:paraId="67634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pct"/>
                  <w:noWrap w:val="0"/>
                  <w:vAlign w:val="center"/>
                </w:tcPr>
                <w:p w14:paraId="6AED51A0">
                  <w:pPr>
                    <w:spacing w:line="240" w:lineRule="auto"/>
                    <w:ind w:firstLine="0" w:firstLineChars="0"/>
                    <w:jc w:val="center"/>
                    <w:rPr>
                      <w:rFonts w:hint="eastAsia"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rPr>
                    <w:t>镍钴锰酸锂</w:t>
                  </w:r>
                </w:p>
              </w:tc>
              <w:tc>
                <w:tcPr>
                  <w:tcW w:w="735" w:type="pct"/>
                  <w:noWrap w:val="0"/>
                  <w:vAlign w:val="center"/>
                </w:tcPr>
                <w:p w14:paraId="3C206CFE">
                  <w:pPr>
                    <w:spacing w:line="240" w:lineRule="auto"/>
                    <w:ind w:firstLine="0" w:firstLineChars="0"/>
                    <w:jc w:val="center"/>
                    <w:rPr>
                      <w:rFonts w:hint="eastAsia"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rPr>
                    <w:t>LiNixCoyMn1-x-yO</w:t>
                  </w:r>
                  <w:r>
                    <w:rPr>
                      <w:rFonts w:hint="eastAsia" w:ascii="Times New Roman" w:hAnsi="Times New Roman" w:cs="Times New Roman"/>
                      <w:color w:val="auto"/>
                      <w:sz w:val="21"/>
                      <w:szCs w:val="21"/>
                      <w:u w:val="none" w:color="auto"/>
                      <w:vertAlign w:val="subscript"/>
                    </w:rPr>
                    <w:t>2</w:t>
                  </w:r>
                </w:p>
              </w:tc>
              <w:tc>
                <w:tcPr>
                  <w:tcW w:w="2809" w:type="pct"/>
                  <w:noWrap w:val="0"/>
                  <w:vAlign w:val="center"/>
                </w:tcPr>
                <w:p w14:paraId="282C6CBC">
                  <w:pPr>
                    <w:spacing w:line="240" w:lineRule="auto"/>
                    <w:ind w:firstLine="0" w:firstLineChars="0"/>
                    <w:jc w:val="center"/>
                    <w:rPr>
                      <w:rFonts w:hint="eastAsia"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rPr>
                    <w:t>黑色固体粉末，流动性好，无结块物，球形或类球形颗粒，振实密度2.0</w:t>
                  </w:r>
                  <w:r>
                    <w:rPr>
                      <w:rFonts w:hint="eastAsia" w:cs="Times New Roman"/>
                      <w:color w:val="auto"/>
                      <w:sz w:val="21"/>
                      <w:szCs w:val="21"/>
                      <w:u w:val="none" w:color="auto"/>
                      <w:lang w:eastAsia="zh-CN"/>
                    </w:rPr>
                    <w:t>～</w:t>
                  </w:r>
                  <w:r>
                    <w:rPr>
                      <w:rFonts w:hint="eastAsia" w:ascii="Times New Roman" w:hAnsi="Times New Roman" w:cs="Times New Roman"/>
                      <w:color w:val="auto"/>
                      <w:sz w:val="21"/>
                      <w:szCs w:val="21"/>
                      <w:u w:val="none" w:color="auto"/>
                    </w:rPr>
                    <w:t>2.4g/cm</w:t>
                  </w:r>
                  <w:r>
                    <w:rPr>
                      <w:rFonts w:hint="eastAsia" w:ascii="Times New Roman" w:hAnsi="Times New Roman" w:cs="Times New Roman"/>
                      <w:color w:val="auto"/>
                      <w:sz w:val="21"/>
                      <w:szCs w:val="21"/>
                      <w:u w:val="none" w:color="auto"/>
                      <w:vertAlign w:val="superscript"/>
                    </w:rPr>
                    <w:t>3</w:t>
                  </w:r>
                  <w:r>
                    <w:rPr>
                      <w:rFonts w:hint="eastAsia" w:ascii="Times New Roman" w:hAnsi="Times New Roman" w:cs="Times New Roman"/>
                      <w:color w:val="auto"/>
                      <w:sz w:val="21"/>
                      <w:szCs w:val="21"/>
                      <w:u w:val="none" w:color="auto"/>
                    </w:rPr>
                    <w:t>，比表面积0.3~0.8m</w:t>
                  </w:r>
                  <w:r>
                    <w:rPr>
                      <w:rFonts w:hint="eastAsia" w:ascii="Times New Roman" w:hAnsi="Times New Roman" w:cs="Times New Roman"/>
                      <w:color w:val="auto"/>
                      <w:sz w:val="21"/>
                      <w:szCs w:val="21"/>
                      <w:u w:val="none" w:color="auto"/>
                      <w:vertAlign w:val="superscript"/>
                    </w:rPr>
                    <w:t>2</w:t>
                  </w:r>
                  <w:r>
                    <w:rPr>
                      <w:rFonts w:hint="eastAsia" w:ascii="Times New Roman" w:hAnsi="Times New Roman" w:cs="Times New Roman"/>
                      <w:color w:val="auto"/>
                      <w:sz w:val="21"/>
                      <w:szCs w:val="21"/>
                      <w:u w:val="none" w:color="auto"/>
                    </w:rPr>
                    <w:t>/g，粒径大小（D50）9~12um，首次放电容量&gt;148mAh/g。</w:t>
                  </w:r>
                </w:p>
              </w:tc>
              <w:tc>
                <w:tcPr>
                  <w:tcW w:w="799" w:type="pct"/>
                  <w:noWrap w:val="0"/>
                  <w:vAlign w:val="center"/>
                </w:tcPr>
                <w:p w14:paraId="5A375B15">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性质稳定，不具腐蚀、爆炸性</w:t>
                  </w:r>
                </w:p>
              </w:tc>
            </w:tr>
            <w:tr w14:paraId="61936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pct"/>
                  <w:noWrap w:val="0"/>
                  <w:vAlign w:val="center"/>
                </w:tcPr>
                <w:p w14:paraId="6C4B4F48">
                  <w:pPr>
                    <w:spacing w:line="240" w:lineRule="auto"/>
                    <w:ind w:firstLine="0" w:firstLineChars="0"/>
                    <w:jc w:val="center"/>
                    <w:rPr>
                      <w:rFonts w:hint="eastAsia"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rPr>
                    <w:t>锰酸锂</w:t>
                  </w:r>
                </w:p>
              </w:tc>
              <w:tc>
                <w:tcPr>
                  <w:tcW w:w="735" w:type="pct"/>
                  <w:noWrap w:val="0"/>
                  <w:vAlign w:val="center"/>
                </w:tcPr>
                <w:p w14:paraId="0228512E">
                  <w:pPr>
                    <w:spacing w:line="240" w:lineRule="auto"/>
                    <w:ind w:firstLine="0" w:firstLineChars="0"/>
                    <w:jc w:val="center"/>
                    <w:rPr>
                      <w:rFonts w:hint="eastAsia"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rPr>
                    <w:t>LiMn</w:t>
                  </w:r>
                  <w:r>
                    <w:rPr>
                      <w:rFonts w:hint="eastAsia" w:ascii="Times New Roman" w:hAnsi="Times New Roman" w:cs="Times New Roman"/>
                      <w:color w:val="auto"/>
                      <w:sz w:val="21"/>
                      <w:szCs w:val="21"/>
                      <w:u w:val="none" w:color="auto"/>
                      <w:vertAlign w:val="subscript"/>
                    </w:rPr>
                    <w:t>2</w:t>
                  </w:r>
                  <w:r>
                    <w:rPr>
                      <w:rFonts w:hint="eastAsia" w:ascii="Times New Roman" w:hAnsi="Times New Roman" w:cs="Times New Roman"/>
                      <w:color w:val="auto"/>
                      <w:sz w:val="21"/>
                      <w:szCs w:val="21"/>
                      <w:u w:val="none" w:color="auto"/>
                    </w:rPr>
                    <w:t>O</w:t>
                  </w:r>
                  <w:r>
                    <w:rPr>
                      <w:rFonts w:hint="eastAsia" w:ascii="Times New Roman" w:hAnsi="Times New Roman" w:cs="Times New Roman"/>
                      <w:color w:val="auto"/>
                      <w:sz w:val="21"/>
                      <w:szCs w:val="21"/>
                      <w:u w:val="none" w:color="auto"/>
                      <w:vertAlign w:val="subscript"/>
                    </w:rPr>
                    <w:t>4</w:t>
                  </w:r>
                </w:p>
              </w:tc>
              <w:tc>
                <w:tcPr>
                  <w:tcW w:w="2809" w:type="pct"/>
                  <w:noWrap w:val="0"/>
                  <w:vAlign w:val="center"/>
                </w:tcPr>
                <w:p w14:paraId="2B8F1042">
                  <w:pPr>
                    <w:spacing w:line="240" w:lineRule="auto"/>
                    <w:ind w:firstLine="0" w:firstLineChars="0"/>
                    <w:jc w:val="center"/>
                    <w:rPr>
                      <w:rFonts w:hint="eastAsia"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rPr>
                    <w:t>尖晶石相，黑灰色粉末</w:t>
                  </w:r>
                  <w:r>
                    <w:rPr>
                      <w:rFonts w:hint="eastAsia" w:ascii="Times New Roman" w:hAnsi="Times New Roman" w:cs="Times New Roman"/>
                      <w:color w:val="auto"/>
                      <w:sz w:val="21"/>
                      <w:szCs w:val="21"/>
                      <w:u w:val="none" w:color="auto"/>
                      <w:lang w:eastAsia="zh-CN"/>
                    </w:rPr>
                    <w:t>，</w:t>
                  </w:r>
                  <w:r>
                    <w:rPr>
                      <w:rFonts w:hint="eastAsia" w:ascii="Times New Roman" w:hAnsi="Times New Roman" w:cs="Times New Roman"/>
                      <w:color w:val="auto"/>
                      <w:sz w:val="21"/>
                      <w:szCs w:val="21"/>
                      <w:u w:val="none" w:color="auto"/>
                    </w:rPr>
                    <w:t>易溶于水</w:t>
                  </w:r>
                </w:p>
              </w:tc>
              <w:tc>
                <w:tcPr>
                  <w:tcW w:w="799" w:type="pct"/>
                  <w:noWrap w:val="0"/>
                  <w:vAlign w:val="center"/>
                </w:tcPr>
                <w:p w14:paraId="44A1FA6D">
                  <w:pPr>
                    <w:spacing w:line="240" w:lineRule="auto"/>
                    <w:ind w:firstLine="0" w:firstLineChars="0"/>
                    <w:jc w:val="center"/>
                    <w:rPr>
                      <w:rFonts w:hint="eastAsia"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rPr>
                    <w:t>性质稳定，不具腐蚀、爆炸性</w:t>
                  </w:r>
                </w:p>
              </w:tc>
            </w:tr>
            <w:tr w14:paraId="30444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pct"/>
                  <w:noWrap w:val="0"/>
                  <w:vAlign w:val="center"/>
                </w:tcPr>
                <w:p w14:paraId="4AB77723">
                  <w:pPr>
                    <w:spacing w:line="240" w:lineRule="auto"/>
                    <w:ind w:firstLine="0" w:firstLineChars="0"/>
                    <w:jc w:val="center"/>
                    <w:rPr>
                      <w:rFonts w:hint="eastAsia"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钴酸锂</w:t>
                  </w:r>
                </w:p>
              </w:tc>
              <w:tc>
                <w:tcPr>
                  <w:tcW w:w="735" w:type="pct"/>
                  <w:noWrap w:val="0"/>
                  <w:vAlign w:val="center"/>
                </w:tcPr>
                <w:p w14:paraId="7D343741">
                  <w:pPr>
                    <w:spacing w:line="240" w:lineRule="auto"/>
                    <w:ind w:firstLine="0" w:firstLineChars="0"/>
                    <w:jc w:val="center"/>
                    <w:rPr>
                      <w:rFonts w:hint="eastAsia" w:ascii="Times New Roman" w:hAnsi="Times New Roman" w:eastAsia="宋体" w:cs="Times New Roman"/>
                      <w:color w:val="auto"/>
                      <w:sz w:val="21"/>
                      <w:szCs w:val="21"/>
                      <w:u w:val="none" w:color="auto"/>
                      <w:lang w:eastAsia="zh-CN"/>
                    </w:rPr>
                  </w:pPr>
                  <w:r>
                    <w:rPr>
                      <w:rFonts w:hint="default" w:ascii="Times New Roman" w:hAnsi="Times New Roman" w:cs="Times New Roman"/>
                      <w:color w:val="auto"/>
                      <w:sz w:val="21"/>
                      <w:szCs w:val="21"/>
                      <w:u w:val="none" w:color="auto"/>
                    </w:rPr>
                    <w:t>LiCoO</w:t>
                  </w:r>
                  <w:r>
                    <w:rPr>
                      <w:rFonts w:hint="eastAsia" w:ascii="Times New Roman" w:hAnsi="Times New Roman" w:cs="Times New Roman"/>
                      <w:color w:val="auto"/>
                      <w:sz w:val="21"/>
                      <w:szCs w:val="21"/>
                      <w:u w:val="none" w:color="auto"/>
                      <w:vertAlign w:val="subscript"/>
                      <w:lang w:val="en-US" w:eastAsia="zh-CN"/>
                    </w:rPr>
                    <w:t>2</w:t>
                  </w:r>
                </w:p>
              </w:tc>
              <w:tc>
                <w:tcPr>
                  <w:tcW w:w="2809" w:type="pct"/>
                  <w:noWrap w:val="0"/>
                  <w:vAlign w:val="center"/>
                </w:tcPr>
                <w:p w14:paraId="5B2C26CB">
                  <w:pPr>
                    <w:spacing w:line="240" w:lineRule="auto"/>
                    <w:ind w:firstLine="0" w:firstLineChars="0"/>
                    <w:jc w:val="center"/>
                    <w:rPr>
                      <w:rFonts w:hint="eastAsia"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rPr>
                    <w:t>灰黑色粉末。在酸性溶液中是强氧化剂，能将CI</w:t>
                  </w:r>
                  <w:r>
                    <w:rPr>
                      <w:rFonts w:hint="eastAsia" w:ascii="Times New Roman" w:hAnsi="Times New Roman" w:cs="Times New Roman"/>
                      <w:color w:val="auto"/>
                      <w:sz w:val="21"/>
                      <w:szCs w:val="21"/>
                      <w:u w:val="none" w:color="auto"/>
                      <w:vertAlign w:val="superscript"/>
                    </w:rPr>
                    <w:t>-</w:t>
                  </w:r>
                  <w:r>
                    <w:rPr>
                      <w:rFonts w:hint="eastAsia" w:ascii="Times New Roman" w:hAnsi="Times New Roman" w:cs="Times New Roman"/>
                      <w:color w:val="auto"/>
                      <w:sz w:val="21"/>
                      <w:szCs w:val="21"/>
                      <w:u w:val="none" w:color="auto"/>
                    </w:rPr>
                    <w:t>氧化为Cl</w:t>
                  </w:r>
                  <w:r>
                    <w:rPr>
                      <w:rFonts w:hint="eastAsia" w:ascii="Times New Roman" w:hAnsi="Times New Roman" w:cs="Times New Roman"/>
                      <w:color w:val="auto"/>
                      <w:sz w:val="21"/>
                      <w:szCs w:val="21"/>
                      <w:u w:val="none" w:color="auto"/>
                      <w:vertAlign w:val="subscript"/>
                    </w:rPr>
                    <w:t>2</w:t>
                  </w:r>
                  <w:r>
                    <w:rPr>
                      <w:rFonts w:hint="eastAsia" w:ascii="Times New Roman" w:hAnsi="Times New Roman" w:cs="Times New Roman"/>
                      <w:color w:val="auto"/>
                      <w:sz w:val="21"/>
                      <w:szCs w:val="21"/>
                      <w:u w:val="none" w:color="auto"/>
                    </w:rPr>
                    <w:t>，将Mn</w:t>
                  </w:r>
                  <w:r>
                    <w:rPr>
                      <w:rFonts w:hint="eastAsia" w:ascii="Times New Roman" w:hAnsi="Times New Roman" w:cs="Times New Roman"/>
                      <w:color w:val="auto"/>
                      <w:sz w:val="21"/>
                      <w:szCs w:val="21"/>
                      <w:u w:val="none" w:color="auto"/>
                      <w:vertAlign w:val="superscript"/>
                    </w:rPr>
                    <w:t>2+</w:t>
                  </w:r>
                  <w:r>
                    <w:rPr>
                      <w:rFonts w:hint="eastAsia" w:ascii="Times New Roman" w:hAnsi="Times New Roman" w:cs="Times New Roman"/>
                      <w:color w:val="auto"/>
                      <w:sz w:val="21"/>
                      <w:szCs w:val="21"/>
                      <w:u w:val="none" w:color="auto"/>
                    </w:rPr>
                    <w:t>氧化为MnO</w:t>
                  </w:r>
                  <w:r>
                    <w:rPr>
                      <w:rFonts w:hint="eastAsia" w:ascii="Times New Roman" w:hAnsi="Times New Roman" w:cs="Times New Roman"/>
                      <w:color w:val="auto"/>
                      <w:sz w:val="21"/>
                      <w:szCs w:val="21"/>
                      <w:u w:val="none" w:color="auto"/>
                      <w:vertAlign w:val="superscript"/>
                    </w:rPr>
                    <w:t>4-</w:t>
                  </w:r>
                  <w:r>
                    <w:rPr>
                      <w:rFonts w:hint="eastAsia" w:ascii="Times New Roman" w:hAnsi="Times New Roman" w:cs="Times New Roman"/>
                      <w:color w:val="auto"/>
                      <w:sz w:val="21"/>
                      <w:szCs w:val="21"/>
                      <w:u w:val="none" w:color="auto"/>
                    </w:rPr>
                    <w:t>。在酸性溶液中的氧化还原电位比高铁酸弱一些，但远高于高锰酸。</w:t>
                  </w:r>
                </w:p>
              </w:tc>
              <w:tc>
                <w:tcPr>
                  <w:tcW w:w="799" w:type="pct"/>
                  <w:noWrap w:val="0"/>
                  <w:vAlign w:val="center"/>
                </w:tcPr>
                <w:p w14:paraId="71096C38">
                  <w:pPr>
                    <w:spacing w:line="240" w:lineRule="auto"/>
                    <w:ind w:firstLine="0" w:firstLineChars="0"/>
                    <w:jc w:val="center"/>
                    <w:rPr>
                      <w:rFonts w:hint="eastAsia"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rPr>
                    <w:t>吸入和皮肤接触会导致过敏</w:t>
                  </w:r>
                </w:p>
              </w:tc>
            </w:tr>
            <w:tr w14:paraId="3CCFF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pct"/>
                  <w:noWrap w:val="0"/>
                  <w:vAlign w:val="center"/>
                </w:tcPr>
                <w:p w14:paraId="2C469C4B">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正极溶剂</w:t>
                  </w:r>
                </w:p>
              </w:tc>
              <w:tc>
                <w:tcPr>
                  <w:tcW w:w="735" w:type="pct"/>
                  <w:noWrap w:val="0"/>
                  <w:vAlign w:val="center"/>
                </w:tcPr>
                <w:p w14:paraId="4CC81CAA">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N-甲基吡咯烷酮</w:t>
                  </w:r>
                  <w:r>
                    <w:rPr>
                      <w:rFonts w:hint="eastAsia"/>
                      <w:color w:val="auto"/>
                      <w:sz w:val="21"/>
                      <w:szCs w:val="21"/>
                      <w:u w:val="none" w:color="auto"/>
                      <w:lang w:eastAsia="zh-CN"/>
                    </w:rPr>
                    <w:t>（</w:t>
                  </w:r>
                  <w:r>
                    <w:rPr>
                      <w:rFonts w:hint="eastAsia"/>
                      <w:color w:val="auto"/>
                      <w:sz w:val="21"/>
                      <w:szCs w:val="21"/>
                      <w:u w:val="none" w:color="auto"/>
                    </w:rPr>
                    <w:t>NMP</w:t>
                  </w:r>
                  <w:r>
                    <w:rPr>
                      <w:rFonts w:hint="eastAsia"/>
                      <w:color w:val="auto"/>
                      <w:sz w:val="21"/>
                      <w:szCs w:val="21"/>
                      <w:u w:val="none" w:color="auto"/>
                      <w:lang w:eastAsia="zh-CN"/>
                    </w:rPr>
                    <w:t>）</w:t>
                  </w:r>
                </w:p>
              </w:tc>
              <w:tc>
                <w:tcPr>
                  <w:tcW w:w="2809" w:type="pct"/>
                  <w:noWrap w:val="0"/>
                  <w:vAlign w:val="center"/>
                </w:tcPr>
                <w:p w14:paraId="4E9FBAB9">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无色透明油状液体，微有胺的气味。熔点-24.4℃，沸点203℃，相对密度1.033，折射率1.486，闪点95℃，溶解性能与水、醇、醚、酯、酮、卤代烃、芳烃互溶。毒性：大鼠口服毒性LD</w:t>
                  </w:r>
                  <w:r>
                    <w:rPr>
                      <w:rFonts w:hint="eastAsia"/>
                      <w:color w:val="auto"/>
                      <w:sz w:val="21"/>
                      <w:szCs w:val="21"/>
                      <w:u w:val="none" w:color="auto"/>
                      <w:vertAlign w:val="subscript"/>
                    </w:rPr>
                    <w:t>50</w:t>
                  </w:r>
                  <w:r>
                    <w:rPr>
                      <w:rFonts w:hint="eastAsia"/>
                      <w:color w:val="auto"/>
                      <w:sz w:val="21"/>
                      <w:szCs w:val="21"/>
                      <w:u w:val="none" w:color="auto"/>
                    </w:rPr>
                    <w:t>＝7725mg/kg，兔子经皮毒性LD</w:t>
                  </w:r>
                  <w:r>
                    <w:rPr>
                      <w:rFonts w:hint="eastAsia"/>
                      <w:color w:val="auto"/>
                      <w:sz w:val="21"/>
                      <w:szCs w:val="21"/>
                      <w:u w:val="none" w:color="auto"/>
                      <w:vertAlign w:val="subscript"/>
                    </w:rPr>
                    <w:t>50</w:t>
                  </w:r>
                  <w:r>
                    <w:rPr>
                      <w:rFonts w:hint="eastAsia"/>
                      <w:color w:val="auto"/>
                      <w:sz w:val="21"/>
                      <w:szCs w:val="21"/>
                      <w:u w:val="none" w:color="auto"/>
                    </w:rPr>
                    <w:t>=8000mg/kg。有较强的渗透性。用途：广泛用于高级润滑油精制、聚合物的合成、绝缘材料、农药、颜料及清洗剂等。</w:t>
                  </w:r>
                </w:p>
              </w:tc>
              <w:tc>
                <w:tcPr>
                  <w:tcW w:w="799" w:type="pct"/>
                  <w:noWrap w:val="0"/>
                  <w:vAlign w:val="center"/>
                </w:tcPr>
                <w:p w14:paraId="1948CDF8">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对皮肤有轻度刺激作用，由于蒸气压低，一次吸入的危险性很小</w:t>
                  </w:r>
                </w:p>
              </w:tc>
            </w:tr>
            <w:tr w14:paraId="0F069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656" w:type="pct"/>
                  <w:noWrap w:val="0"/>
                  <w:vAlign w:val="center"/>
                </w:tcPr>
                <w:p w14:paraId="02F4410A">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正极粘接剂</w:t>
                  </w:r>
                </w:p>
              </w:tc>
              <w:tc>
                <w:tcPr>
                  <w:tcW w:w="735" w:type="pct"/>
                  <w:noWrap w:val="0"/>
                  <w:vAlign w:val="center"/>
                </w:tcPr>
                <w:p w14:paraId="3C5E51C6">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聚偏氟乙烯（PVDF）</w:t>
                  </w:r>
                </w:p>
              </w:tc>
              <w:tc>
                <w:tcPr>
                  <w:tcW w:w="2809" w:type="pct"/>
                  <w:noWrap w:val="0"/>
                  <w:vAlign w:val="center"/>
                </w:tcPr>
                <w:p w14:paraId="43699B29">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主要是指偏氟乙烯均聚物或者偏氟乙烯与其他少量含氟乙烯基单体的共聚物，它兼具氟树脂和通用树脂的特性，外观为半透明或白色粉体或颗粒，分子链间排列紧密，又有较强的氢键，含氧指数46%，不燃，结晶度65%</w:t>
                  </w:r>
                  <w:r>
                    <w:rPr>
                      <w:rFonts w:hint="eastAsia"/>
                      <w:color w:val="auto"/>
                      <w:sz w:val="21"/>
                      <w:szCs w:val="21"/>
                      <w:u w:val="none" w:color="auto"/>
                      <w:lang w:eastAsia="zh-CN"/>
                    </w:rPr>
                    <w:t>～</w:t>
                  </w:r>
                  <w:r>
                    <w:rPr>
                      <w:rFonts w:hint="eastAsia"/>
                      <w:color w:val="auto"/>
                      <w:sz w:val="21"/>
                      <w:szCs w:val="21"/>
                      <w:u w:val="none" w:color="auto"/>
                    </w:rPr>
                    <w:t>78%，密度为1.17</w:t>
                  </w:r>
                  <w:r>
                    <w:rPr>
                      <w:rFonts w:hint="eastAsia"/>
                      <w:color w:val="auto"/>
                      <w:sz w:val="21"/>
                      <w:szCs w:val="21"/>
                      <w:u w:val="none" w:color="auto"/>
                      <w:lang w:eastAsia="zh-CN"/>
                    </w:rPr>
                    <w:t>～</w:t>
                  </w:r>
                  <w:r>
                    <w:rPr>
                      <w:rFonts w:hint="eastAsia"/>
                      <w:color w:val="auto"/>
                      <w:sz w:val="21"/>
                      <w:szCs w:val="21"/>
                      <w:u w:val="none" w:color="auto"/>
                    </w:rPr>
                    <w:t>1.79g/cm</w:t>
                  </w:r>
                  <w:r>
                    <w:rPr>
                      <w:rFonts w:hint="eastAsia"/>
                      <w:color w:val="auto"/>
                      <w:sz w:val="21"/>
                      <w:szCs w:val="21"/>
                      <w:u w:val="none" w:color="auto"/>
                      <w:vertAlign w:val="superscript"/>
                    </w:rPr>
                    <w:t>3</w:t>
                  </w:r>
                  <w:r>
                    <w:rPr>
                      <w:rFonts w:hint="eastAsia"/>
                      <w:color w:val="auto"/>
                      <w:sz w:val="21"/>
                      <w:szCs w:val="21"/>
                      <w:u w:val="none" w:color="auto"/>
                    </w:rPr>
                    <w:t>，熔点为172℃，热变形温度112~145℃，长期使用温度为-40~150℃。除具有良好的耐化学腐蚀性、耐高温性、耐氧化性、耐候性、耐射线辐射性能外，还具有压电性、介电性、热电性等特殊性能。应用主要集中在石油化工、电子电气和氟碳涂料三大领域。</w:t>
                  </w:r>
                </w:p>
              </w:tc>
              <w:tc>
                <w:tcPr>
                  <w:tcW w:w="799" w:type="pct"/>
                  <w:noWrap w:val="0"/>
                  <w:vAlign w:val="center"/>
                </w:tcPr>
                <w:p w14:paraId="52E31CA2">
                  <w:pPr>
                    <w:spacing w:line="240" w:lineRule="auto"/>
                    <w:ind w:firstLine="0" w:firstLineChars="0"/>
                    <w:jc w:val="center"/>
                    <w:rPr>
                      <w:color w:val="auto"/>
                      <w:sz w:val="21"/>
                      <w:szCs w:val="21"/>
                      <w:u w:val="none" w:color="auto"/>
                    </w:rPr>
                  </w:pPr>
                  <w:r>
                    <w:rPr>
                      <w:rFonts w:hint="eastAsia"/>
                      <w:color w:val="auto"/>
                      <w:sz w:val="21"/>
                      <w:szCs w:val="21"/>
                      <w:u w:val="none" w:color="auto"/>
                    </w:rPr>
                    <w:t>性质稳定，不具腐蚀、爆炸性</w:t>
                  </w:r>
                </w:p>
              </w:tc>
            </w:tr>
            <w:tr w14:paraId="3F20A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656" w:type="pct"/>
                  <w:noWrap w:val="0"/>
                  <w:vAlign w:val="center"/>
                </w:tcPr>
                <w:p w14:paraId="0E69F11F">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导电剂</w:t>
                  </w:r>
                </w:p>
              </w:tc>
              <w:tc>
                <w:tcPr>
                  <w:tcW w:w="735" w:type="pct"/>
                  <w:noWrap w:val="0"/>
                  <w:vAlign w:val="center"/>
                </w:tcPr>
                <w:p w14:paraId="5051F8EB">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碳纳米管（CNT）</w:t>
                  </w:r>
                </w:p>
              </w:tc>
              <w:tc>
                <w:tcPr>
                  <w:tcW w:w="2809" w:type="pct"/>
                  <w:noWrap w:val="0"/>
                  <w:vAlign w:val="center"/>
                </w:tcPr>
                <w:p w14:paraId="1A572A71">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管状的纳米级石墨晶体，是单层或多层</w:t>
                  </w:r>
                  <w:r>
                    <w:rPr>
                      <w:color w:val="auto"/>
                      <w:sz w:val="21"/>
                      <w:szCs w:val="21"/>
                      <w:u w:val="none" w:color="auto"/>
                    </w:rPr>
                    <w:fldChar w:fldCharType="begin"/>
                  </w:r>
                  <w:r>
                    <w:rPr>
                      <w:color w:val="auto"/>
                      <w:sz w:val="21"/>
                      <w:szCs w:val="21"/>
                      <w:u w:val="none" w:color="auto"/>
                    </w:rPr>
                    <w:instrText xml:space="preserve"> HYPERLINK "https://baike.so.com/doc/4969054-5191532.html" \t "https://baike.so.com/doc/_blank" </w:instrText>
                  </w:r>
                  <w:r>
                    <w:rPr>
                      <w:color w:val="auto"/>
                      <w:sz w:val="21"/>
                      <w:szCs w:val="21"/>
                      <w:u w:val="none" w:color="auto"/>
                    </w:rPr>
                    <w:fldChar w:fldCharType="separate"/>
                  </w:r>
                  <w:r>
                    <w:rPr>
                      <w:color w:val="auto"/>
                      <w:sz w:val="21"/>
                      <w:szCs w:val="21"/>
                      <w:u w:val="none" w:color="auto"/>
                    </w:rPr>
                    <w:t>石墨片</w:t>
                  </w:r>
                  <w:r>
                    <w:rPr>
                      <w:color w:val="auto"/>
                      <w:sz w:val="21"/>
                      <w:szCs w:val="21"/>
                      <w:u w:val="none" w:color="auto"/>
                    </w:rPr>
                    <w:fldChar w:fldCharType="end"/>
                  </w:r>
                  <w:r>
                    <w:rPr>
                      <w:color w:val="auto"/>
                      <w:sz w:val="21"/>
                      <w:szCs w:val="21"/>
                      <w:u w:val="none" w:color="auto"/>
                    </w:rPr>
                    <w:t>围绕中心轴按一定的</w:t>
                  </w:r>
                  <w:r>
                    <w:rPr>
                      <w:color w:val="auto"/>
                      <w:sz w:val="21"/>
                      <w:szCs w:val="21"/>
                      <w:u w:val="none" w:color="auto"/>
                    </w:rPr>
                    <w:fldChar w:fldCharType="begin"/>
                  </w:r>
                  <w:r>
                    <w:rPr>
                      <w:color w:val="auto"/>
                      <w:sz w:val="21"/>
                      <w:szCs w:val="21"/>
                      <w:u w:val="none" w:color="auto"/>
                    </w:rPr>
                    <w:instrText xml:space="preserve"> HYPERLINK "https://baike.so.com/doc/2107502-2229824.html" \t "https://baike.so.com/doc/_blank" </w:instrText>
                  </w:r>
                  <w:r>
                    <w:rPr>
                      <w:color w:val="auto"/>
                      <w:sz w:val="21"/>
                      <w:szCs w:val="21"/>
                      <w:u w:val="none" w:color="auto"/>
                    </w:rPr>
                    <w:fldChar w:fldCharType="separate"/>
                  </w:r>
                  <w:r>
                    <w:rPr>
                      <w:color w:val="auto"/>
                      <w:sz w:val="21"/>
                      <w:szCs w:val="21"/>
                      <w:u w:val="none" w:color="auto"/>
                    </w:rPr>
                    <w:t>螺旋角</w:t>
                  </w:r>
                  <w:r>
                    <w:rPr>
                      <w:color w:val="auto"/>
                      <w:sz w:val="21"/>
                      <w:szCs w:val="21"/>
                      <w:u w:val="none" w:color="auto"/>
                    </w:rPr>
                    <w:fldChar w:fldCharType="end"/>
                  </w:r>
                  <w:r>
                    <w:rPr>
                      <w:color w:val="auto"/>
                      <w:sz w:val="21"/>
                      <w:szCs w:val="21"/>
                      <w:u w:val="none" w:color="auto"/>
                    </w:rPr>
                    <w:t>卷曲而成的无缝纳米级管，</w:t>
                  </w:r>
                  <w:r>
                    <w:rPr>
                      <w:rFonts w:hint="eastAsia"/>
                      <w:color w:val="auto"/>
                      <w:sz w:val="21"/>
                      <w:szCs w:val="21"/>
                      <w:u w:val="none" w:color="auto"/>
                    </w:rPr>
                    <w:t>具有天然产出的碳晶特性，在锂离子电池中的作用更多的是填充到活性物质之间，形成导电桥，提高极片压实密度、改善极片的柔韧性</w:t>
                  </w:r>
                </w:p>
              </w:tc>
              <w:tc>
                <w:tcPr>
                  <w:tcW w:w="799" w:type="pct"/>
                  <w:noWrap w:val="0"/>
                  <w:vAlign w:val="center"/>
                </w:tcPr>
                <w:p w14:paraId="18C08256">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无毒，性质稳定，不具腐蚀、爆炸性</w:t>
                  </w:r>
                </w:p>
              </w:tc>
            </w:tr>
            <w:tr w14:paraId="32020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pct"/>
                  <w:vMerge w:val="restart"/>
                  <w:noWrap w:val="0"/>
                  <w:vAlign w:val="center"/>
                </w:tcPr>
                <w:p w14:paraId="4552FFC3">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负极粘接剂</w:t>
                  </w:r>
                </w:p>
              </w:tc>
              <w:tc>
                <w:tcPr>
                  <w:tcW w:w="735" w:type="pct"/>
                  <w:noWrap w:val="0"/>
                  <w:vAlign w:val="center"/>
                </w:tcPr>
                <w:p w14:paraId="44F76AB1">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羧甲基纤维素（CMC）</w:t>
                  </w:r>
                </w:p>
              </w:tc>
              <w:tc>
                <w:tcPr>
                  <w:tcW w:w="2809" w:type="pct"/>
                  <w:noWrap w:val="0"/>
                  <w:vAlign w:val="center"/>
                </w:tcPr>
                <w:p w14:paraId="66344F88">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CMC的用途非常广泛、无毒、无腐蚀、对人体无害，不污染环境、粘结力强、不霉变、不生虫，可作为乳化剂、增稠剂、稳定剂、上浆剂、成膜剂、粘结剂等。本项目用于负极配料。</w:t>
                  </w:r>
                </w:p>
              </w:tc>
              <w:tc>
                <w:tcPr>
                  <w:tcW w:w="799" w:type="pct"/>
                  <w:noWrap w:val="0"/>
                  <w:vAlign w:val="center"/>
                </w:tcPr>
                <w:p w14:paraId="0D218CDB">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无毒，性质稳定，不具腐蚀、爆炸性</w:t>
                  </w:r>
                </w:p>
              </w:tc>
            </w:tr>
            <w:tr w14:paraId="67885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pct"/>
                  <w:vMerge w:val="continue"/>
                  <w:noWrap w:val="0"/>
                  <w:vAlign w:val="center"/>
                </w:tcPr>
                <w:p w14:paraId="538A3F01">
                  <w:pPr>
                    <w:spacing w:line="240" w:lineRule="auto"/>
                    <w:ind w:firstLine="0" w:firstLineChars="0"/>
                    <w:jc w:val="center"/>
                    <w:rPr>
                      <w:rFonts w:hint="eastAsia"/>
                      <w:color w:val="auto"/>
                      <w:sz w:val="21"/>
                      <w:szCs w:val="21"/>
                      <w:u w:val="none" w:color="auto"/>
                    </w:rPr>
                  </w:pPr>
                </w:p>
              </w:tc>
              <w:tc>
                <w:tcPr>
                  <w:tcW w:w="735" w:type="pct"/>
                  <w:noWrap w:val="0"/>
                  <w:vAlign w:val="center"/>
                </w:tcPr>
                <w:p w14:paraId="027EB27C">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丁苯橡胶乳液（SBR）</w:t>
                  </w:r>
                </w:p>
              </w:tc>
              <w:tc>
                <w:tcPr>
                  <w:tcW w:w="2809" w:type="pct"/>
                  <w:noWrap w:val="0"/>
                  <w:vAlign w:val="center"/>
                </w:tcPr>
                <w:p w14:paraId="4B1D6328">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由丁二烯和苯乙烯共聚制得。密度：1.04g/mLat25℃，熔点：-59℃，常温下为白色固体或透明无悬浮物液体，按生产方法分为乳液聚合丁苯橡胶和溶液聚合丁苯橡胶，其综合性能和化学稳定性较好。最低耐寒为-40℃，最高耐热为150℃，一般橡胶最低耐寒为-20℃，最高耐热为100℃。广泛应用于电缆护套、胶管、建筑用密封条等产品的制造等各个领域</w:t>
                  </w:r>
                </w:p>
              </w:tc>
              <w:tc>
                <w:tcPr>
                  <w:tcW w:w="799" w:type="pct"/>
                  <w:noWrap w:val="0"/>
                  <w:vAlign w:val="center"/>
                </w:tcPr>
                <w:p w14:paraId="696442AF">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无毒，性质稳定，不具腐蚀、爆炸性</w:t>
                  </w:r>
                </w:p>
              </w:tc>
            </w:tr>
            <w:tr w14:paraId="5865C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pct"/>
                  <w:noWrap w:val="0"/>
                  <w:vAlign w:val="center"/>
                </w:tcPr>
                <w:p w14:paraId="4321CD16">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石墨</w:t>
                  </w:r>
                </w:p>
              </w:tc>
              <w:tc>
                <w:tcPr>
                  <w:tcW w:w="735" w:type="pct"/>
                  <w:noWrap w:val="0"/>
                  <w:vAlign w:val="center"/>
                </w:tcPr>
                <w:p w14:paraId="38CFAD5A">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碳</w:t>
                  </w:r>
                </w:p>
              </w:tc>
              <w:tc>
                <w:tcPr>
                  <w:tcW w:w="2809" w:type="pct"/>
                  <w:noWrap w:val="0"/>
                  <w:vAlign w:val="center"/>
                </w:tcPr>
                <w:p w14:paraId="1C1C355A">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深灰色至黑色的有金属光泽而不透明的粉末状固体，晶状碳化物。触摸有油脂感，无臭。不溶于水。熔点3652-3697℃，沸点4830℃，密度2.2g/cm</w:t>
                  </w:r>
                  <w:r>
                    <w:rPr>
                      <w:rFonts w:hint="eastAsia"/>
                      <w:color w:val="auto"/>
                      <w:sz w:val="21"/>
                      <w:szCs w:val="21"/>
                      <w:u w:val="none" w:color="auto"/>
                      <w:vertAlign w:val="superscript"/>
                    </w:rPr>
                    <w:t>3</w:t>
                  </w:r>
                  <w:r>
                    <w:rPr>
                      <w:rFonts w:hint="eastAsia"/>
                      <w:color w:val="auto"/>
                      <w:sz w:val="21"/>
                      <w:szCs w:val="21"/>
                      <w:u w:val="none" w:color="auto"/>
                    </w:rPr>
                    <w:t>；可燃固体。在特殊条件下会引起粉尘爆炸。遇强氧化剂</w:t>
                  </w:r>
                  <w:r>
                    <w:rPr>
                      <w:rFonts w:hint="eastAsia"/>
                      <w:color w:val="auto"/>
                      <w:sz w:val="21"/>
                      <w:szCs w:val="21"/>
                      <w:u w:val="none" w:color="auto"/>
                      <w:lang w:eastAsia="zh-CN"/>
                    </w:rPr>
                    <w:t>（</w:t>
                  </w:r>
                  <w:r>
                    <w:rPr>
                      <w:rFonts w:hint="eastAsia"/>
                      <w:color w:val="auto"/>
                      <w:sz w:val="21"/>
                      <w:szCs w:val="21"/>
                      <w:u w:val="none" w:color="auto"/>
                    </w:rPr>
                    <w:t>如氟、三氟化氯和过氧化钾</w:t>
                  </w:r>
                  <w:r>
                    <w:rPr>
                      <w:rFonts w:hint="eastAsia"/>
                      <w:color w:val="auto"/>
                      <w:sz w:val="21"/>
                      <w:szCs w:val="21"/>
                      <w:u w:val="none" w:color="auto"/>
                      <w:lang w:eastAsia="zh-CN"/>
                    </w:rPr>
                    <w:t>）</w:t>
                  </w:r>
                  <w:r>
                    <w:rPr>
                      <w:rFonts w:hint="eastAsia"/>
                      <w:color w:val="auto"/>
                      <w:sz w:val="21"/>
                      <w:szCs w:val="21"/>
                      <w:u w:val="none" w:color="auto"/>
                    </w:rPr>
                    <w:t>发生反应，禁忌物：强氧化剂，烧</w:t>
                  </w:r>
                  <w:r>
                    <w:rPr>
                      <w:rFonts w:hint="eastAsia"/>
                      <w:color w:val="auto"/>
                      <w:sz w:val="21"/>
                      <w:szCs w:val="21"/>
                      <w:u w:val="none" w:color="auto"/>
                      <w:lang w:eastAsia="zh-CN"/>
                    </w:rPr>
                    <w:t>（</w:t>
                  </w:r>
                  <w:r>
                    <w:rPr>
                      <w:rFonts w:hint="eastAsia"/>
                      <w:color w:val="auto"/>
                      <w:sz w:val="21"/>
                      <w:szCs w:val="21"/>
                      <w:u w:val="none" w:color="auto"/>
                    </w:rPr>
                    <w:t>分解</w:t>
                  </w:r>
                  <w:r>
                    <w:rPr>
                      <w:rFonts w:hint="eastAsia"/>
                      <w:color w:val="auto"/>
                      <w:sz w:val="21"/>
                      <w:szCs w:val="21"/>
                      <w:u w:val="none" w:color="auto"/>
                      <w:lang w:eastAsia="zh-CN"/>
                    </w:rPr>
                    <w:t>）</w:t>
                  </w:r>
                  <w:r>
                    <w:rPr>
                      <w:rFonts w:hint="eastAsia"/>
                      <w:color w:val="auto"/>
                      <w:sz w:val="21"/>
                      <w:szCs w:val="21"/>
                      <w:u w:val="none" w:color="auto"/>
                    </w:rPr>
                    <w:t>产物：CO、CO</w:t>
                  </w:r>
                  <w:r>
                    <w:rPr>
                      <w:rFonts w:hint="eastAsia"/>
                      <w:color w:val="auto"/>
                      <w:sz w:val="21"/>
                      <w:szCs w:val="21"/>
                      <w:u w:val="none" w:color="auto"/>
                      <w:vertAlign w:val="subscript"/>
                    </w:rPr>
                    <w:t>2</w:t>
                  </w:r>
                  <w:r>
                    <w:rPr>
                      <w:rFonts w:hint="eastAsia"/>
                      <w:color w:val="auto"/>
                      <w:sz w:val="21"/>
                      <w:szCs w:val="21"/>
                      <w:u w:val="none" w:color="auto"/>
                    </w:rPr>
                    <w:t>；LD50：1250mg/m</w:t>
                  </w:r>
                  <w:r>
                    <w:rPr>
                      <w:rFonts w:hint="eastAsia"/>
                      <w:color w:val="auto"/>
                      <w:sz w:val="21"/>
                      <w:szCs w:val="21"/>
                      <w:u w:val="none" w:color="auto"/>
                      <w:vertAlign w:val="superscript"/>
                    </w:rPr>
                    <w:t>3</w:t>
                  </w:r>
                  <w:r>
                    <w:rPr>
                      <w:rFonts w:hint="eastAsia"/>
                      <w:color w:val="auto"/>
                      <w:sz w:val="21"/>
                      <w:szCs w:val="21"/>
                      <w:u w:val="none" w:color="auto"/>
                    </w:rPr>
                    <w:t>，接触天然石墨可能产生渐进性的或致残的尘肺病，症状包括头痛、咳嗽、消沉、食欲降低、呼吸困难、痰为黑色，一些中毒者可能多年无症状后突然致病。</w:t>
                  </w:r>
                </w:p>
              </w:tc>
              <w:tc>
                <w:tcPr>
                  <w:tcW w:w="799" w:type="pct"/>
                  <w:noWrap w:val="0"/>
                  <w:vAlign w:val="center"/>
                </w:tcPr>
                <w:p w14:paraId="5877FB15">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性质稳定，不具腐蚀、爆炸性</w:t>
                  </w:r>
                </w:p>
              </w:tc>
            </w:tr>
            <w:tr w14:paraId="48AB1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pct"/>
                  <w:vMerge w:val="restart"/>
                  <w:noWrap w:val="0"/>
                  <w:vAlign w:val="center"/>
                </w:tcPr>
                <w:p w14:paraId="119A36EE">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电解液</w:t>
                  </w:r>
                </w:p>
              </w:tc>
              <w:tc>
                <w:tcPr>
                  <w:tcW w:w="735" w:type="pct"/>
                  <w:noWrap w:val="0"/>
                  <w:vAlign w:val="center"/>
                </w:tcPr>
                <w:p w14:paraId="055416F9">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碳酸乙烯酯</w:t>
                  </w:r>
                </w:p>
              </w:tc>
              <w:tc>
                <w:tcPr>
                  <w:tcW w:w="2809" w:type="pct"/>
                  <w:noWrap w:val="0"/>
                  <w:vAlign w:val="center"/>
                </w:tcPr>
                <w:p w14:paraId="3D03B743">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分子式为C</w:t>
                  </w:r>
                  <w:r>
                    <w:rPr>
                      <w:rFonts w:hint="eastAsia"/>
                      <w:color w:val="auto"/>
                      <w:sz w:val="21"/>
                      <w:szCs w:val="21"/>
                      <w:u w:val="none" w:color="auto"/>
                      <w:vertAlign w:val="subscript"/>
                    </w:rPr>
                    <w:t>3</w:t>
                  </w:r>
                  <w:r>
                    <w:rPr>
                      <w:rFonts w:hint="eastAsia"/>
                      <w:color w:val="auto"/>
                      <w:sz w:val="21"/>
                      <w:szCs w:val="21"/>
                      <w:u w:val="none" w:color="auto"/>
                    </w:rPr>
                    <w:t>H</w:t>
                  </w:r>
                  <w:r>
                    <w:rPr>
                      <w:rFonts w:hint="eastAsia"/>
                      <w:color w:val="auto"/>
                      <w:sz w:val="21"/>
                      <w:szCs w:val="21"/>
                      <w:u w:val="none" w:color="auto"/>
                      <w:vertAlign w:val="subscript"/>
                    </w:rPr>
                    <w:t>4</w:t>
                  </w:r>
                  <w:r>
                    <w:rPr>
                      <w:rFonts w:hint="eastAsia"/>
                      <w:color w:val="auto"/>
                      <w:sz w:val="21"/>
                      <w:szCs w:val="21"/>
                      <w:u w:val="none" w:color="auto"/>
                    </w:rPr>
                    <w:t>O</w:t>
                  </w:r>
                  <w:r>
                    <w:rPr>
                      <w:rFonts w:hint="eastAsia"/>
                      <w:color w:val="auto"/>
                      <w:sz w:val="21"/>
                      <w:szCs w:val="21"/>
                      <w:u w:val="none" w:color="auto"/>
                      <w:vertAlign w:val="subscript"/>
                    </w:rPr>
                    <w:t>3</w:t>
                  </w:r>
                  <w:r>
                    <w:rPr>
                      <w:rFonts w:hint="eastAsia"/>
                      <w:color w:val="auto"/>
                      <w:sz w:val="21"/>
                      <w:szCs w:val="21"/>
                      <w:u w:val="none" w:color="auto"/>
                    </w:rPr>
                    <w:t>，透明无色液体(&gt;35℃</w:t>
                  </w:r>
                  <w:r>
                    <w:rPr>
                      <w:rFonts w:hint="eastAsia"/>
                      <w:color w:val="auto"/>
                      <w:sz w:val="21"/>
                      <w:szCs w:val="21"/>
                      <w:u w:val="none" w:color="auto"/>
                      <w:lang w:eastAsia="zh-CN"/>
                    </w:rPr>
                    <w:t>）</w:t>
                  </w:r>
                  <w:r>
                    <w:rPr>
                      <w:rFonts w:hint="eastAsia"/>
                      <w:color w:val="auto"/>
                      <w:sz w:val="21"/>
                      <w:szCs w:val="21"/>
                      <w:u w:val="none" w:color="auto"/>
                    </w:rPr>
                    <w:t>，室温时为结晶固体，沸点：248℃/760mmHg，243-244℃/740mmHg；闪点：160℃；密度：1.3218；折光率：1.4158(50℃)；熔点：35-38℃；本品是聚丙烯腈、聚氯乙烯的良好溶剂。可用作纺织上的抽丝液；也可直接作为脱除酸性气体的溶剂及混凝土的添加剂；在医药上可用作制药的组分和原料；还可用作塑料发泡剂及合成润滑油的稳定剂；在电池工业上，可作为锂电池电解液的优良溶剂。</w:t>
                  </w:r>
                </w:p>
              </w:tc>
              <w:tc>
                <w:tcPr>
                  <w:tcW w:w="799" w:type="pct"/>
                  <w:noWrap w:val="0"/>
                  <w:vAlign w:val="center"/>
                </w:tcPr>
                <w:p w14:paraId="73835D18">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lang w:eastAsia="zh-CN"/>
                    </w:rPr>
                    <w:t>轻微</w:t>
                  </w:r>
                  <w:r>
                    <w:rPr>
                      <w:rFonts w:hint="eastAsia"/>
                      <w:color w:val="auto"/>
                      <w:sz w:val="21"/>
                      <w:szCs w:val="21"/>
                      <w:u w:val="none" w:color="auto"/>
                    </w:rPr>
                    <w:t>腐蚀性</w:t>
                  </w:r>
                </w:p>
              </w:tc>
            </w:tr>
            <w:tr w14:paraId="73144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pct"/>
                  <w:vMerge w:val="continue"/>
                  <w:noWrap w:val="0"/>
                  <w:vAlign w:val="center"/>
                </w:tcPr>
                <w:p w14:paraId="56F124FB">
                  <w:pPr>
                    <w:spacing w:line="240" w:lineRule="auto"/>
                    <w:ind w:firstLine="0" w:firstLineChars="0"/>
                    <w:jc w:val="center"/>
                    <w:rPr>
                      <w:rFonts w:hint="eastAsia"/>
                      <w:color w:val="auto"/>
                      <w:sz w:val="21"/>
                      <w:szCs w:val="21"/>
                      <w:u w:val="none" w:color="auto"/>
                    </w:rPr>
                  </w:pPr>
                </w:p>
              </w:tc>
              <w:tc>
                <w:tcPr>
                  <w:tcW w:w="735" w:type="pct"/>
                  <w:noWrap w:val="0"/>
                  <w:vAlign w:val="center"/>
                </w:tcPr>
                <w:p w14:paraId="4B699870">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碳酸二乙酯</w:t>
                  </w:r>
                </w:p>
              </w:tc>
              <w:tc>
                <w:tcPr>
                  <w:tcW w:w="2809" w:type="pct"/>
                  <w:noWrap w:val="0"/>
                  <w:vAlign w:val="center"/>
                </w:tcPr>
                <w:p w14:paraId="0D8DCF8C">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分子式为CH</w:t>
                  </w:r>
                  <w:r>
                    <w:rPr>
                      <w:rFonts w:hint="eastAsia"/>
                      <w:color w:val="auto"/>
                      <w:sz w:val="21"/>
                      <w:szCs w:val="21"/>
                      <w:u w:val="none" w:color="auto"/>
                      <w:vertAlign w:val="subscript"/>
                    </w:rPr>
                    <w:t>3</w:t>
                  </w:r>
                  <w:r>
                    <w:rPr>
                      <w:rFonts w:hint="eastAsia"/>
                      <w:color w:val="auto"/>
                      <w:sz w:val="21"/>
                      <w:szCs w:val="21"/>
                      <w:u w:val="none" w:color="auto"/>
                    </w:rPr>
                    <w:t>OCOOCH</w:t>
                  </w:r>
                  <w:r>
                    <w:rPr>
                      <w:rFonts w:hint="eastAsia"/>
                      <w:color w:val="auto"/>
                      <w:sz w:val="21"/>
                      <w:szCs w:val="21"/>
                      <w:u w:val="none" w:color="auto"/>
                      <w:vertAlign w:val="subscript"/>
                    </w:rPr>
                    <w:t>3</w:t>
                  </w:r>
                  <w:r>
                    <w:rPr>
                      <w:rFonts w:hint="eastAsia"/>
                      <w:color w:val="auto"/>
                      <w:sz w:val="21"/>
                      <w:szCs w:val="21"/>
                      <w:u w:val="none" w:color="auto"/>
                    </w:rPr>
                    <w:t>，无色液体，稍有气味；蒸汽压1.33kPa/23.8℃；闪点25℃</w:t>
                  </w:r>
                  <w:r>
                    <w:rPr>
                      <w:rFonts w:hint="eastAsia"/>
                      <w:color w:val="auto"/>
                      <w:sz w:val="21"/>
                      <w:szCs w:val="21"/>
                      <w:u w:val="none" w:color="auto"/>
                      <w:lang w:eastAsia="zh-CN"/>
                    </w:rPr>
                    <w:t>（</w:t>
                  </w:r>
                  <w:r>
                    <w:rPr>
                      <w:rFonts w:hint="eastAsia"/>
                      <w:color w:val="auto"/>
                      <w:sz w:val="21"/>
                      <w:szCs w:val="21"/>
                      <w:u w:val="none" w:color="auto"/>
                    </w:rPr>
                    <w:t>可燃液体能挥发变成蒸气，跑入空气中。温度升高，挥发加快。当挥发的蒸气和空气的混合物与火源接触能够闪出火花时，把这种短暂的燃烧过程</w:t>
                  </w:r>
                  <w:r>
                    <w:rPr>
                      <w:rFonts w:hint="eastAsia"/>
                      <w:color w:val="auto"/>
                      <w:sz w:val="21"/>
                      <w:szCs w:val="21"/>
                      <w:u w:val="none" w:color="auto"/>
                      <w:lang w:eastAsia="zh-CN"/>
                    </w:rPr>
                    <w:t>叫作</w:t>
                  </w:r>
                  <w:r>
                    <w:rPr>
                      <w:rFonts w:hint="eastAsia"/>
                      <w:color w:val="auto"/>
                      <w:sz w:val="21"/>
                      <w:szCs w:val="21"/>
                      <w:u w:val="none" w:color="auto"/>
                    </w:rPr>
                    <w:t>闪燃，把发生闪燃的最低温度</w:t>
                  </w:r>
                  <w:r>
                    <w:rPr>
                      <w:rFonts w:hint="eastAsia"/>
                      <w:color w:val="auto"/>
                      <w:sz w:val="21"/>
                      <w:szCs w:val="21"/>
                      <w:u w:val="none" w:color="auto"/>
                      <w:lang w:eastAsia="zh-CN"/>
                    </w:rPr>
                    <w:t>叫作</w:t>
                  </w:r>
                  <w:r>
                    <w:rPr>
                      <w:rFonts w:hint="eastAsia"/>
                      <w:color w:val="auto"/>
                      <w:sz w:val="21"/>
                      <w:szCs w:val="21"/>
                      <w:u w:val="none" w:color="auto"/>
                    </w:rPr>
                    <w:t>闪点。闪点越低，引起火灾的危险性越大。</w:t>
                  </w:r>
                  <w:r>
                    <w:rPr>
                      <w:rFonts w:hint="eastAsia"/>
                      <w:color w:val="auto"/>
                      <w:sz w:val="21"/>
                      <w:szCs w:val="21"/>
                      <w:u w:val="none" w:color="auto"/>
                      <w:lang w:eastAsia="zh-CN"/>
                    </w:rPr>
                    <w:t>）</w:t>
                  </w:r>
                  <w:r>
                    <w:rPr>
                      <w:rFonts w:hint="eastAsia"/>
                      <w:color w:val="auto"/>
                      <w:sz w:val="21"/>
                      <w:szCs w:val="21"/>
                      <w:u w:val="none" w:color="auto"/>
                    </w:rPr>
                    <w:t>；熔点-43℃；沸点125.8℃；溶解性，不溶于水，可混溶于醇、酮、酯等多数有机溶剂；密度，相对密度</w:t>
                  </w:r>
                  <w:r>
                    <w:rPr>
                      <w:rFonts w:hint="eastAsia"/>
                      <w:color w:val="auto"/>
                      <w:sz w:val="21"/>
                      <w:szCs w:val="21"/>
                      <w:u w:val="none" w:color="auto"/>
                      <w:lang w:eastAsia="zh-CN"/>
                    </w:rPr>
                    <w:t>（</w:t>
                  </w:r>
                  <w:r>
                    <w:rPr>
                      <w:rFonts w:hint="eastAsia"/>
                      <w:color w:val="auto"/>
                      <w:sz w:val="21"/>
                      <w:szCs w:val="21"/>
                      <w:u w:val="none" w:color="auto"/>
                    </w:rPr>
                    <w:t>水=1)1.0；相对密度</w:t>
                  </w:r>
                  <w:r>
                    <w:rPr>
                      <w:rFonts w:hint="eastAsia"/>
                      <w:color w:val="auto"/>
                      <w:sz w:val="21"/>
                      <w:szCs w:val="21"/>
                      <w:u w:val="none" w:color="auto"/>
                      <w:lang w:eastAsia="zh-CN"/>
                    </w:rPr>
                    <w:t>（</w:t>
                  </w:r>
                  <w:r>
                    <w:rPr>
                      <w:rFonts w:hint="eastAsia"/>
                      <w:color w:val="auto"/>
                      <w:sz w:val="21"/>
                      <w:szCs w:val="21"/>
                      <w:u w:val="none" w:color="auto"/>
                    </w:rPr>
                    <w:t>空气=1)4.07；稳定性</w:t>
                  </w:r>
                  <w:r>
                    <w:rPr>
                      <w:rFonts w:hint="eastAsia"/>
                      <w:color w:val="auto"/>
                      <w:sz w:val="21"/>
                      <w:szCs w:val="21"/>
                      <w:u w:val="none" w:color="auto"/>
                      <w:lang w:eastAsia="zh-CN"/>
                    </w:rPr>
                    <w:t>：</w:t>
                  </w:r>
                  <w:r>
                    <w:rPr>
                      <w:rFonts w:hint="eastAsia"/>
                      <w:color w:val="auto"/>
                      <w:sz w:val="21"/>
                      <w:szCs w:val="21"/>
                      <w:u w:val="none" w:color="auto"/>
                    </w:rPr>
                    <w:t>稳定；危险标记7</w:t>
                  </w:r>
                  <w:r>
                    <w:rPr>
                      <w:rFonts w:hint="eastAsia"/>
                      <w:color w:val="auto"/>
                      <w:sz w:val="21"/>
                      <w:szCs w:val="21"/>
                      <w:u w:val="none" w:color="auto"/>
                      <w:lang w:eastAsia="zh-CN"/>
                    </w:rPr>
                    <w:t>（</w:t>
                  </w:r>
                  <w:r>
                    <w:rPr>
                      <w:rFonts w:hint="eastAsia"/>
                      <w:color w:val="auto"/>
                      <w:sz w:val="21"/>
                      <w:szCs w:val="21"/>
                      <w:u w:val="none" w:color="auto"/>
                    </w:rPr>
                    <w:t>易燃液体</w:t>
                  </w:r>
                  <w:r>
                    <w:rPr>
                      <w:rFonts w:hint="eastAsia"/>
                      <w:color w:val="auto"/>
                      <w:sz w:val="21"/>
                      <w:szCs w:val="21"/>
                      <w:u w:val="none" w:color="auto"/>
                      <w:lang w:eastAsia="zh-CN"/>
                    </w:rPr>
                    <w:t>）</w:t>
                  </w:r>
                  <w:r>
                    <w:rPr>
                      <w:rFonts w:hint="eastAsia"/>
                      <w:color w:val="auto"/>
                      <w:sz w:val="21"/>
                      <w:szCs w:val="21"/>
                      <w:u w:val="none" w:color="auto"/>
                    </w:rPr>
                    <w:t>；主要用途</w:t>
                  </w:r>
                  <w:r>
                    <w:rPr>
                      <w:rFonts w:hint="eastAsia"/>
                      <w:color w:val="auto"/>
                      <w:sz w:val="21"/>
                      <w:szCs w:val="21"/>
                      <w:u w:val="none" w:color="auto"/>
                      <w:lang w:eastAsia="zh-CN"/>
                    </w:rPr>
                    <w:t>：</w:t>
                  </w:r>
                  <w:r>
                    <w:rPr>
                      <w:rFonts w:hint="eastAsia"/>
                      <w:color w:val="auto"/>
                      <w:sz w:val="21"/>
                      <w:szCs w:val="21"/>
                      <w:u w:val="none" w:color="auto"/>
                    </w:rPr>
                    <w:t>用作溶剂及用于有机合成。</w:t>
                  </w:r>
                </w:p>
              </w:tc>
              <w:tc>
                <w:tcPr>
                  <w:tcW w:w="799" w:type="pct"/>
                  <w:noWrap w:val="0"/>
                  <w:vAlign w:val="center"/>
                </w:tcPr>
                <w:p w14:paraId="318F32E1">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lang w:eastAsia="zh-CN"/>
                    </w:rPr>
                    <w:t>轻微</w:t>
                  </w:r>
                  <w:r>
                    <w:rPr>
                      <w:rFonts w:hint="eastAsia"/>
                      <w:color w:val="auto"/>
                      <w:sz w:val="21"/>
                      <w:szCs w:val="21"/>
                      <w:u w:val="none" w:color="auto"/>
                    </w:rPr>
                    <w:t>腐蚀性</w:t>
                  </w:r>
                </w:p>
              </w:tc>
            </w:tr>
            <w:tr w14:paraId="4088B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8" w:hRule="atLeast"/>
              </w:trPr>
              <w:tc>
                <w:tcPr>
                  <w:tcW w:w="656" w:type="pct"/>
                  <w:vMerge w:val="continue"/>
                  <w:noWrap w:val="0"/>
                  <w:vAlign w:val="center"/>
                </w:tcPr>
                <w:p w14:paraId="65084F6E">
                  <w:pPr>
                    <w:spacing w:line="240" w:lineRule="auto"/>
                    <w:ind w:firstLine="0" w:firstLineChars="0"/>
                    <w:jc w:val="center"/>
                    <w:rPr>
                      <w:rFonts w:hint="eastAsia"/>
                      <w:color w:val="auto"/>
                      <w:sz w:val="21"/>
                      <w:szCs w:val="21"/>
                      <w:u w:val="none" w:color="auto"/>
                    </w:rPr>
                  </w:pPr>
                </w:p>
              </w:tc>
              <w:tc>
                <w:tcPr>
                  <w:tcW w:w="735" w:type="pct"/>
                  <w:tcBorders>
                    <w:bottom w:val="single" w:color="000000" w:sz="4" w:space="0"/>
                  </w:tcBorders>
                  <w:noWrap w:val="0"/>
                  <w:vAlign w:val="center"/>
                </w:tcPr>
                <w:p w14:paraId="6F7F5AE2">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碳酸二甲酯</w:t>
                  </w:r>
                </w:p>
              </w:tc>
              <w:tc>
                <w:tcPr>
                  <w:tcW w:w="2809" w:type="pct"/>
                  <w:tcBorders>
                    <w:bottom w:val="single" w:color="000000" w:sz="4" w:space="0"/>
                  </w:tcBorders>
                  <w:noWrap w:val="0"/>
                  <w:vAlign w:val="center"/>
                </w:tcPr>
                <w:p w14:paraId="3569FBE1">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是一种无毒、环保性能优异、用途广泛的化工原料，它是一种重要的有机合成中间体，分子结构中含有羰基、甲基和甲氧基等官能团，具有多种反应性能，在生产中具有使用安全、方便、污染少、容易运输等特点。由于碳酸二甲酯毒性较小，是一种具有发展前景的“绿色”化工产品，DMC具有优良的溶解性能，其熔、沸点范围窄，表面张力大，粘度低，介质</w:t>
                  </w:r>
                  <w:r>
                    <w:rPr>
                      <w:rFonts w:hint="eastAsia"/>
                      <w:color w:val="auto"/>
                      <w:sz w:val="21"/>
                      <w:szCs w:val="21"/>
                      <w:u w:val="none" w:color="auto"/>
                      <w:lang w:eastAsia="zh-CN"/>
                    </w:rPr>
                    <w:t>介电常数</w:t>
                  </w:r>
                  <w:r>
                    <w:rPr>
                      <w:rFonts w:hint="eastAsia"/>
                      <w:color w:val="auto"/>
                      <w:sz w:val="21"/>
                      <w:szCs w:val="21"/>
                      <w:u w:val="none" w:color="auto"/>
                    </w:rPr>
                    <w:t>小，同时具有较高的蒸发温度和较快的蒸发速度，因此可以作为低毒溶剂用于涂料工业和医药行业。</w:t>
                  </w:r>
                </w:p>
              </w:tc>
              <w:tc>
                <w:tcPr>
                  <w:tcW w:w="799" w:type="pct"/>
                  <w:tcBorders>
                    <w:bottom w:val="single" w:color="000000" w:sz="4" w:space="0"/>
                  </w:tcBorders>
                  <w:noWrap w:val="0"/>
                  <w:vAlign w:val="center"/>
                </w:tcPr>
                <w:p w14:paraId="140EDD76">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lang w:eastAsia="zh-CN"/>
                    </w:rPr>
                    <w:t>轻微</w:t>
                  </w:r>
                  <w:r>
                    <w:rPr>
                      <w:rFonts w:hint="eastAsia"/>
                      <w:color w:val="auto"/>
                      <w:sz w:val="21"/>
                      <w:szCs w:val="21"/>
                      <w:u w:val="none" w:color="auto"/>
                    </w:rPr>
                    <w:t>腐蚀性</w:t>
                  </w:r>
                </w:p>
              </w:tc>
            </w:tr>
            <w:tr w14:paraId="7992B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56" w:type="pct"/>
                  <w:vMerge w:val="continue"/>
                  <w:noWrap w:val="0"/>
                  <w:vAlign w:val="center"/>
                </w:tcPr>
                <w:p w14:paraId="0C534036">
                  <w:pPr>
                    <w:spacing w:line="240" w:lineRule="auto"/>
                    <w:ind w:firstLine="0" w:firstLineChars="0"/>
                    <w:jc w:val="center"/>
                    <w:rPr>
                      <w:rFonts w:hint="eastAsia"/>
                      <w:color w:val="auto"/>
                      <w:sz w:val="21"/>
                      <w:szCs w:val="21"/>
                      <w:u w:val="none" w:color="auto"/>
                    </w:rPr>
                  </w:pPr>
                </w:p>
              </w:tc>
              <w:tc>
                <w:tcPr>
                  <w:tcW w:w="735" w:type="pct"/>
                  <w:tcBorders>
                    <w:top w:val="single" w:color="000000" w:sz="4" w:space="0"/>
                  </w:tcBorders>
                  <w:noWrap w:val="0"/>
                  <w:vAlign w:val="center"/>
                </w:tcPr>
                <w:p w14:paraId="382B3523">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碳酸甲乙酯</w:t>
                  </w:r>
                </w:p>
              </w:tc>
              <w:tc>
                <w:tcPr>
                  <w:tcW w:w="2809" w:type="pct"/>
                  <w:tcBorders>
                    <w:top w:val="single" w:color="000000" w:sz="4" w:space="0"/>
                  </w:tcBorders>
                  <w:noWrap w:val="0"/>
                  <w:vAlign w:val="center"/>
                </w:tcPr>
                <w:p w14:paraId="780C7C55">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分子量为104.1，密度1.00g/cm</w:t>
                  </w:r>
                  <w:r>
                    <w:rPr>
                      <w:rFonts w:hint="eastAsia"/>
                      <w:color w:val="auto"/>
                      <w:sz w:val="21"/>
                      <w:szCs w:val="21"/>
                      <w:u w:val="none" w:color="auto"/>
                      <w:vertAlign w:val="superscript"/>
                    </w:rPr>
                    <w:t>3</w:t>
                  </w:r>
                  <w:r>
                    <w:rPr>
                      <w:rFonts w:hint="eastAsia"/>
                      <w:color w:val="auto"/>
                      <w:sz w:val="21"/>
                      <w:szCs w:val="21"/>
                      <w:u w:val="none" w:color="auto"/>
                    </w:rPr>
                    <w:t>，无色透明液体，沸点109℃，熔点-55℃，是近年来兴起的高科技、高附加值的化工产品，一种优良的锂离子电池电解液的溶剂，是随着碳酸二甲酯及锂离子电池产量增大而延伸出的最新产品，由于它同时拥有甲基和乙基，兼有碳酸二甲酯、碳酸二乙酯特性，也是特种香料和中间体的溶剂。由于甲乙基的不平衡性，该产品不稳定，不适宜长期储存。</w:t>
                  </w:r>
                </w:p>
              </w:tc>
              <w:tc>
                <w:tcPr>
                  <w:tcW w:w="799" w:type="pct"/>
                  <w:tcBorders>
                    <w:top w:val="single" w:color="000000" w:sz="4" w:space="0"/>
                  </w:tcBorders>
                  <w:noWrap w:val="0"/>
                  <w:vAlign w:val="center"/>
                </w:tcPr>
                <w:p w14:paraId="3174BCC7">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lang w:eastAsia="zh-CN"/>
                    </w:rPr>
                    <w:t>轻微</w:t>
                  </w:r>
                  <w:r>
                    <w:rPr>
                      <w:rFonts w:hint="eastAsia"/>
                      <w:color w:val="auto"/>
                      <w:sz w:val="21"/>
                      <w:szCs w:val="21"/>
                      <w:u w:val="none" w:color="auto"/>
                    </w:rPr>
                    <w:t>腐蚀性</w:t>
                  </w:r>
                </w:p>
              </w:tc>
            </w:tr>
            <w:tr w14:paraId="7FE4C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2" w:hRule="atLeast"/>
              </w:trPr>
              <w:tc>
                <w:tcPr>
                  <w:tcW w:w="656" w:type="pct"/>
                  <w:vMerge w:val="continue"/>
                  <w:noWrap w:val="0"/>
                  <w:vAlign w:val="center"/>
                </w:tcPr>
                <w:p w14:paraId="0B0A8385">
                  <w:pPr>
                    <w:spacing w:line="240" w:lineRule="auto"/>
                    <w:ind w:firstLine="0" w:firstLineChars="0"/>
                    <w:jc w:val="center"/>
                    <w:rPr>
                      <w:rFonts w:hint="eastAsia"/>
                      <w:color w:val="auto"/>
                      <w:sz w:val="21"/>
                      <w:szCs w:val="21"/>
                      <w:u w:val="none" w:color="auto"/>
                    </w:rPr>
                  </w:pPr>
                </w:p>
              </w:tc>
              <w:tc>
                <w:tcPr>
                  <w:tcW w:w="735" w:type="pct"/>
                  <w:noWrap w:val="0"/>
                  <w:vAlign w:val="center"/>
                </w:tcPr>
                <w:p w14:paraId="2423D52A">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六氟磷酸锂</w:t>
                  </w:r>
                </w:p>
              </w:tc>
              <w:tc>
                <w:tcPr>
                  <w:tcW w:w="2809" w:type="pct"/>
                  <w:noWrap w:val="0"/>
                  <w:vAlign w:val="center"/>
                </w:tcPr>
                <w:p w14:paraId="0B8EE361">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白色结晶或粉末，相对密度1.50。潮解性强；易溶于水</w:t>
                  </w:r>
                  <w:r>
                    <w:rPr>
                      <w:rFonts w:hint="eastAsia"/>
                      <w:color w:val="auto"/>
                      <w:sz w:val="21"/>
                      <w:szCs w:val="21"/>
                      <w:u w:val="none" w:color="auto"/>
                      <w:lang w:eastAsia="zh-CN"/>
                    </w:rPr>
                    <w:t>，还</w:t>
                  </w:r>
                  <w:r>
                    <w:rPr>
                      <w:rFonts w:hint="eastAsia"/>
                      <w:color w:val="auto"/>
                      <w:sz w:val="21"/>
                      <w:szCs w:val="21"/>
                      <w:u w:val="none" w:color="auto"/>
                    </w:rPr>
                    <w:t>溶于低浓度甲醇、乙醇、丙酮、碳酸酯类等有机溶剂。暴露空气中或加热时分解。暴露空气中或加热时六氟磷酸锂在空气中由于水蒸气的作用而迅速分解，放出PF</w:t>
                  </w:r>
                  <w:r>
                    <w:rPr>
                      <w:rFonts w:hint="eastAsia"/>
                      <w:color w:val="auto"/>
                      <w:sz w:val="21"/>
                      <w:szCs w:val="21"/>
                      <w:u w:val="none" w:color="auto"/>
                      <w:vertAlign w:val="subscript"/>
                    </w:rPr>
                    <w:t>5</w:t>
                  </w:r>
                  <w:r>
                    <w:rPr>
                      <w:rFonts w:hint="eastAsia"/>
                      <w:color w:val="auto"/>
                      <w:sz w:val="21"/>
                      <w:szCs w:val="21"/>
                      <w:u w:val="none" w:color="auto"/>
                    </w:rPr>
                    <w:t>而产生白色烟雾。</w:t>
                  </w:r>
                </w:p>
              </w:tc>
              <w:tc>
                <w:tcPr>
                  <w:tcW w:w="799" w:type="pct"/>
                  <w:noWrap w:val="0"/>
                  <w:vAlign w:val="center"/>
                </w:tcPr>
                <w:p w14:paraId="751D72E1">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lang w:eastAsia="zh-CN"/>
                    </w:rPr>
                    <w:t>轻微</w:t>
                  </w:r>
                  <w:r>
                    <w:rPr>
                      <w:rFonts w:hint="eastAsia"/>
                      <w:color w:val="auto"/>
                      <w:sz w:val="21"/>
                      <w:szCs w:val="21"/>
                      <w:u w:val="none" w:color="auto"/>
                    </w:rPr>
                    <w:t>腐蚀性。遇水分解产物氢氟酸有强烈刺激性和腐蚀性</w:t>
                  </w:r>
                </w:p>
              </w:tc>
            </w:tr>
            <w:tr w14:paraId="4D953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656" w:type="pct"/>
                  <w:vMerge w:val="restart"/>
                  <w:noWrap w:val="0"/>
                  <w:vAlign w:val="center"/>
                </w:tcPr>
                <w:p w14:paraId="055157C9">
                  <w:pPr>
                    <w:spacing w:line="240" w:lineRule="auto"/>
                    <w:ind w:firstLine="0" w:firstLineChars="0"/>
                    <w:jc w:val="center"/>
                    <w:rPr>
                      <w:rFonts w:hint="eastAsia" w:eastAsia="宋体"/>
                      <w:color w:val="auto"/>
                      <w:sz w:val="21"/>
                      <w:szCs w:val="21"/>
                      <w:u w:val="none" w:color="auto"/>
                      <w:lang w:eastAsia="zh-CN"/>
                    </w:rPr>
                  </w:pPr>
                  <w:r>
                    <w:rPr>
                      <w:rFonts w:hint="eastAsia"/>
                      <w:color w:val="auto"/>
                      <w:sz w:val="21"/>
                      <w:szCs w:val="21"/>
                      <w:u w:val="none" w:color="auto"/>
                      <w:lang w:eastAsia="zh-CN"/>
                    </w:rPr>
                    <w:t>喷码油墨</w:t>
                  </w:r>
                </w:p>
              </w:tc>
              <w:tc>
                <w:tcPr>
                  <w:tcW w:w="735" w:type="pct"/>
                  <w:noWrap w:val="0"/>
                  <w:vAlign w:val="center"/>
                </w:tcPr>
                <w:p w14:paraId="66C703F3">
                  <w:pPr>
                    <w:spacing w:line="240" w:lineRule="auto"/>
                    <w:ind w:firstLine="0" w:firstLineChars="0"/>
                    <w:jc w:val="center"/>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丁酮（含量</w:t>
                  </w:r>
                  <w:r>
                    <w:rPr>
                      <w:rFonts w:hint="eastAsia" w:ascii="Times New Roman" w:hAnsi="Times New Roman" w:eastAsia="宋体" w:cs="Times New Roman"/>
                      <w:color w:val="auto"/>
                      <w:sz w:val="21"/>
                      <w:szCs w:val="21"/>
                      <w:u w:val="none" w:color="auto"/>
                      <w:lang w:val="en-US" w:eastAsia="zh-CN"/>
                    </w:rPr>
                    <w:t>65%</w:t>
                  </w:r>
                  <w:r>
                    <w:rPr>
                      <w:rFonts w:hint="eastAsia" w:ascii="Times New Roman" w:hAnsi="Times New Roman" w:eastAsia="宋体" w:cs="Times New Roman"/>
                      <w:color w:val="auto"/>
                      <w:sz w:val="21"/>
                      <w:szCs w:val="21"/>
                      <w:u w:val="none" w:color="auto"/>
                      <w:lang w:eastAsia="zh-CN"/>
                    </w:rPr>
                    <w:t>）</w:t>
                  </w:r>
                </w:p>
              </w:tc>
              <w:tc>
                <w:tcPr>
                  <w:tcW w:w="2809" w:type="pct"/>
                  <w:noWrap w:val="0"/>
                  <w:vAlign w:val="center"/>
                </w:tcPr>
                <w:p w14:paraId="38D8051B">
                  <w:pPr>
                    <w:spacing w:line="240" w:lineRule="auto"/>
                    <w:ind w:firstLine="0" w:firstLineChars="0"/>
                    <w:jc w:val="center"/>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rPr>
                    <w:t>无色透明液体</w:t>
                  </w:r>
                  <w:r>
                    <w:rPr>
                      <w:rFonts w:hint="eastAsia" w:ascii="Times New Roman" w:hAnsi="Times New Roman" w:eastAsia="宋体" w:cs="Times New Roman"/>
                      <w:color w:val="auto"/>
                      <w:sz w:val="21"/>
                      <w:szCs w:val="21"/>
                      <w:u w:val="none" w:color="auto"/>
                      <w:lang w:eastAsia="zh-CN"/>
                    </w:rPr>
                    <w:t>，</w:t>
                  </w:r>
                  <w:r>
                    <w:rPr>
                      <w:rFonts w:hint="eastAsia" w:ascii="Times New Roman" w:hAnsi="Times New Roman" w:eastAsia="宋体" w:cs="Times New Roman"/>
                      <w:color w:val="auto"/>
                      <w:sz w:val="21"/>
                      <w:szCs w:val="21"/>
                      <w:u w:val="none" w:color="auto"/>
                    </w:rPr>
                    <w:t>有类似</w:t>
                  </w:r>
                  <w:r>
                    <w:rPr>
                      <w:rFonts w:hint="default" w:ascii="Times New Roman" w:hAnsi="Times New Roman" w:eastAsia="宋体" w:cs="Times New Roman"/>
                      <w:color w:val="auto"/>
                      <w:sz w:val="21"/>
                      <w:szCs w:val="21"/>
                      <w:u w:val="none" w:color="auto"/>
                    </w:rPr>
                    <w:fldChar w:fldCharType="begin"/>
                  </w:r>
                  <w:r>
                    <w:rPr>
                      <w:rFonts w:hint="default" w:ascii="Times New Roman" w:hAnsi="Times New Roman" w:eastAsia="宋体" w:cs="Times New Roman"/>
                      <w:color w:val="auto"/>
                      <w:sz w:val="21"/>
                      <w:szCs w:val="21"/>
                      <w:u w:val="none" w:color="auto"/>
                    </w:rPr>
                    <w:instrText xml:space="preserve"> HYPERLINK "https://baike.so.com/doc/252057-266820.html" \t "https://baike.so.com/doc/_blank" </w:instrText>
                  </w:r>
                  <w:r>
                    <w:rPr>
                      <w:rFonts w:hint="default" w:ascii="Times New Roman" w:hAnsi="Times New Roman" w:eastAsia="宋体" w:cs="Times New Roman"/>
                      <w:color w:val="auto"/>
                      <w:sz w:val="21"/>
                      <w:szCs w:val="21"/>
                      <w:u w:val="none" w:color="auto"/>
                    </w:rPr>
                    <w:fldChar w:fldCharType="separate"/>
                  </w:r>
                  <w:r>
                    <w:rPr>
                      <w:rFonts w:hint="default" w:ascii="Times New Roman" w:hAnsi="Times New Roman" w:eastAsia="宋体" w:cs="Times New Roman"/>
                      <w:color w:val="auto"/>
                      <w:sz w:val="21"/>
                      <w:szCs w:val="21"/>
                      <w:u w:val="none" w:color="auto"/>
                    </w:rPr>
                    <w:t>丙酮</w:t>
                  </w:r>
                  <w:r>
                    <w:rPr>
                      <w:rFonts w:hint="default" w:ascii="Times New Roman" w:hAnsi="Times New Roman" w:eastAsia="宋体" w:cs="Times New Roman"/>
                      <w:color w:val="auto"/>
                      <w:sz w:val="21"/>
                      <w:szCs w:val="21"/>
                      <w:u w:val="none" w:color="auto"/>
                    </w:rPr>
                    <w:fldChar w:fldCharType="end"/>
                  </w:r>
                  <w:r>
                    <w:rPr>
                      <w:rFonts w:hint="default" w:ascii="Times New Roman" w:hAnsi="Times New Roman" w:eastAsia="宋体" w:cs="Times New Roman"/>
                      <w:color w:val="auto"/>
                      <w:sz w:val="21"/>
                      <w:szCs w:val="21"/>
                      <w:u w:val="none" w:color="auto"/>
                    </w:rPr>
                    <w:t>气味</w:t>
                  </w:r>
                  <w:r>
                    <w:rPr>
                      <w:rFonts w:hint="eastAsia" w:ascii="Times New Roman" w:hAnsi="Times New Roman" w:eastAsia="宋体"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rPr>
                    <w:t>易挥发</w:t>
                  </w:r>
                  <w:r>
                    <w:rPr>
                      <w:rFonts w:hint="eastAsia" w:ascii="Times New Roman" w:hAnsi="Times New Roman" w:eastAsia="宋体" w:cs="Times New Roman"/>
                      <w:color w:val="auto"/>
                      <w:sz w:val="21"/>
                      <w:szCs w:val="21"/>
                      <w:u w:val="none" w:color="auto"/>
                      <w:lang w:eastAsia="zh-CN"/>
                    </w:rPr>
                    <w:t>，</w:t>
                  </w:r>
                  <w:r>
                    <w:rPr>
                      <w:rFonts w:hint="eastAsia" w:ascii="Times New Roman" w:hAnsi="Times New Roman" w:eastAsia="宋体" w:cs="Times New Roman"/>
                      <w:color w:val="auto"/>
                      <w:sz w:val="21"/>
                      <w:szCs w:val="21"/>
                      <w:u w:val="none" w:color="auto"/>
                    </w:rPr>
                    <w:t>易燃，蒸气能与空气形成爆炸性混合物，爆炸极限1.81%</w:t>
                  </w:r>
                  <w:r>
                    <w:rPr>
                      <w:rFonts w:hint="eastAsia" w:cs="Times New Roman"/>
                      <w:color w:val="auto"/>
                      <w:sz w:val="21"/>
                      <w:szCs w:val="21"/>
                      <w:u w:val="none" w:color="auto"/>
                      <w:lang w:eastAsia="zh-CN"/>
                    </w:rPr>
                    <w:t>～</w:t>
                  </w:r>
                  <w:r>
                    <w:rPr>
                      <w:rFonts w:hint="eastAsia" w:ascii="Times New Roman" w:hAnsi="Times New Roman" w:eastAsia="宋体" w:cs="Times New Roman"/>
                      <w:color w:val="auto"/>
                      <w:sz w:val="21"/>
                      <w:szCs w:val="21"/>
                      <w:u w:val="none" w:color="auto"/>
                    </w:rPr>
                    <w:t>11.5%</w:t>
                  </w:r>
                  <w:r>
                    <w:rPr>
                      <w:rFonts w:hint="eastAsia" w:cs="Times New Roman"/>
                      <w:color w:val="auto"/>
                      <w:sz w:val="21"/>
                      <w:szCs w:val="21"/>
                      <w:u w:val="none" w:color="auto"/>
                      <w:lang w:eastAsia="zh-CN"/>
                    </w:rPr>
                    <w:t>（</w:t>
                  </w:r>
                  <w:r>
                    <w:rPr>
                      <w:rFonts w:hint="eastAsia" w:ascii="Times New Roman" w:hAnsi="Times New Roman" w:eastAsia="宋体" w:cs="Times New Roman"/>
                      <w:color w:val="auto"/>
                      <w:sz w:val="21"/>
                      <w:szCs w:val="21"/>
                      <w:u w:val="none" w:color="auto"/>
                    </w:rPr>
                    <w:t>体积</w:t>
                  </w:r>
                  <w:r>
                    <w:rPr>
                      <w:rFonts w:hint="eastAsia" w:cs="Times New Roman"/>
                      <w:color w:val="auto"/>
                      <w:sz w:val="21"/>
                      <w:szCs w:val="21"/>
                      <w:u w:val="none" w:color="auto"/>
                      <w:lang w:eastAsia="zh-CN"/>
                    </w:rPr>
                    <w:t>）</w:t>
                  </w:r>
                  <w:r>
                    <w:rPr>
                      <w:rFonts w:hint="eastAsia" w:ascii="Times New Roman" w:hAnsi="Times New Roman" w:eastAsia="宋体" w:cs="Times New Roman"/>
                      <w:color w:val="auto"/>
                      <w:sz w:val="21"/>
                      <w:szCs w:val="21"/>
                      <w:u w:val="none" w:color="auto"/>
                      <w:lang w:eastAsia="zh-CN"/>
                    </w:rPr>
                    <w:t>，</w:t>
                  </w:r>
                  <w:r>
                    <w:rPr>
                      <w:rFonts w:hint="eastAsia" w:ascii="Times New Roman" w:hAnsi="Times New Roman" w:eastAsia="宋体" w:cs="Times New Roman"/>
                      <w:color w:val="auto"/>
                      <w:sz w:val="21"/>
                      <w:szCs w:val="21"/>
                      <w:u w:val="none" w:color="auto"/>
                    </w:rPr>
                    <w:t>沸点</w:t>
                  </w:r>
                  <w:r>
                    <w:rPr>
                      <w:rFonts w:hint="eastAsia" w:ascii="Times New Roman" w:hAnsi="Times New Roman" w:eastAsia="宋体" w:cs="Times New Roman"/>
                      <w:color w:val="auto"/>
                      <w:sz w:val="21"/>
                      <w:szCs w:val="21"/>
                      <w:u w:val="none" w:color="auto"/>
                      <w:lang w:val="en-US" w:eastAsia="zh-CN"/>
                    </w:rPr>
                    <w:t>79.6</w:t>
                  </w:r>
                  <w:r>
                    <w:rPr>
                      <w:rFonts w:hint="eastAsia" w:ascii="Times New Roman" w:hAnsi="Times New Roman" w:eastAsia="宋体" w:cs="Times New Roman"/>
                      <w:color w:val="auto"/>
                      <w:sz w:val="21"/>
                      <w:szCs w:val="21"/>
                      <w:u w:val="none" w:color="auto"/>
                    </w:rPr>
                    <w:t>℃，闪点：</w:t>
                  </w:r>
                  <w:r>
                    <w:rPr>
                      <w:rFonts w:hint="eastAsia" w:ascii="Times New Roman" w:hAnsi="Times New Roman" w:eastAsia="宋体" w:cs="Times New Roman"/>
                      <w:color w:val="auto"/>
                      <w:sz w:val="21"/>
                      <w:szCs w:val="21"/>
                      <w:u w:val="none" w:color="auto"/>
                      <w:lang w:val="en-US" w:eastAsia="zh-CN"/>
                    </w:rPr>
                    <w:t>-9</w:t>
                  </w:r>
                  <w:r>
                    <w:rPr>
                      <w:rFonts w:hint="eastAsia"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eastAsia="zh-CN"/>
                    </w:rPr>
                    <w:t>，</w:t>
                  </w:r>
                  <w:r>
                    <w:rPr>
                      <w:rFonts w:hint="eastAsia" w:ascii="Times New Roman" w:hAnsi="Times New Roman" w:eastAsia="宋体" w:cs="Times New Roman"/>
                      <w:color w:val="auto"/>
                      <w:sz w:val="21"/>
                      <w:szCs w:val="21"/>
                      <w:u w:val="none" w:color="auto"/>
                    </w:rPr>
                    <w:t>LD</w:t>
                  </w:r>
                  <w:r>
                    <w:rPr>
                      <w:rFonts w:hint="eastAsia" w:ascii="Times New Roman" w:hAnsi="Times New Roman" w:eastAsia="宋体" w:cs="Times New Roman"/>
                      <w:color w:val="auto"/>
                      <w:sz w:val="21"/>
                      <w:szCs w:val="21"/>
                      <w:u w:val="none" w:color="auto"/>
                      <w:vertAlign w:val="subscript"/>
                    </w:rPr>
                    <w:t>50</w:t>
                  </w:r>
                  <w:r>
                    <w:rPr>
                      <w:rFonts w:hint="eastAsia"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3400</w:t>
                  </w:r>
                  <w:r>
                    <w:rPr>
                      <w:rFonts w:hint="eastAsia" w:ascii="Times New Roman" w:hAnsi="Times New Roman" w:eastAsia="宋体" w:cs="Times New Roman"/>
                      <w:color w:val="auto"/>
                      <w:sz w:val="21"/>
                      <w:szCs w:val="21"/>
                      <w:u w:val="none" w:color="auto"/>
                    </w:rPr>
                    <w:t>mg/kg</w:t>
                  </w:r>
                  <w:r>
                    <w:rPr>
                      <w:rFonts w:hint="eastAsia" w:cs="Times New Roman"/>
                      <w:color w:val="auto"/>
                      <w:sz w:val="21"/>
                      <w:szCs w:val="21"/>
                      <w:u w:val="none" w:color="auto"/>
                      <w:lang w:eastAsia="zh-CN"/>
                    </w:rPr>
                    <w:t>（</w:t>
                  </w:r>
                  <w:r>
                    <w:rPr>
                      <w:rFonts w:hint="eastAsia" w:ascii="Times New Roman" w:hAnsi="Times New Roman" w:eastAsia="宋体" w:cs="Times New Roman"/>
                      <w:color w:val="auto"/>
                      <w:sz w:val="21"/>
                      <w:szCs w:val="21"/>
                      <w:u w:val="none" w:color="auto"/>
                    </w:rPr>
                    <w:t>大鼠经口</w:t>
                  </w:r>
                  <w:r>
                    <w:rPr>
                      <w:rFonts w:hint="eastAsia" w:cs="Times New Roman"/>
                      <w:color w:val="auto"/>
                      <w:sz w:val="21"/>
                      <w:szCs w:val="21"/>
                      <w:u w:val="none" w:color="auto"/>
                      <w:lang w:eastAsia="zh-CN"/>
                    </w:rPr>
                    <w:t>）</w:t>
                  </w:r>
                  <w:r>
                    <w:rPr>
                      <w:rFonts w:hint="eastAsia" w:ascii="Times New Roman" w:hAnsi="Times New Roman" w:eastAsia="宋体" w:cs="Times New Roman"/>
                      <w:color w:val="auto"/>
                      <w:sz w:val="21"/>
                      <w:szCs w:val="21"/>
                      <w:u w:val="none" w:color="auto"/>
                    </w:rPr>
                    <w:t>，LC50：无资料</w:t>
                  </w:r>
                </w:p>
              </w:tc>
              <w:tc>
                <w:tcPr>
                  <w:tcW w:w="799" w:type="pct"/>
                  <w:noWrap w:val="0"/>
                  <w:vAlign w:val="center"/>
                </w:tcPr>
                <w:p w14:paraId="0D95B369">
                  <w:pPr>
                    <w:spacing w:line="240" w:lineRule="auto"/>
                    <w:ind w:firstLine="0" w:firstLineChars="0"/>
                    <w:jc w:val="center"/>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低毒，易燃液体</w:t>
                  </w:r>
                </w:p>
              </w:tc>
            </w:tr>
            <w:tr w14:paraId="3C3E2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656" w:type="pct"/>
                  <w:vMerge w:val="continue"/>
                  <w:noWrap w:val="0"/>
                  <w:vAlign w:val="center"/>
                </w:tcPr>
                <w:p w14:paraId="13061EE2">
                  <w:pPr>
                    <w:spacing w:line="240" w:lineRule="auto"/>
                    <w:ind w:firstLine="0" w:firstLineChars="0"/>
                    <w:jc w:val="center"/>
                    <w:rPr>
                      <w:rFonts w:hint="eastAsia"/>
                      <w:color w:val="auto"/>
                      <w:sz w:val="21"/>
                      <w:szCs w:val="21"/>
                      <w:u w:val="none" w:color="auto"/>
                      <w:lang w:eastAsia="zh-CN"/>
                    </w:rPr>
                  </w:pPr>
                </w:p>
              </w:tc>
              <w:tc>
                <w:tcPr>
                  <w:tcW w:w="735" w:type="pct"/>
                  <w:noWrap w:val="0"/>
                  <w:vAlign w:val="center"/>
                </w:tcPr>
                <w:p w14:paraId="5DBFF812">
                  <w:pPr>
                    <w:spacing w:line="240" w:lineRule="auto"/>
                    <w:ind w:firstLine="0" w:firstLineChars="0"/>
                    <w:jc w:val="center"/>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乙二醇乙醚（含量</w:t>
                  </w:r>
                  <w:r>
                    <w:rPr>
                      <w:rFonts w:hint="eastAsia" w:ascii="Times New Roman" w:hAnsi="Times New Roman" w:eastAsia="宋体" w:cs="Times New Roman"/>
                      <w:color w:val="auto"/>
                      <w:sz w:val="21"/>
                      <w:szCs w:val="21"/>
                      <w:u w:val="none" w:color="auto"/>
                      <w:lang w:val="en-US" w:eastAsia="zh-CN"/>
                    </w:rPr>
                    <w:t>10%</w:t>
                  </w:r>
                  <w:r>
                    <w:rPr>
                      <w:rFonts w:hint="eastAsia" w:ascii="Times New Roman" w:hAnsi="Times New Roman" w:eastAsia="宋体" w:cs="Times New Roman"/>
                      <w:color w:val="auto"/>
                      <w:sz w:val="21"/>
                      <w:szCs w:val="21"/>
                      <w:u w:val="none" w:color="auto"/>
                      <w:lang w:eastAsia="zh-CN"/>
                    </w:rPr>
                    <w:t>）</w:t>
                  </w:r>
                </w:p>
              </w:tc>
              <w:tc>
                <w:tcPr>
                  <w:tcW w:w="2809" w:type="pct"/>
                  <w:noWrap w:val="0"/>
                  <w:vAlign w:val="center"/>
                </w:tcPr>
                <w:p w14:paraId="64EFE4A2">
                  <w:pPr>
                    <w:spacing w:line="240" w:lineRule="auto"/>
                    <w:ind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主要用于硝基纤维素、醋酸纤维素，合成树脂、油漆的溶剂，涂料工业用于配制油漆稀释剂、脱漆剂及制造喷漆的原料，</w:t>
                  </w:r>
                  <w:r>
                    <w:rPr>
                      <w:rFonts w:ascii="Times New Roman" w:hAnsi="Times New Roman" w:eastAsia="宋体" w:cs="Times New Roman"/>
                      <w:color w:val="auto"/>
                      <w:sz w:val="21"/>
                      <w:szCs w:val="21"/>
                      <w:u w:val="none" w:color="auto"/>
                    </w:rPr>
                    <w:t>沸点</w:t>
                  </w:r>
                  <w:r>
                    <w:rPr>
                      <w:rFonts w:hint="eastAsia" w:ascii="Times New Roman" w:hAnsi="Times New Roman" w:eastAsia="宋体" w:cs="Times New Roman"/>
                      <w:color w:val="auto"/>
                      <w:sz w:val="21"/>
                      <w:szCs w:val="21"/>
                      <w:u w:val="none" w:color="auto"/>
                      <w:lang w:val="en-US" w:eastAsia="zh-CN"/>
                    </w:rPr>
                    <w:t>135.1</w:t>
                  </w:r>
                  <w:r>
                    <w:rPr>
                      <w:rFonts w:ascii="Times New Roman" w:hAnsi="Times New Roman" w:eastAsia="宋体" w:cs="Times New Roman"/>
                      <w:color w:val="auto"/>
                      <w:sz w:val="21"/>
                      <w:szCs w:val="21"/>
                      <w:u w:val="none" w:color="auto"/>
                    </w:rPr>
                    <w:t>℃，闪点：</w:t>
                  </w:r>
                  <w:r>
                    <w:rPr>
                      <w:rFonts w:hint="eastAsia" w:ascii="Times New Roman" w:hAnsi="Times New Roman" w:eastAsia="宋体" w:cs="Times New Roman"/>
                      <w:color w:val="auto"/>
                      <w:sz w:val="21"/>
                      <w:szCs w:val="21"/>
                      <w:u w:val="none" w:color="auto"/>
                      <w:lang w:val="en-US" w:eastAsia="zh-CN"/>
                    </w:rPr>
                    <w:t>43</w:t>
                  </w:r>
                  <w:r>
                    <w:rPr>
                      <w:rFonts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eastAsia="zh-CN"/>
                    </w:rPr>
                    <w:t>，</w:t>
                  </w:r>
                  <w:r>
                    <w:rPr>
                      <w:color w:val="auto"/>
                      <w:sz w:val="21"/>
                      <w:szCs w:val="21"/>
                      <w:u w:val="none" w:color="auto"/>
                    </w:rPr>
                    <w:t>LD</w:t>
                  </w:r>
                  <w:r>
                    <w:rPr>
                      <w:color w:val="auto"/>
                      <w:sz w:val="21"/>
                      <w:szCs w:val="21"/>
                      <w:u w:val="none" w:color="auto"/>
                      <w:vertAlign w:val="subscript"/>
                    </w:rPr>
                    <w:t>50</w:t>
                  </w:r>
                  <w:r>
                    <w:rPr>
                      <w:rFonts w:hAnsi="宋体"/>
                      <w:color w:val="auto"/>
                      <w:sz w:val="21"/>
                      <w:szCs w:val="21"/>
                      <w:u w:val="none" w:color="auto"/>
                    </w:rPr>
                    <w:t>：</w:t>
                  </w:r>
                  <w:r>
                    <w:rPr>
                      <w:rFonts w:hint="eastAsia" w:hAnsi="宋体"/>
                      <w:color w:val="auto"/>
                      <w:sz w:val="21"/>
                      <w:szCs w:val="21"/>
                      <w:u w:val="none" w:color="auto"/>
                      <w:lang w:val="en-US" w:eastAsia="zh-CN"/>
                    </w:rPr>
                    <w:t>3460</w:t>
                  </w:r>
                  <w:r>
                    <w:rPr>
                      <w:rFonts w:hAnsi="宋体"/>
                      <w:color w:val="auto"/>
                      <w:sz w:val="21"/>
                      <w:szCs w:val="21"/>
                      <w:u w:val="none" w:color="auto"/>
                    </w:rPr>
                    <w:t>mg/kg</w:t>
                  </w:r>
                  <w:r>
                    <w:rPr>
                      <w:rFonts w:hint="eastAsia" w:hAnsi="宋体"/>
                      <w:color w:val="auto"/>
                      <w:sz w:val="21"/>
                      <w:szCs w:val="21"/>
                      <w:u w:val="none" w:color="auto"/>
                      <w:lang w:eastAsia="zh-CN"/>
                    </w:rPr>
                    <w:t>（</w:t>
                  </w:r>
                  <w:r>
                    <w:rPr>
                      <w:rFonts w:hAnsi="宋体"/>
                      <w:color w:val="auto"/>
                      <w:sz w:val="21"/>
                      <w:szCs w:val="21"/>
                      <w:u w:val="none" w:color="auto"/>
                    </w:rPr>
                    <w:t>大鼠经口</w:t>
                  </w:r>
                  <w:r>
                    <w:rPr>
                      <w:rFonts w:hint="eastAsia" w:hAnsi="宋体"/>
                      <w:color w:val="auto"/>
                      <w:sz w:val="21"/>
                      <w:szCs w:val="21"/>
                      <w:u w:val="none" w:color="auto"/>
                      <w:lang w:eastAsia="zh-CN"/>
                    </w:rPr>
                    <w:t>）</w:t>
                  </w:r>
                  <w:r>
                    <w:rPr>
                      <w:rFonts w:hAnsi="宋体"/>
                      <w:color w:val="auto"/>
                      <w:sz w:val="21"/>
                      <w:szCs w:val="21"/>
                      <w:u w:val="none" w:color="auto"/>
                    </w:rPr>
                    <w:t>，LC</w:t>
                  </w:r>
                  <w:r>
                    <w:rPr>
                      <w:rFonts w:hAnsi="宋体"/>
                      <w:color w:val="auto"/>
                      <w:sz w:val="21"/>
                      <w:szCs w:val="21"/>
                      <w:u w:val="none" w:color="auto"/>
                      <w:vertAlign w:val="subscript"/>
                    </w:rPr>
                    <w:t>50</w:t>
                  </w:r>
                  <w:r>
                    <w:rPr>
                      <w:rFonts w:hAnsi="宋体"/>
                      <w:color w:val="auto"/>
                      <w:sz w:val="21"/>
                      <w:szCs w:val="21"/>
                      <w:u w:val="none" w:color="auto"/>
                    </w:rPr>
                    <w:t>：无资料</w:t>
                  </w:r>
                </w:p>
              </w:tc>
              <w:tc>
                <w:tcPr>
                  <w:tcW w:w="799" w:type="pct"/>
                  <w:noWrap w:val="0"/>
                  <w:vAlign w:val="center"/>
                </w:tcPr>
                <w:p w14:paraId="5546D98B">
                  <w:pPr>
                    <w:spacing w:line="240" w:lineRule="auto"/>
                    <w:ind w:firstLine="0" w:firstLineChars="0"/>
                    <w:jc w:val="center"/>
                    <w:rPr>
                      <w:rFonts w:hint="eastAsia" w:ascii="Times New Roman" w:hAnsi="Times New Roman" w:eastAsia="宋体" w:cs="Times New Roman"/>
                      <w:color w:val="auto"/>
                      <w:sz w:val="21"/>
                      <w:szCs w:val="21"/>
                      <w:u w:val="none" w:color="auto"/>
                    </w:rPr>
                  </w:pPr>
                  <w:r>
                    <w:rPr>
                      <w:rFonts w:hint="eastAsia"/>
                      <w:color w:val="auto"/>
                      <w:sz w:val="21"/>
                      <w:szCs w:val="21"/>
                      <w:u w:val="none" w:color="auto"/>
                    </w:rPr>
                    <w:t>无毒，性质稳定，不具腐蚀、爆炸性</w:t>
                  </w:r>
                </w:p>
              </w:tc>
            </w:tr>
          </w:tbl>
          <w:p w14:paraId="2025C972">
            <w:pPr>
              <w:tabs>
                <w:tab w:val="left" w:pos="484"/>
              </w:tabs>
              <w:ind w:firstLine="482"/>
              <w:jc w:val="left"/>
              <w:rPr>
                <w:b/>
                <w:bCs/>
                <w:color w:val="auto"/>
                <w:u w:val="none" w:color="auto"/>
              </w:rPr>
            </w:pPr>
            <w:r>
              <w:rPr>
                <w:rFonts w:hint="eastAsia"/>
                <w:b/>
                <w:bCs/>
                <w:color w:val="auto"/>
                <w:u w:val="none" w:color="auto"/>
              </w:rPr>
              <w:t>（四）</w:t>
            </w:r>
            <w:r>
              <w:rPr>
                <w:b/>
                <w:bCs/>
                <w:color w:val="auto"/>
                <w:u w:val="none" w:color="auto"/>
              </w:rPr>
              <w:t>主要生产设备</w:t>
            </w:r>
          </w:p>
          <w:p w14:paraId="761A33FE">
            <w:pPr>
              <w:ind w:firstLine="480"/>
              <w:rPr>
                <w:color w:val="auto"/>
                <w:u w:val="none" w:color="auto"/>
              </w:rPr>
            </w:pPr>
            <w:r>
              <w:rPr>
                <w:rFonts w:hint="eastAsia"/>
                <w:color w:val="auto"/>
                <w:u w:val="none" w:color="auto"/>
                <w:lang w:eastAsia="zh-CN"/>
              </w:rPr>
              <w:t>本项目主要进行聚合物锂电池、铝（钢）壳锂电池生产，</w:t>
            </w:r>
            <w:r>
              <w:rPr>
                <w:color w:val="auto"/>
                <w:u w:val="none" w:color="auto"/>
              </w:rPr>
              <w:t>本项目</w:t>
            </w:r>
            <w:r>
              <w:rPr>
                <w:rFonts w:hint="eastAsia"/>
                <w:color w:val="auto"/>
                <w:u w:val="none" w:color="auto"/>
                <w:lang w:eastAsia="zh-CN"/>
              </w:rPr>
              <w:t>所需</w:t>
            </w:r>
            <w:r>
              <w:rPr>
                <w:color w:val="auto"/>
                <w:u w:val="none" w:color="auto"/>
              </w:rPr>
              <w:t>主要生产设备详见下表。</w:t>
            </w:r>
          </w:p>
          <w:p w14:paraId="21AE75D2">
            <w:pPr>
              <w:adjustRightInd w:val="0"/>
              <w:snapToGrid w:val="0"/>
              <w:spacing w:line="240" w:lineRule="auto"/>
              <w:ind w:firstLine="422"/>
              <w:jc w:val="center"/>
              <w:rPr>
                <w:rFonts w:hint="eastAsia"/>
                <w:b/>
                <w:bCs/>
                <w:color w:val="auto"/>
                <w:sz w:val="21"/>
                <w:szCs w:val="21"/>
                <w:u w:val="none" w:color="auto"/>
              </w:rPr>
            </w:pPr>
            <w:r>
              <w:rPr>
                <w:rFonts w:hint="eastAsia"/>
                <w:b/>
                <w:bCs/>
                <w:color w:val="auto"/>
                <w:sz w:val="21"/>
                <w:szCs w:val="21"/>
                <w:u w:val="none" w:color="auto"/>
              </w:rPr>
              <w:t>表2-4项目主要设备一览表</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690"/>
              <w:gridCol w:w="1428"/>
              <w:gridCol w:w="1531"/>
              <w:gridCol w:w="2087"/>
              <w:gridCol w:w="2087"/>
            </w:tblGrid>
            <w:tr w14:paraId="51051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5" w:type="pct"/>
                  <w:noWrap w:val="0"/>
                  <w:vAlign w:val="center"/>
                </w:tcPr>
                <w:p w14:paraId="4C3377FE">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序号</w:t>
                  </w:r>
                </w:p>
              </w:tc>
              <w:tc>
                <w:tcPr>
                  <w:tcW w:w="1259" w:type="pct"/>
                  <w:gridSpan w:val="2"/>
                  <w:noWrap w:val="0"/>
                  <w:vAlign w:val="center"/>
                </w:tcPr>
                <w:p w14:paraId="1242632F">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设备名称</w:t>
                  </w:r>
                </w:p>
              </w:tc>
              <w:tc>
                <w:tcPr>
                  <w:tcW w:w="910" w:type="pct"/>
                  <w:noWrap w:val="0"/>
                  <w:vAlign w:val="center"/>
                </w:tcPr>
                <w:p w14:paraId="3379216C">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规格/型号</w:t>
                  </w:r>
                </w:p>
              </w:tc>
              <w:tc>
                <w:tcPr>
                  <w:tcW w:w="1241" w:type="pct"/>
                  <w:noWrap w:val="0"/>
                  <w:vAlign w:val="center"/>
                </w:tcPr>
                <w:p w14:paraId="0857A8E8">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用途</w:t>
                  </w:r>
                </w:p>
              </w:tc>
              <w:tc>
                <w:tcPr>
                  <w:tcW w:w="1241" w:type="pct"/>
                  <w:noWrap w:val="0"/>
                  <w:vAlign w:val="center"/>
                </w:tcPr>
                <w:p w14:paraId="1AD27A5C">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lang w:eastAsia="zh-CN"/>
                    </w:rPr>
                  </w:pPr>
                  <w:r>
                    <w:rPr>
                      <w:rFonts w:hint="eastAsia" w:ascii="Times New Roman" w:hAnsi="Times New Roman" w:cs="Times New Roman"/>
                      <w:b w:val="0"/>
                      <w:bCs w:val="0"/>
                      <w:color w:val="auto"/>
                      <w:sz w:val="21"/>
                      <w:szCs w:val="21"/>
                      <w:u w:val="none"/>
                      <w:lang w:eastAsia="zh-CN"/>
                    </w:rPr>
                    <w:t>备注</w:t>
                  </w:r>
                </w:p>
              </w:tc>
            </w:tr>
            <w:tr w14:paraId="5745A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5" w:type="pct"/>
                  <w:noWrap w:val="0"/>
                  <w:vAlign w:val="center"/>
                </w:tcPr>
                <w:p w14:paraId="07538B72">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1</w:t>
                  </w:r>
                </w:p>
              </w:tc>
              <w:tc>
                <w:tcPr>
                  <w:tcW w:w="1259" w:type="pct"/>
                  <w:gridSpan w:val="2"/>
                  <w:noWrap w:val="0"/>
                  <w:vAlign w:val="center"/>
                </w:tcPr>
                <w:p w14:paraId="20772497">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打胶机</w:t>
                  </w:r>
                </w:p>
              </w:tc>
              <w:tc>
                <w:tcPr>
                  <w:tcW w:w="910" w:type="pct"/>
                  <w:noWrap w:val="0"/>
                  <w:vAlign w:val="center"/>
                </w:tcPr>
                <w:p w14:paraId="76C21D1B">
                  <w:pPr>
                    <w:adjustRightInd w:val="0"/>
                    <w:snapToGrid w:val="0"/>
                    <w:spacing w:line="240" w:lineRule="atLeast"/>
                    <w:ind w:firstLine="0" w:firstLineChars="0"/>
                    <w:jc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200L/100L/60L</w:t>
                  </w:r>
                </w:p>
              </w:tc>
              <w:tc>
                <w:tcPr>
                  <w:tcW w:w="1241" w:type="pct"/>
                  <w:noWrap w:val="0"/>
                  <w:vAlign w:val="center"/>
                </w:tcPr>
                <w:p w14:paraId="10102501">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打胶</w:t>
                  </w:r>
                </w:p>
              </w:tc>
              <w:tc>
                <w:tcPr>
                  <w:tcW w:w="1241" w:type="pct"/>
                  <w:noWrap w:val="0"/>
                  <w:vAlign w:val="center"/>
                </w:tcPr>
                <w:p w14:paraId="41B43374">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2</w:t>
                  </w:r>
                  <w:r>
                    <w:rPr>
                      <w:rFonts w:hint="eastAsia" w:ascii="Times New Roman" w:hAnsi="Times New Roman" w:cs="Times New Roman"/>
                      <w:b w:val="0"/>
                      <w:bCs w:val="0"/>
                      <w:color w:val="auto"/>
                      <w:sz w:val="21"/>
                      <w:szCs w:val="21"/>
                      <w:u w:val="none"/>
                      <w:lang w:val="en-US" w:eastAsia="zh-CN"/>
                    </w:rPr>
                    <w:t>台</w:t>
                  </w:r>
                  <w:r>
                    <w:rPr>
                      <w:rFonts w:hint="eastAsia" w:ascii="Times New Roman" w:hAnsi="Times New Roman" w:eastAsia="宋体" w:cs="Times New Roman"/>
                      <w:b w:val="0"/>
                      <w:bCs w:val="0"/>
                      <w:color w:val="auto"/>
                      <w:sz w:val="21"/>
                      <w:szCs w:val="21"/>
                      <w:u w:val="none"/>
                      <w:lang w:val="en-US" w:eastAsia="zh-CN"/>
                    </w:rPr>
                    <w:t>（现</w:t>
                  </w:r>
                  <w:r>
                    <w:rPr>
                      <w:rFonts w:hint="eastAsia" w:ascii="Times New Roman" w:hAnsi="Times New Roman" w:cs="Times New Roman"/>
                      <w:b w:val="0"/>
                      <w:bCs w:val="0"/>
                      <w:color w:val="auto"/>
                      <w:sz w:val="21"/>
                      <w:szCs w:val="21"/>
                      <w:u w:val="none"/>
                      <w:lang w:val="en-US" w:eastAsia="zh-CN"/>
                    </w:rPr>
                    <w:t>有</w:t>
                  </w:r>
                  <w:r>
                    <w:rPr>
                      <w:rFonts w:hint="eastAsia" w:ascii="Times New Roman" w:hAnsi="Times New Roman" w:eastAsia="宋体" w:cs="Times New Roman"/>
                      <w:b w:val="0"/>
                      <w:bCs w:val="0"/>
                      <w:color w:val="auto"/>
                      <w:sz w:val="21"/>
                      <w:szCs w:val="21"/>
                      <w:u w:val="none"/>
                      <w:lang w:val="en-US" w:eastAsia="zh-CN"/>
                    </w:rPr>
                    <w:t>1</w:t>
                  </w:r>
                  <w:r>
                    <w:rPr>
                      <w:rFonts w:hint="eastAsia" w:ascii="Times New Roman" w:hAnsi="Times New Roman" w:cs="Times New Roman"/>
                      <w:b w:val="0"/>
                      <w:bCs w:val="0"/>
                      <w:color w:val="auto"/>
                      <w:sz w:val="21"/>
                      <w:szCs w:val="21"/>
                      <w:u w:val="none"/>
                      <w:lang w:val="en-US" w:eastAsia="zh-CN"/>
                    </w:rPr>
                    <w:t>，新增</w:t>
                  </w:r>
                  <w:r>
                    <w:rPr>
                      <w:rFonts w:hint="eastAsia" w:ascii="Times New Roman" w:hAnsi="Times New Roman" w:eastAsia="宋体" w:cs="Times New Roman"/>
                      <w:b w:val="0"/>
                      <w:bCs w:val="0"/>
                      <w:color w:val="auto"/>
                      <w:sz w:val="21"/>
                      <w:szCs w:val="21"/>
                      <w:u w:val="none"/>
                      <w:lang w:val="en-US" w:eastAsia="zh-CN"/>
                    </w:rPr>
                    <w:t>1）</w:t>
                  </w:r>
                </w:p>
              </w:tc>
            </w:tr>
            <w:tr w14:paraId="01CCB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5" w:type="pct"/>
                  <w:noWrap w:val="0"/>
                  <w:vAlign w:val="center"/>
                </w:tcPr>
                <w:p w14:paraId="3CB0CE04">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2</w:t>
                  </w:r>
                </w:p>
              </w:tc>
              <w:tc>
                <w:tcPr>
                  <w:tcW w:w="1259" w:type="pct"/>
                  <w:gridSpan w:val="2"/>
                  <w:noWrap w:val="0"/>
                  <w:vAlign w:val="center"/>
                </w:tcPr>
                <w:p w14:paraId="35A44048">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搅拌机</w:t>
                  </w:r>
                </w:p>
              </w:tc>
              <w:tc>
                <w:tcPr>
                  <w:tcW w:w="910" w:type="pct"/>
                  <w:noWrap w:val="0"/>
                  <w:vAlign w:val="center"/>
                </w:tcPr>
                <w:p w14:paraId="2FC82ECE">
                  <w:pPr>
                    <w:adjustRightInd w:val="0"/>
                    <w:snapToGrid w:val="0"/>
                    <w:spacing w:line="240" w:lineRule="atLeast"/>
                    <w:ind w:firstLine="0" w:firstLineChars="0"/>
                    <w:jc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200L/100L/60L</w:t>
                  </w:r>
                </w:p>
              </w:tc>
              <w:tc>
                <w:tcPr>
                  <w:tcW w:w="1241" w:type="pct"/>
                  <w:noWrap w:val="0"/>
                  <w:vAlign w:val="center"/>
                </w:tcPr>
                <w:p w14:paraId="7F3FC275">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搅拌</w:t>
                  </w:r>
                </w:p>
              </w:tc>
              <w:tc>
                <w:tcPr>
                  <w:tcW w:w="1241" w:type="pct"/>
                  <w:noWrap w:val="0"/>
                  <w:vAlign w:val="center"/>
                </w:tcPr>
                <w:p w14:paraId="76495016">
                  <w:pPr>
                    <w:adjustRightInd w:val="0"/>
                    <w:snapToGrid w:val="0"/>
                    <w:spacing w:line="240" w:lineRule="atLeast"/>
                    <w:ind w:firstLine="0" w:firstLineChars="0"/>
                    <w:jc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10</w:t>
                  </w:r>
                  <w:r>
                    <w:rPr>
                      <w:rFonts w:hint="eastAsia" w:ascii="Times New Roman" w:hAnsi="Times New Roman" w:cs="Times New Roman"/>
                      <w:b w:val="0"/>
                      <w:bCs w:val="0"/>
                      <w:color w:val="auto"/>
                      <w:sz w:val="21"/>
                      <w:szCs w:val="21"/>
                      <w:u w:val="none"/>
                      <w:lang w:val="en-US" w:eastAsia="zh-CN"/>
                    </w:rPr>
                    <w:t>台</w:t>
                  </w:r>
                  <w:r>
                    <w:rPr>
                      <w:rFonts w:hint="eastAsia" w:ascii="Times New Roman" w:hAnsi="Times New Roman" w:eastAsia="宋体" w:cs="Times New Roman"/>
                      <w:b w:val="0"/>
                      <w:bCs w:val="0"/>
                      <w:color w:val="auto"/>
                      <w:sz w:val="21"/>
                      <w:szCs w:val="21"/>
                      <w:u w:val="none"/>
                      <w:lang w:val="en-US" w:eastAsia="zh-CN"/>
                    </w:rPr>
                    <w:t>（现</w:t>
                  </w:r>
                  <w:r>
                    <w:rPr>
                      <w:rFonts w:hint="eastAsia" w:ascii="Times New Roman" w:hAnsi="Times New Roman" w:cs="Times New Roman"/>
                      <w:b w:val="0"/>
                      <w:bCs w:val="0"/>
                      <w:color w:val="auto"/>
                      <w:sz w:val="21"/>
                      <w:szCs w:val="21"/>
                      <w:u w:val="none"/>
                      <w:lang w:val="en-US" w:eastAsia="zh-CN"/>
                    </w:rPr>
                    <w:t>有</w:t>
                  </w:r>
                  <w:r>
                    <w:rPr>
                      <w:rFonts w:hint="eastAsia" w:ascii="Times New Roman" w:hAnsi="Times New Roman" w:eastAsia="宋体" w:cs="Times New Roman"/>
                      <w:b w:val="0"/>
                      <w:bCs w:val="0"/>
                      <w:color w:val="auto"/>
                      <w:sz w:val="21"/>
                      <w:szCs w:val="21"/>
                      <w:u w:val="none"/>
                      <w:lang w:val="en-US" w:eastAsia="zh-CN"/>
                    </w:rPr>
                    <w:t>8</w:t>
                  </w:r>
                  <w:r>
                    <w:rPr>
                      <w:rFonts w:hint="eastAsia" w:ascii="Times New Roman" w:hAnsi="Times New Roman" w:cs="Times New Roman"/>
                      <w:b w:val="0"/>
                      <w:bCs w:val="0"/>
                      <w:color w:val="auto"/>
                      <w:sz w:val="21"/>
                      <w:szCs w:val="21"/>
                      <w:u w:val="none"/>
                      <w:lang w:val="en-US" w:eastAsia="zh-CN"/>
                    </w:rPr>
                    <w:t>，新增</w:t>
                  </w:r>
                  <w:r>
                    <w:rPr>
                      <w:rFonts w:hint="eastAsia" w:ascii="Times New Roman" w:hAnsi="Times New Roman" w:eastAsia="宋体" w:cs="Times New Roman"/>
                      <w:b w:val="0"/>
                      <w:bCs w:val="0"/>
                      <w:color w:val="auto"/>
                      <w:sz w:val="21"/>
                      <w:szCs w:val="21"/>
                      <w:u w:val="none"/>
                      <w:lang w:val="en-US" w:eastAsia="zh-CN"/>
                    </w:rPr>
                    <w:t>2）</w:t>
                  </w:r>
                </w:p>
              </w:tc>
            </w:tr>
            <w:tr w14:paraId="1F9D5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5" w:type="pct"/>
                  <w:noWrap w:val="0"/>
                  <w:vAlign w:val="center"/>
                </w:tcPr>
                <w:p w14:paraId="070D39B0">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3</w:t>
                  </w:r>
                </w:p>
              </w:tc>
              <w:tc>
                <w:tcPr>
                  <w:tcW w:w="1259" w:type="pct"/>
                  <w:gridSpan w:val="2"/>
                  <w:noWrap w:val="0"/>
                  <w:vAlign w:val="center"/>
                </w:tcPr>
                <w:p w14:paraId="03B00C1B">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涂布机（内含烘箱）</w:t>
                  </w:r>
                </w:p>
              </w:tc>
              <w:tc>
                <w:tcPr>
                  <w:tcW w:w="910" w:type="pct"/>
                  <w:noWrap w:val="0"/>
                  <w:vAlign w:val="center"/>
                </w:tcPr>
                <w:p w14:paraId="01139BE5">
                  <w:pPr>
                    <w:adjustRightInd w:val="0"/>
                    <w:snapToGrid w:val="0"/>
                    <w:spacing w:line="240" w:lineRule="atLeast"/>
                    <w:ind w:firstLine="0" w:firstLineChars="0"/>
                    <w:jc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750</w:t>
                  </w:r>
                </w:p>
              </w:tc>
              <w:tc>
                <w:tcPr>
                  <w:tcW w:w="1241" w:type="pct"/>
                  <w:noWrap w:val="0"/>
                  <w:vAlign w:val="center"/>
                </w:tcPr>
                <w:p w14:paraId="22ED3D0B">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lang w:eastAsia="zh-CN"/>
                    </w:rPr>
                  </w:pPr>
                  <w:r>
                    <w:rPr>
                      <w:rFonts w:hint="eastAsia" w:ascii="Times New Roman" w:hAnsi="Times New Roman" w:eastAsia="宋体" w:cs="Times New Roman"/>
                      <w:b w:val="0"/>
                      <w:bCs w:val="0"/>
                      <w:color w:val="auto"/>
                      <w:sz w:val="21"/>
                      <w:szCs w:val="21"/>
                      <w:u w:val="none"/>
                    </w:rPr>
                    <w:t>涂布</w:t>
                  </w:r>
                </w:p>
              </w:tc>
              <w:tc>
                <w:tcPr>
                  <w:tcW w:w="1241" w:type="pct"/>
                  <w:noWrap w:val="0"/>
                  <w:vAlign w:val="center"/>
                </w:tcPr>
                <w:p w14:paraId="3E38DF6F">
                  <w:pPr>
                    <w:adjustRightInd w:val="0"/>
                    <w:snapToGrid w:val="0"/>
                    <w:spacing w:line="240" w:lineRule="atLeast"/>
                    <w:ind w:firstLine="0" w:firstLineChars="0"/>
                    <w:jc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6</w:t>
                  </w:r>
                  <w:r>
                    <w:rPr>
                      <w:rFonts w:hint="eastAsia" w:ascii="Times New Roman" w:hAnsi="Times New Roman" w:cs="Times New Roman"/>
                      <w:b w:val="0"/>
                      <w:bCs w:val="0"/>
                      <w:color w:val="auto"/>
                      <w:sz w:val="21"/>
                      <w:szCs w:val="21"/>
                      <w:u w:val="none"/>
                      <w:lang w:val="en-US" w:eastAsia="zh-CN"/>
                    </w:rPr>
                    <w:t>台</w:t>
                  </w:r>
                  <w:r>
                    <w:rPr>
                      <w:rFonts w:hint="eastAsia" w:ascii="Times New Roman" w:hAnsi="Times New Roman" w:eastAsia="宋体" w:cs="Times New Roman"/>
                      <w:b w:val="0"/>
                      <w:bCs w:val="0"/>
                      <w:color w:val="auto"/>
                      <w:sz w:val="21"/>
                      <w:szCs w:val="21"/>
                      <w:u w:val="none"/>
                      <w:lang w:val="en-US" w:eastAsia="zh-CN"/>
                    </w:rPr>
                    <w:t>（现</w:t>
                  </w:r>
                  <w:r>
                    <w:rPr>
                      <w:rFonts w:hint="eastAsia" w:ascii="Times New Roman" w:hAnsi="Times New Roman" w:cs="Times New Roman"/>
                      <w:b w:val="0"/>
                      <w:bCs w:val="0"/>
                      <w:color w:val="auto"/>
                      <w:sz w:val="21"/>
                      <w:szCs w:val="21"/>
                      <w:u w:val="none"/>
                      <w:lang w:val="en-US" w:eastAsia="zh-CN"/>
                    </w:rPr>
                    <w:t>有</w:t>
                  </w:r>
                  <w:r>
                    <w:rPr>
                      <w:rFonts w:hint="eastAsia" w:ascii="Times New Roman" w:hAnsi="Times New Roman" w:eastAsia="宋体" w:cs="Times New Roman"/>
                      <w:b w:val="0"/>
                      <w:bCs w:val="0"/>
                      <w:color w:val="auto"/>
                      <w:sz w:val="21"/>
                      <w:szCs w:val="21"/>
                      <w:u w:val="none"/>
                      <w:lang w:val="en-US" w:eastAsia="zh-CN"/>
                    </w:rPr>
                    <w:t>3</w:t>
                  </w:r>
                  <w:r>
                    <w:rPr>
                      <w:rFonts w:hint="eastAsia" w:ascii="Times New Roman" w:hAnsi="Times New Roman" w:cs="Times New Roman"/>
                      <w:b w:val="0"/>
                      <w:bCs w:val="0"/>
                      <w:color w:val="auto"/>
                      <w:sz w:val="21"/>
                      <w:szCs w:val="21"/>
                      <w:u w:val="none"/>
                      <w:lang w:val="en-US" w:eastAsia="zh-CN"/>
                    </w:rPr>
                    <w:t>，新增</w:t>
                  </w:r>
                  <w:r>
                    <w:rPr>
                      <w:rFonts w:hint="eastAsia" w:ascii="Times New Roman" w:hAnsi="Times New Roman" w:eastAsia="宋体" w:cs="Times New Roman"/>
                      <w:b w:val="0"/>
                      <w:bCs w:val="0"/>
                      <w:color w:val="auto"/>
                      <w:sz w:val="21"/>
                      <w:szCs w:val="21"/>
                      <w:u w:val="none"/>
                      <w:lang w:val="en-US" w:eastAsia="zh-CN"/>
                    </w:rPr>
                    <w:t>3）</w:t>
                  </w:r>
                </w:p>
              </w:tc>
            </w:tr>
            <w:tr w14:paraId="03947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5" w:type="pct"/>
                  <w:noWrap w:val="0"/>
                  <w:vAlign w:val="center"/>
                </w:tcPr>
                <w:p w14:paraId="10D93CF8">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4</w:t>
                  </w:r>
                </w:p>
              </w:tc>
              <w:tc>
                <w:tcPr>
                  <w:tcW w:w="1259" w:type="pct"/>
                  <w:gridSpan w:val="2"/>
                  <w:noWrap w:val="0"/>
                  <w:vAlign w:val="center"/>
                </w:tcPr>
                <w:p w14:paraId="79F82AFE">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对辊</w:t>
                  </w:r>
                  <w:r>
                    <w:rPr>
                      <w:rFonts w:hint="eastAsia" w:ascii="Times New Roman" w:hAnsi="Times New Roman" w:eastAsia="宋体" w:cs="Times New Roman"/>
                      <w:b w:val="0"/>
                      <w:bCs w:val="0"/>
                      <w:color w:val="auto"/>
                      <w:sz w:val="21"/>
                      <w:szCs w:val="21"/>
                      <w:u w:val="none"/>
                      <w:lang w:eastAsia="zh-CN"/>
                    </w:rPr>
                    <w:t>、</w:t>
                  </w:r>
                  <w:r>
                    <w:rPr>
                      <w:rFonts w:hint="eastAsia" w:ascii="Times New Roman" w:hAnsi="Times New Roman" w:eastAsia="宋体" w:cs="Times New Roman"/>
                      <w:b w:val="0"/>
                      <w:bCs w:val="0"/>
                      <w:color w:val="auto"/>
                      <w:sz w:val="21"/>
                      <w:szCs w:val="21"/>
                      <w:u w:val="none"/>
                    </w:rPr>
                    <w:t>分条机</w:t>
                  </w:r>
                </w:p>
              </w:tc>
              <w:tc>
                <w:tcPr>
                  <w:tcW w:w="910" w:type="pct"/>
                  <w:noWrap w:val="0"/>
                  <w:vAlign w:val="center"/>
                </w:tcPr>
                <w:p w14:paraId="0EC87A43">
                  <w:pPr>
                    <w:adjustRightInd w:val="0"/>
                    <w:snapToGrid w:val="0"/>
                    <w:spacing w:line="240" w:lineRule="atLeast"/>
                    <w:ind w:firstLine="0" w:firstLineChars="0"/>
                    <w:jc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600</w:t>
                  </w:r>
                </w:p>
              </w:tc>
              <w:tc>
                <w:tcPr>
                  <w:tcW w:w="1241" w:type="pct"/>
                  <w:noWrap w:val="0"/>
                  <w:vAlign w:val="center"/>
                </w:tcPr>
                <w:p w14:paraId="621E474D">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辊压和分条</w:t>
                  </w:r>
                </w:p>
              </w:tc>
              <w:tc>
                <w:tcPr>
                  <w:tcW w:w="1241" w:type="pct"/>
                  <w:noWrap w:val="0"/>
                  <w:vAlign w:val="center"/>
                </w:tcPr>
                <w:p w14:paraId="5F946358">
                  <w:pPr>
                    <w:adjustRightInd w:val="0"/>
                    <w:snapToGrid w:val="0"/>
                    <w:spacing w:line="240" w:lineRule="atLeast"/>
                    <w:ind w:firstLine="0" w:firstLineChars="0"/>
                    <w:jc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8</w:t>
                  </w:r>
                  <w:r>
                    <w:rPr>
                      <w:rFonts w:hint="eastAsia" w:ascii="Times New Roman" w:hAnsi="Times New Roman" w:cs="Times New Roman"/>
                      <w:b w:val="0"/>
                      <w:bCs w:val="0"/>
                      <w:color w:val="auto"/>
                      <w:sz w:val="21"/>
                      <w:szCs w:val="21"/>
                      <w:u w:val="none"/>
                      <w:lang w:val="en-US" w:eastAsia="zh-CN"/>
                    </w:rPr>
                    <w:t>台</w:t>
                  </w:r>
                  <w:r>
                    <w:rPr>
                      <w:rFonts w:hint="eastAsia" w:ascii="Times New Roman" w:hAnsi="Times New Roman" w:eastAsia="宋体" w:cs="Times New Roman"/>
                      <w:b w:val="0"/>
                      <w:bCs w:val="0"/>
                      <w:color w:val="auto"/>
                      <w:sz w:val="21"/>
                      <w:szCs w:val="21"/>
                      <w:u w:val="none"/>
                      <w:lang w:val="en-US" w:eastAsia="zh-CN"/>
                    </w:rPr>
                    <w:t>（现</w:t>
                  </w:r>
                  <w:r>
                    <w:rPr>
                      <w:rFonts w:hint="eastAsia" w:ascii="Times New Roman" w:hAnsi="Times New Roman" w:cs="Times New Roman"/>
                      <w:b w:val="0"/>
                      <w:bCs w:val="0"/>
                      <w:color w:val="auto"/>
                      <w:sz w:val="21"/>
                      <w:szCs w:val="21"/>
                      <w:u w:val="none"/>
                      <w:lang w:val="en-US" w:eastAsia="zh-CN"/>
                    </w:rPr>
                    <w:t>有</w:t>
                  </w:r>
                  <w:r>
                    <w:rPr>
                      <w:rFonts w:hint="eastAsia" w:ascii="Times New Roman" w:hAnsi="Times New Roman" w:eastAsia="宋体" w:cs="Times New Roman"/>
                      <w:b w:val="0"/>
                      <w:bCs w:val="0"/>
                      <w:color w:val="auto"/>
                      <w:sz w:val="21"/>
                      <w:szCs w:val="21"/>
                      <w:u w:val="none"/>
                      <w:lang w:val="en-US" w:eastAsia="zh-CN"/>
                    </w:rPr>
                    <w:t>5</w:t>
                  </w:r>
                  <w:r>
                    <w:rPr>
                      <w:rFonts w:hint="eastAsia" w:ascii="Times New Roman" w:hAnsi="Times New Roman" w:cs="Times New Roman"/>
                      <w:b w:val="0"/>
                      <w:bCs w:val="0"/>
                      <w:color w:val="auto"/>
                      <w:sz w:val="21"/>
                      <w:szCs w:val="21"/>
                      <w:u w:val="none"/>
                      <w:lang w:val="en-US" w:eastAsia="zh-CN"/>
                    </w:rPr>
                    <w:t>，新增</w:t>
                  </w:r>
                  <w:r>
                    <w:rPr>
                      <w:rFonts w:hint="eastAsia" w:ascii="Times New Roman" w:hAnsi="Times New Roman" w:eastAsia="宋体" w:cs="Times New Roman"/>
                      <w:b w:val="0"/>
                      <w:bCs w:val="0"/>
                      <w:color w:val="auto"/>
                      <w:sz w:val="21"/>
                      <w:szCs w:val="21"/>
                      <w:u w:val="none"/>
                      <w:lang w:val="en-US" w:eastAsia="zh-CN"/>
                    </w:rPr>
                    <w:t>3）</w:t>
                  </w:r>
                </w:p>
              </w:tc>
            </w:tr>
            <w:tr w14:paraId="6A368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5" w:type="pct"/>
                  <w:noWrap w:val="0"/>
                  <w:vAlign w:val="center"/>
                </w:tcPr>
                <w:p w14:paraId="202B1352">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5</w:t>
                  </w:r>
                </w:p>
              </w:tc>
              <w:tc>
                <w:tcPr>
                  <w:tcW w:w="1259" w:type="pct"/>
                  <w:gridSpan w:val="2"/>
                  <w:noWrap w:val="0"/>
                  <w:vAlign w:val="center"/>
                </w:tcPr>
                <w:p w14:paraId="6BF314CE">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制片机</w:t>
                  </w:r>
                </w:p>
              </w:tc>
              <w:tc>
                <w:tcPr>
                  <w:tcW w:w="910" w:type="pct"/>
                  <w:noWrap w:val="0"/>
                  <w:vAlign w:val="center"/>
                </w:tcPr>
                <w:p w14:paraId="2C0A8FC9">
                  <w:pPr>
                    <w:adjustRightInd w:val="0"/>
                    <w:snapToGrid w:val="0"/>
                    <w:spacing w:line="240" w:lineRule="atLeast"/>
                    <w:ind w:firstLine="0" w:firstLineChars="0"/>
                    <w:jc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rPr>
                    <w:t>/</w:t>
                  </w:r>
                </w:p>
              </w:tc>
              <w:tc>
                <w:tcPr>
                  <w:tcW w:w="1241" w:type="pct"/>
                  <w:noWrap w:val="0"/>
                  <w:vAlign w:val="center"/>
                </w:tcPr>
                <w:p w14:paraId="51C46200">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焊接极耳</w:t>
                  </w:r>
                </w:p>
              </w:tc>
              <w:tc>
                <w:tcPr>
                  <w:tcW w:w="1241" w:type="pct"/>
                  <w:noWrap w:val="0"/>
                  <w:vAlign w:val="center"/>
                </w:tcPr>
                <w:p w14:paraId="781CEB1F">
                  <w:pPr>
                    <w:adjustRightInd w:val="0"/>
                    <w:snapToGrid w:val="0"/>
                    <w:spacing w:line="240" w:lineRule="atLeast"/>
                    <w:ind w:firstLine="0" w:firstLineChars="0"/>
                    <w:jc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19</w:t>
                  </w:r>
                  <w:r>
                    <w:rPr>
                      <w:rFonts w:hint="eastAsia" w:ascii="Times New Roman" w:hAnsi="Times New Roman" w:cs="Times New Roman"/>
                      <w:b w:val="0"/>
                      <w:bCs w:val="0"/>
                      <w:color w:val="auto"/>
                      <w:sz w:val="21"/>
                      <w:szCs w:val="21"/>
                      <w:u w:val="none"/>
                      <w:lang w:val="en-US" w:eastAsia="zh-CN"/>
                    </w:rPr>
                    <w:t>台</w:t>
                  </w:r>
                  <w:r>
                    <w:rPr>
                      <w:rFonts w:hint="eastAsia" w:ascii="Times New Roman" w:hAnsi="Times New Roman" w:eastAsia="宋体" w:cs="Times New Roman"/>
                      <w:b w:val="0"/>
                      <w:bCs w:val="0"/>
                      <w:color w:val="auto"/>
                      <w:sz w:val="21"/>
                      <w:szCs w:val="21"/>
                      <w:u w:val="none"/>
                      <w:lang w:val="en-US" w:eastAsia="zh-CN"/>
                    </w:rPr>
                    <w:t>（现</w:t>
                  </w:r>
                  <w:r>
                    <w:rPr>
                      <w:rFonts w:hint="eastAsia" w:ascii="Times New Roman" w:hAnsi="Times New Roman" w:cs="Times New Roman"/>
                      <w:b w:val="0"/>
                      <w:bCs w:val="0"/>
                      <w:color w:val="auto"/>
                      <w:sz w:val="21"/>
                      <w:szCs w:val="21"/>
                      <w:u w:val="none"/>
                      <w:lang w:val="en-US" w:eastAsia="zh-CN"/>
                    </w:rPr>
                    <w:t>有</w:t>
                  </w:r>
                  <w:r>
                    <w:rPr>
                      <w:rFonts w:hint="eastAsia" w:ascii="Times New Roman" w:hAnsi="Times New Roman" w:eastAsia="宋体" w:cs="Times New Roman"/>
                      <w:b w:val="0"/>
                      <w:bCs w:val="0"/>
                      <w:color w:val="auto"/>
                      <w:sz w:val="21"/>
                      <w:szCs w:val="21"/>
                      <w:u w:val="none"/>
                      <w:lang w:val="en-US" w:eastAsia="zh-CN"/>
                    </w:rPr>
                    <w:t>11</w:t>
                  </w:r>
                  <w:r>
                    <w:rPr>
                      <w:rFonts w:hint="eastAsia" w:ascii="Times New Roman" w:hAnsi="Times New Roman" w:cs="Times New Roman"/>
                      <w:b w:val="0"/>
                      <w:bCs w:val="0"/>
                      <w:color w:val="auto"/>
                      <w:sz w:val="21"/>
                      <w:szCs w:val="21"/>
                      <w:u w:val="none"/>
                      <w:lang w:val="en-US" w:eastAsia="zh-CN"/>
                    </w:rPr>
                    <w:t>，新增</w:t>
                  </w:r>
                  <w:r>
                    <w:rPr>
                      <w:rFonts w:hint="eastAsia" w:ascii="Times New Roman" w:hAnsi="Times New Roman" w:eastAsia="宋体" w:cs="Times New Roman"/>
                      <w:b w:val="0"/>
                      <w:bCs w:val="0"/>
                      <w:color w:val="auto"/>
                      <w:sz w:val="21"/>
                      <w:szCs w:val="21"/>
                      <w:u w:val="none"/>
                      <w:lang w:val="en-US" w:eastAsia="zh-CN"/>
                    </w:rPr>
                    <w:t>8）</w:t>
                  </w:r>
                </w:p>
              </w:tc>
            </w:tr>
            <w:tr w14:paraId="7A32A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5" w:type="pct"/>
                  <w:noWrap w:val="0"/>
                  <w:vAlign w:val="center"/>
                </w:tcPr>
                <w:p w14:paraId="59C63C52">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6</w:t>
                  </w:r>
                </w:p>
              </w:tc>
              <w:tc>
                <w:tcPr>
                  <w:tcW w:w="1259" w:type="pct"/>
                  <w:gridSpan w:val="2"/>
                  <w:noWrap w:val="0"/>
                  <w:vAlign w:val="center"/>
                </w:tcPr>
                <w:p w14:paraId="1AD907D3">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卷绕机</w:t>
                  </w:r>
                </w:p>
              </w:tc>
              <w:tc>
                <w:tcPr>
                  <w:tcW w:w="910" w:type="pct"/>
                  <w:noWrap w:val="0"/>
                  <w:vAlign w:val="center"/>
                </w:tcPr>
                <w:p w14:paraId="5125793A">
                  <w:pPr>
                    <w:adjustRightInd w:val="0"/>
                    <w:snapToGrid w:val="0"/>
                    <w:spacing w:line="240" w:lineRule="atLeast"/>
                    <w:ind w:firstLine="0" w:firstLineChars="0"/>
                    <w:jc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rPr>
                    <w:t>/</w:t>
                  </w:r>
                </w:p>
              </w:tc>
              <w:tc>
                <w:tcPr>
                  <w:tcW w:w="1241" w:type="pct"/>
                  <w:noWrap w:val="0"/>
                  <w:vAlign w:val="center"/>
                </w:tcPr>
                <w:p w14:paraId="38C7F860">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卷绕</w:t>
                  </w:r>
                </w:p>
              </w:tc>
              <w:tc>
                <w:tcPr>
                  <w:tcW w:w="1241" w:type="pct"/>
                  <w:noWrap w:val="0"/>
                  <w:vAlign w:val="center"/>
                </w:tcPr>
                <w:p w14:paraId="0A617F09">
                  <w:pPr>
                    <w:adjustRightInd w:val="0"/>
                    <w:snapToGrid w:val="0"/>
                    <w:spacing w:line="240" w:lineRule="atLeast"/>
                    <w:ind w:firstLine="0" w:firstLineChars="0"/>
                    <w:jc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36</w:t>
                  </w:r>
                  <w:r>
                    <w:rPr>
                      <w:rFonts w:hint="eastAsia" w:ascii="Times New Roman" w:hAnsi="Times New Roman" w:cs="Times New Roman"/>
                      <w:b w:val="0"/>
                      <w:bCs w:val="0"/>
                      <w:color w:val="auto"/>
                      <w:sz w:val="21"/>
                      <w:szCs w:val="21"/>
                      <w:u w:val="none"/>
                      <w:lang w:val="en-US" w:eastAsia="zh-CN"/>
                    </w:rPr>
                    <w:t>台</w:t>
                  </w:r>
                  <w:r>
                    <w:rPr>
                      <w:rFonts w:hint="eastAsia" w:ascii="Times New Roman" w:hAnsi="Times New Roman" w:eastAsia="宋体" w:cs="Times New Roman"/>
                      <w:b w:val="0"/>
                      <w:bCs w:val="0"/>
                      <w:color w:val="auto"/>
                      <w:sz w:val="21"/>
                      <w:szCs w:val="21"/>
                      <w:u w:val="none"/>
                      <w:lang w:val="en-US" w:eastAsia="zh-CN"/>
                    </w:rPr>
                    <w:t>（现</w:t>
                  </w:r>
                  <w:r>
                    <w:rPr>
                      <w:rFonts w:hint="eastAsia" w:ascii="Times New Roman" w:hAnsi="Times New Roman" w:cs="Times New Roman"/>
                      <w:b w:val="0"/>
                      <w:bCs w:val="0"/>
                      <w:color w:val="auto"/>
                      <w:sz w:val="21"/>
                      <w:szCs w:val="21"/>
                      <w:u w:val="none"/>
                      <w:lang w:val="en-US" w:eastAsia="zh-CN"/>
                    </w:rPr>
                    <w:t>有</w:t>
                  </w:r>
                  <w:r>
                    <w:rPr>
                      <w:rFonts w:hint="eastAsia" w:ascii="Times New Roman" w:hAnsi="Times New Roman" w:eastAsia="宋体" w:cs="Times New Roman"/>
                      <w:b w:val="0"/>
                      <w:bCs w:val="0"/>
                      <w:color w:val="auto"/>
                      <w:sz w:val="21"/>
                      <w:szCs w:val="21"/>
                      <w:u w:val="none"/>
                      <w:lang w:val="en-US" w:eastAsia="zh-CN"/>
                    </w:rPr>
                    <w:t>23</w:t>
                  </w:r>
                  <w:r>
                    <w:rPr>
                      <w:rFonts w:hint="eastAsia" w:ascii="Times New Roman" w:hAnsi="Times New Roman" w:cs="Times New Roman"/>
                      <w:b w:val="0"/>
                      <w:bCs w:val="0"/>
                      <w:color w:val="auto"/>
                      <w:sz w:val="21"/>
                      <w:szCs w:val="21"/>
                      <w:u w:val="none"/>
                      <w:lang w:val="en-US" w:eastAsia="zh-CN"/>
                    </w:rPr>
                    <w:t>，新增</w:t>
                  </w:r>
                  <w:r>
                    <w:rPr>
                      <w:rFonts w:hint="eastAsia" w:ascii="Times New Roman" w:hAnsi="Times New Roman" w:eastAsia="宋体" w:cs="Times New Roman"/>
                      <w:b w:val="0"/>
                      <w:bCs w:val="0"/>
                      <w:color w:val="auto"/>
                      <w:sz w:val="21"/>
                      <w:szCs w:val="21"/>
                      <w:u w:val="none"/>
                      <w:lang w:val="en-US" w:eastAsia="zh-CN"/>
                    </w:rPr>
                    <w:t>15）</w:t>
                  </w:r>
                </w:p>
              </w:tc>
            </w:tr>
            <w:tr w14:paraId="2D332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5" w:type="pct"/>
                  <w:noWrap w:val="0"/>
                  <w:vAlign w:val="center"/>
                </w:tcPr>
                <w:p w14:paraId="242688E6">
                  <w:pPr>
                    <w:adjustRightInd w:val="0"/>
                    <w:snapToGrid w:val="0"/>
                    <w:spacing w:line="240" w:lineRule="atLeast"/>
                    <w:ind w:firstLine="0" w:firstLineChars="0"/>
                    <w:jc w:val="center"/>
                    <w:rPr>
                      <w:rFonts w:hint="eastAsia" w:ascii="Times New Roman" w:hAnsi="Times New Roman" w:eastAsia="宋体" w:cs="Times New Roman"/>
                      <w:b w:val="0"/>
                      <w:bCs w:val="0"/>
                      <w:color w:val="auto"/>
                      <w:kern w:val="2"/>
                      <w:sz w:val="21"/>
                      <w:szCs w:val="21"/>
                      <w:u w:val="none"/>
                      <w:lang w:val="en-US" w:eastAsia="zh-CN" w:bidi="ar-SA"/>
                    </w:rPr>
                  </w:pPr>
                  <w:r>
                    <w:rPr>
                      <w:rFonts w:hint="eastAsia" w:ascii="Times New Roman" w:hAnsi="Times New Roman" w:eastAsia="宋体" w:cs="Times New Roman"/>
                      <w:b w:val="0"/>
                      <w:bCs w:val="0"/>
                      <w:color w:val="auto"/>
                      <w:sz w:val="21"/>
                      <w:szCs w:val="21"/>
                      <w:u w:val="none"/>
                    </w:rPr>
                    <w:t>7</w:t>
                  </w:r>
                </w:p>
              </w:tc>
              <w:tc>
                <w:tcPr>
                  <w:tcW w:w="1259" w:type="pct"/>
                  <w:gridSpan w:val="2"/>
                  <w:noWrap w:val="0"/>
                  <w:vAlign w:val="center"/>
                </w:tcPr>
                <w:p w14:paraId="0C188404">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lang w:eastAsia="zh-CN"/>
                    </w:rPr>
                  </w:pPr>
                  <w:r>
                    <w:rPr>
                      <w:rFonts w:hint="eastAsia" w:ascii="Times New Roman" w:hAnsi="Times New Roman" w:eastAsia="宋体" w:cs="Times New Roman"/>
                      <w:b w:val="0"/>
                      <w:bCs w:val="0"/>
                      <w:color w:val="auto"/>
                      <w:sz w:val="21"/>
                      <w:szCs w:val="21"/>
                      <w:u w:val="none"/>
                      <w:lang w:eastAsia="zh-CN"/>
                    </w:rPr>
                    <w:t>激光焊机</w:t>
                  </w:r>
                </w:p>
              </w:tc>
              <w:tc>
                <w:tcPr>
                  <w:tcW w:w="910" w:type="pct"/>
                  <w:noWrap w:val="0"/>
                  <w:vAlign w:val="center"/>
                </w:tcPr>
                <w:p w14:paraId="501646DF">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w:t>
                  </w:r>
                </w:p>
              </w:tc>
              <w:tc>
                <w:tcPr>
                  <w:tcW w:w="1241" w:type="pct"/>
                  <w:noWrap w:val="0"/>
                  <w:vAlign w:val="center"/>
                </w:tcPr>
                <w:p w14:paraId="75A942B1">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lang w:eastAsia="zh-CN"/>
                    </w:rPr>
                  </w:pPr>
                  <w:r>
                    <w:rPr>
                      <w:rFonts w:hint="eastAsia" w:ascii="Times New Roman" w:hAnsi="Times New Roman" w:eastAsia="宋体" w:cs="Times New Roman"/>
                      <w:b w:val="0"/>
                      <w:bCs w:val="0"/>
                      <w:color w:val="auto"/>
                      <w:sz w:val="21"/>
                      <w:szCs w:val="21"/>
                      <w:u w:val="none"/>
                      <w:lang w:eastAsia="zh-CN"/>
                    </w:rPr>
                    <w:t>焊接盖帽</w:t>
                  </w:r>
                </w:p>
              </w:tc>
              <w:tc>
                <w:tcPr>
                  <w:tcW w:w="1241" w:type="pct"/>
                  <w:noWrap w:val="0"/>
                  <w:vAlign w:val="center"/>
                </w:tcPr>
                <w:p w14:paraId="1368BAB0">
                  <w:pPr>
                    <w:adjustRightInd w:val="0"/>
                    <w:snapToGrid w:val="0"/>
                    <w:spacing w:line="240" w:lineRule="atLeast"/>
                    <w:ind w:firstLine="0" w:firstLineChars="0"/>
                    <w:jc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34</w:t>
                  </w:r>
                  <w:r>
                    <w:rPr>
                      <w:rFonts w:hint="eastAsia" w:ascii="Times New Roman" w:hAnsi="Times New Roman" w:cs="Times New Roman"/>
                      <w:b w:val="0"/>
                      <w:bCs w:val="0"/>
                      <w:color w:val="auto"/>
                      <w:sz w:val="21"/>
                      <w:szCs w:val="21"/>
                      <w:u w:val="none"/>
                      <w:lang w:val="en-US" w:eastAsia="zh-CN"/>
                    </w:rPr>
                    <w:t>台</w:t>
                  </w:r>
                  <w:r>
                    <w:rPr>
                      <w:rFonts w:hint="eastAsia" w:ascii="Times New Roman" w:hAnsi="Times New Roman" w:eastAsia="宋体" w:cs="Times New Roman"/>
                      <w:b w:val="0"/>
                      <w:bCs w:val="0"/>
                      <w:color w:val="auto"/>
                      <w:sz w:val="21"/>
                      <w:szCs w:val="21"/>
                      <w:u w:val="none"/>
                      <w:lang w:val="en-US" w:eastAsia="zh-CN"/>
                    </w:rPr>
                    <w:t>（现</w:t>
                  </w:r>
                  <w:r>
                    <w:rPr>
                      <w:rFonts w:hint="eastAsia" w:ascii="Times New Roman" w:hAnsi="Times New Roman" w:cs="Times New Roman"/>
                      <w:b w:val="0"/>
                      <w:bCs w:val="0"/>
                      <w:color w:val="auto"/>
                      <w:sz w:val="21"/>
                      <w:szCs w:val="21"/>
                      <w:u w:val="none"/>
                      <w:lang w:val="en-US" w:eastAsia="zh-CN"/>
                    </w:rPr>
                    <w:t>有</w:t>
                  </w:r>
                  <w:r>
                    <w:rPr>
                      <w:rFonts w:hint="eastAsia" w:ascii="Times New Roman" w:hAnsi="Times New Roman" w:eastAsia="宋体" w:cs="Times New Roman"/>
                      <w:b w:val="0"/>
                      <w:bCs w:val="0"/>
                      <w:color w:val="auto"/>
                      <w:sz w:val="21"/>
                      <w:szCs w:val="21"/>
                      <w:u w:val="none"/>
                      <w:lang w:val="en-US" w:eastAsia="zh-CN"/>
                    </w:rPr>
                    <w:t>18</w:t>
                  </w:r>
                  <w:r>
                    <w:rPr>
                      <w:rFonts w:hint="eastAsia" w:ascii="Times New Roman" w:hAnsi="Times New Roman" w:cs="Times New Roman"/>
                      <w:b w:val="0"/>
                      <w:bCs w:val="0"/>
                      <w:color w:val="auto"/>
                      <w:sz w:val="21"/>
                      <w:szCs w:val="21"/>
                      <w:u w:val="none"/>
                      <w:lang w:val="en-US" w:eastAsia="zh-CN"/>
                    </w:rPr>
                    <w:t>，新增</w:t>
                  </w:r>
                  <w:r>
                    <w:rPr>
                      <w:rFonts w:hint="eastAsia" w:ascii="Times New Roman" w:hAnsi="Times New Roman" w:eastAsia="宋体" w:cs="Times New Roman"/>
                      <w:b w:val="0"/>
                      <w:bCs w:val="0"/>
                      <w:color w:val="auto"/>
                      <w:sz w:val="21"/>
                      <w:szCs w:val="21"/>
                      <w:u w:val="none"/>
                      <w:lang w:val="en-US" w:eastAsia="zh-CN"/>
                    </w:rPr>
                    <w:t>16）</w:t>
                  </w:r>
                </w:p>
              </w:tc>
            </w:tr>
            <w:tr w14:paraId="29F7A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5" w:type="pct"/>
                  <w:noWrap w:val="0"/>
                  <w:vAlign w:val="center"/>
                </w:tcPr>
                <w:p w14:paraId="5D3F45B2">
                  <w:pPr>
                    <w:adjustRightInd w:val="0"/>
                    <w:snapToGrid w:val="0"/>
                    <w:spacing w:line="240" w:lineRule="atLeast"/>
                    <w:ind w:firstLine="0" w:firstLineChars="0"/>
                    <w:jc w:val="center"/>
                    <w:rPr>
                      <w:rFonts w:hint="eastAsia" w:ascii="Times New Roman" w:hAnsi="Times New Roman" w:eastAsia="宋体" w:cs="Times New Roman"/>
                      <w:b w:val="0"/>
                      <w:bCs w:val="0"/>
                      <w:color w:val="auto"/>
                      <w:kern w:val="2"/>
                      <w:sz w:val="21"/>
                      <w:szCs w:val="21"/>
                      <w:u w:val="none"/>
                      <w:lang w:val="en-US" w:eastAsia="zh-CN" w:bidi="ar-SA"/>
                    </w:rPr>
                  </w:pPr>
                  <w:r>
                    <w:rPr>
                      <w:rFonts w:hint="eastAsia" w:ascii="Times New Roman" w:hAnsi="Times New Roman" w:eastAsia="宋体" w:cs="Times New Roman"/>
                      <w:b w:val="0"/>
                      <w:bCs w:val="0"/>
                      <w:color w:val="auto"/>
                      <w:sz w:val="21"/>
                      <w:szCs w:val="21"/>
                      <w:u w:val="none"/>
                    </w:rPr>
                    <w:t>8</w:t>
                  </w:r>
                </w:p>
              </w:tc>
              <w:tc>
                <w:tcPr>
                  <w:tcW w:w="1259" w:type="pct"/>
                  <w:gridSpan w:val="2"/>
                  <w:noWrap w:val="0"/>
                  <w:vAlign w:val="center"/>
                </w:tcPr>
                <w:p w14:paraId="2C4FDDD5">
                  <w:pPr>
                    <w:adjustRightInd w:val="0"/>
                    <w:snapToGrid w:val="0"/>
                    <w:spacing w:line="240" w:lineRule="atLeast"/>
                    <w:ind w:firstLine="0" w:firstLineChars="0"/>
                    <w:jc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rPr>
                    <w:t>装配一体机</w:t>
                  </w:r>
                  <w:r>
                    <w:rPr>
                      <w:rFonts w:hint="eastAsia" w:ascii="Times New Roman" w:hAnsi="Times New Roman" w:eastAsia="宋体" w:cs="Times New Roman"/>
                      <w:b w:val="0"/>
                      <w:bCs w:val="0"/>
                      <w:color w:val="auto"/>
                      <w:sz w:val="21"/>
                      <w:szCs w:val="21"/>
                      <w:u w:val="none"/>
                      <w:lang w:val="en-US" w:eastAsia="zh-CN"/>
                    </w:rPr>
                    <w:t>/压芯/顶侧封</w:t>
                  </w:r>
                </w:p>
              </w:tc>
              <w:tc>
                <w:tcPr>
                  <w:tcW w:w="910" w:type="pct"/>
                  <w:noWrap w:val="0"/>
                  <w:vAlign w:val="center"/>
                </w:tcPr>
                <w:p w14:paraId="335BF8BE">
                  <w:pPr>
                    <w:adjustRightInd w:val="0"/>
                    <w:snapToGrid w:val="0"/>
                    <w:spacing w:line="240" w:lineRule="atLeast"/>
                    <w:ind w:firstLine="0" w:firstLineChars="0"/>
                    <w:jc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rPr>
                    <w:t>/</w:t>
                  </w:r>
                </w:p>
              </w:tc>
              <w:tc>
                <w:tcPr>
                  <w:tcW w:w="1241" w:type="pct"/>
                  <w:noWrap w:val="0"/>
                  <w:vAlign w:val="center"/>
                </w:tcPr>
                <w:p w14:paraId="5A4287FD">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入壳、点底焊、焊接</w:t>
                  </w:r>
                </w:p>
              </w:tc>
              <w:tc>
                <w:tcPr>
                  <w:tcW w:w="1241" w:type="pct"/>
                  <w:noWrap w:val="0"/>
                  <w:vAlign w:val="center"/>
                </w:tcPr>
                <w:p w14:paraId="208D5601">
                  <w:pPr>
                    <w:adjustRightInd w:val="0"/>
                    <w:snapToGrid w:val="0"/>
                    <w:spacing w:line="240" w:lineRule="atLeast"/>
                    <w:ind w:firstLine="0" w:firstLineChars="0"/>
                    <w:jc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23</w:t>
                  </w:r>
                  <w:r>
                    <w:rPr>
                      <w:rFonts w:hint="eastAsia" w:ascii="Times New Roman" w:hAnsi="Times New Roman" w:cs="Times New Roman"/>
                      <w:b w:val="0"/>
                      <w:bCs w:val="0"/>
                      <w:color w:val="auto"/>
                      <w:sz w:val="21"/>
                      <w:szCs w:val="21"/>
                      <w:u w:val="none"/>
                      <w:lang w:val="en-US" w:eastAsia="zh-CN"/>
                    </w:rPr>
                    <w:t>台</w:t>
                  </w:r>
                  <w:r>
                    <w:rPr>
                      <w:rFonts w:hint="eastAsia" w:ascii="Times New Roman" w:hAnsi="Times New Roman" w:eastAsia="宋体" w:cs="Times New Roman"/>
                      <w:b w:val="0"/>
                      <w:bCs w:val="0"/>
                      <w:color w:val="auto"/>
                      <w:sz w:val="21"/>
                      <w:szCs w:val="21"/>
                      <w:u w:val="none"/>
                      <w:lang w:val="en-US" w:eastAsia="zh-CN"/>
                    </w:rPr>
                    <w:t>（现</w:t>
                  </w:r>
                  <w:r>
                    <w:rPr>
                      <w:rFonts w:hint="eastAsia" w:ascii="Times New Roman" w:hAnsi="Times New Roman" w:cs="Times New Roman"/>
                      <w:b w:val="0"/>
                      <w:bCs w:val="0"/>
                      <w:color w:val="auto"/>
                      <w:sz w:val="21"/>
                      <w:szCs w:val="21"/>
                      <w:u w:val="none"/>
                      <w:lang w:val="en-US" w:eastAsia="zh-CN"/>
                    </w:rPr>
                    <w:t>有</w:t>
                  </w:r>
                  <w:r>
                    <w:rPr>
                      <w:rFonts w:hint="eastAsia" w:ascii="Times New Roman" w:hAnsi="Times New Roman" w:eastAsia="宋体" w:cs="Times New Roman"/>
                      <w:b w:val="0"/>
                      <w:bCs w:val="0"/>
                      <w:color w:val="auto"/>
                      <w:sz w:val="21"/>
                      <w:szCs w:val="21"/>
                      <w:u w:val="none"/>
                      <w:lang w:val="en-US" w:eastAsia="zh-CN"/>
                    </w:rPr>
                    <w:t>13</w:t>
                  </w:r>
                  <w:r>
                    <w:rPr>
                      <w:rFonts w:hint="eastAsia" w:ascii="Times New Roman" w:hAnsi="Times New Roman" w:cs="Times New Roman"/>
                      <w:b w:val="0"/>
                      <w:bCs w:val="0"/>
                      <w:color w:val="auto"/>
                      <w:sz w:val="21"/>
                      <w:szCs w:val="21"/>
                      <w:u w:val="none"/>
                      <w:lang w:val="en-US" w:eastAsia="zh-CN"/>
                    </w:rPr>
                    <w:t>，新增</w:t>
                  </w:r>
                  <w:r>
                    <w:rPr>
                      <w:rFonts w:hint="eastAsia" w:ascii="Times New Roman" w:hAnsi="Times New Roman" w:eastAsia="宋体" w:cs="Times New Roman"/>
                      <w:b w:val="0"/>
                      <w:bCs w:val="0"/>
                      <w:color w:val="auto"/>
                      <w:sz w:val="21"/>
                      <w:szCs w:val="21"/>
                      <w:u w:val="none"/>
                      <w:lang w:val="en-US" w:eastAsia="zh-CN"/>
                    </w:rPr>
                    <w:t>10）</w:t>
                  </w:r>
                </w:p>
              </w:tc>
            </w:tr>
            <w:tr w14:paraId="14ECC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5" w:type="pct"/>
                  <w:noWrap w:val="0"/>
                  <w:vAlign w:val="center"/>
                </w:tcPr>
                <w:p w14:paraId="141834E3">
                  <w:pPr>
                    <w:adjustRightInd w:val="0"/>
                    <w:snapToGrid w:val="0"/>
                    <w:spacing w:line="240" w:lineRule="atLeast"/>
                    <w:ind w:firstLine="0" w:firstLineChars="0"/>
                    <w:jc w:val="center"/>
                    <w:rPr>
                      <w:rFonts w:hint="eastAsia" w:ascii="Times New Roman" w:hAnsi="Times New Roman" w:eastAsia="宋体" w:cs="Times New Roman"/>
                      <w:b w:val="0"/>
                      <w:bCs w:val="0"/>
                      <w:color w:val="auto"/>
                      <w:kern w:val="2"/>
                      <w:sz w:val="21"/>
                      <w:szCs w:val="21"/>
                      <w:u w:val="none"/>
                      <w:lang w:val="en-US" w:eastAsia="zh-CN" w:bidi="ar-SA"/>
                    </w:rPr>
                  </w:pPr>
                  <w:r>
                    <w:rPr>
                      <w:rFonts w:hint="eastAsia" w:ascii="Times New Roman" w:hAnsi="Times New Roman" w:eastAsia="宋体" w:cs="Times New Roman"/>
                      <w:b w:val="0"/>
                      <w:bCs w:val="0"/>
                      <w:color w:val="auto"/>
                      <w:sz w:val="21"/>
                      <w:szCs w:val="21"/>
                      <w:u w:val="none"/>
                    </w:rPr>
                    <w:t>9</w:t>
                  </w:r>
                </w:p>
              </w:tc>
              <w:tc>
                <w:tcPr>
                  <w:tcW w:w="1259" w:type="pct"/>
                  <w:gridSpan w:val="2"/>
                  <w:noWrap w:val="0"/>
                  <w:vAlign w:val="center"/>
                </w:tcPr>
                <w:p w14:paraId="2BFA02B7">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高真空烤箱</w:t>
                  </w:r>
                </w:p>
              </w:tc>
              <w:tc>
                <w:tcPr>
                  <w:tcW w:w="910" w:type="pct"/>
                  <w:noWrap w:val="0"/>
                  <w:vAlign w:val="center"/>
                </w:tcPr>
                <w:p w14:paraId="18FF6C59">
                  <w:pPr>
                    <w:adjustRightInd w:val="0"/>
                    <w:snapToGrid w:val="0"/>
                    <w:spacing w:line="240" w:lineRule="atLeast"/>
                    <w:ind w:firstLine="0" w:firstLineChars="0"/>
                    <w:jc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rPr>
                    <w:t>/</w:t>
                  </w:r>
                </w:p>
              </w:tc>
              <w:tc>
                <w:tcPr>
                  <w:tcW w:w="1241" w:type="pct"/>
                  <w:noWrap w:val="0"/>
                  <w:vAlign w:val="center"/>
                </w:tcPr>
                <w:p w14:paraId="46616E46">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电芯烘烤</w:t>
                  </w:r>
                </w:p>
              </w:tc>
              <w:tc>
                <w:tcPr>
                  <w:tcW w:w="1241" w:type="pct"/>
                  <w:noWrap w:val="0"/>
                  <w:vAlign w:val="center"/>
                </w:tcPr>
                <w:p w14:paraId="0F90F6F3">
                  <w:pPr>
                    <w:adjustRightInd w:val="0"/>
                    <w:snapToGrid w:val="0"/>
                    <w:spacing w:line="240" w:lineRule="atLeast"/>
                    <w:ind w:firstLine="0" w:firstLineChars="0"/>
                    <w:jc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8</w:t>
                  </w:r>
                  <w:r>
                    <w:rPr>
                      <w:rFonts w:hint="eastAsia" w:ascii="Times New Roman" w:hAnsi="Times New Roman" w:cs="Times New Roman"/>
                      <w:b w:val="0"/>
                      <w:bCs w:val="0"/>
                      <w:color w:val="auto"/>
                      <w:sz w:val="21"/>
                      <w:szCs w:val="21"/>
                      <w:u w:val="none"/>
                      <w:lang w:val="en-US" w:eastAsia="zh-CN"/>
                    </w:rPr>
                    <w:t>台</w:t>
                  </w:r>
                  <w:r>
                    <w:rPr>
                      <w:rFonts w:hint="eastAsia" w:ascii="Times New Roman" w:hAnsi="Times New Roman" w:eastAsia="宋体" w:cs="Times New Roman"/>
                      <w:b w:val="0"/>
                      <w:bCs w:val="0"/>
                      <w:color w:val="auto"/>
                      <w:sz w:val="21"/>
                      <w:szCs w:val="21"/>
                      <w:u w:val="none"/>
                      <w:lang w:val="en-US" w:eastAsia="zh-CN"/>
                    </w:rPr>
                    <w:t>组（现</w:t>
                  </w:r>
                  <w:r>
                    <w:rPr>
                      <w:rFonts w:hint="eastAsia" w:ascii="Times New Roman" w:hAnsi="Times New Roman" w:cs="Times New Roman"/>
                      <w:b w:val="0"/>
                      <w:bCs w:val="0"/>
                      <w:color w:val="auto"/>
                      <w:sz w:val="21"/>
                      <w:szCs w:val="21"/>
                      <w:u w:val="none"/>
                      <w:lang w:val="en-US" w:eastAsia="zh-CN"/>
                    </w:rPr>
                    <w:t>有</w:t>
                  </w:r>
                  <w:r>
                    <w:rPr>
                      <w:rFonts w:hint="eastAsia" w:ascii="Times New Roman" w:hAnsi="Times New Roman" w:eastAsia="宋体" w:cs="Times New Roman"/>
                      <w:b w:val="0"/>
                      <w:bCs w:val="0"/>
                      <w:color w:val="auto"/>
                      <w:sz w:val="21"/>
                      <w:szCs w:val="21"/>
                      <w:u w:val="none"/>
                      <w:lang w:val="en-US" w:eastAsia="zh-CN"/>
                    </w:rPr>
                    <w:t>4</w:t>
                  </w:r>
                  <w:r>
                    <w:rPr>
                      <w:rFonts w:hint="eastAsia" w:ascii="Times New Roman" w:hAnsi="Times New Roman" w:cs="Times New Roman"/>
                      <w:b w:val="0"/>
                      <w:bCs w:val="0"/>
                      <w:color w:val="auto"/>
                      <w:sz w:val="21"/>
                      <w:szCs w:val="21"/>
                      <w:u w:val="none"/>
                      <w:lang w:val="en-US" w:eastAsia="zh-CN"/>
                    </w:rPr>
                    <w:t>，新增</w:t>
                  </w:r>
                  <w:r>
                    <w:rPr>
                      <w:rFonts w:hint="eastAsia" w:ascii="Times New Roman" w:hAnsi="Times New Roman" w:eastAsia="宋体" w:cs="Times New Roman"/>
                      <w:b w:val="0"/>
                      <w:bCs w:val="0"/>
                      <w:color w:val="auto"/>
                      <w:sz w:val="21"/>
                      <w:szCs w:val="21"/>
                      <w:u w:val="none"/>
                      <w:lang w:val="en-US" w:eastAsia="zh-CN"/>
                    </w:rPr>
                    <w:t>4）</w:t>
                  </w:r>
                </w:p>
              </w:tc>
            </w:tr>
            <w:tr w14:paraId="3D1D6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5" w:type="pct"/>
                  <w:noWrap w:val="0"/>
                  <w:vAlign w:val="center"/>
                </w:tcPr>
                <w:p w14:paraId="6543E844">
                  <w:pPr>
                    <w:adjustRightInd w:val="0"/>
                    <w:snapToGrid w:val="0"/>
                    <w:spacing w:line="240" w:lineRule="atLeast"/>
                    <w:ind w:firstLine="0" w:firstLineChars="0"/>
                    <w:jc w:val="center"/>
                    <w:rPr>
                      <w:rFonts w:hint="eastAsia" w:ascii="Times New Roman" w:hAnsi="Times New Roman" w:eastAsia="宋体" w:cs="Times New Roman"/>
                      <w:b w:val="0"/>
                      <w:bCs w:val="0"/>
                      <w:color w:val="auto"/>
                      <w:kern w:val="2"/>
                      <w:sz w:val="21"/>
                      <w:szCs w:val="21"/>
                      <w:u w:val="none"/>
                      <w:lang w:val="en-US" w:eastAsia="zh-CN" w:bidi="ar-SA"/>
                    </w:rPr>
                  </w:pPr>
                  <w:r>
                    <w:rPr>
                      <w:rFonts w:hint="eastAsia" w:ascii="Times New Roman" w:hAnsi="Times New Roman" w:eastAsia="宋体" w:cs="Times New Roman"/>
                      <w:b w:val="0"/>
                      <w:bCs w:val="0"/>
                      <w:color w:val="auto"/>
                      <w:sz w:val="21"/>
                      <w:szCs w:val="21"/>
                      <w:u w:val="none"/>
                    </w:rPr>
                    <w:t>10</w:t>
                  </w:r>
                </w:p>
              </w:tc>
              <w:tc>
                <w:tcPr>
                  <w:tcW w:w="1259" w:type="pct"/>
                  <w:gridSpan w:val="2"/>
                  <w:noWrap w:val="0"/>
                  <w:vAlign w:val="center"/>
                </w:tcPr>
                <w:p w14:paraId="205FD0C4">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注液机</w:t>
                  </w:r>
                </w:p>
              </w:tc>
              <w:tc>
                <w:tcPr>
                  <w:tcW w:w="910" w:type="pct"/>
                  <w:noWrap w:val="0"/>
                  <w:vAlign w:val="center"/>
                </w:tcPr>
                <w:p w14:paraId="29C89040">
                  <w:pPr>
                    <w:adjustRightInd w:val="0"/>
                    <w:snapToGrid w:val="0"/>
                    <w:spacing w:line="240" w:lineRule="atLeast"/>
                    <w:ind w:firstLine="0" w:firstLineChars="0"/>
                    <w:jc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rPr>
                    <w:t>/</w:t>
                  </w:r>
                </w:p>
              </w:tc>
              <w:tc>
                <w:tcPr>
                  <w:tcW w:w="1241" w:type="pct"/>
                  <w:noWrap w:val="0"/>
                  <w:vAlign w:val="center"/>
                </w:tcPr>
                <w:p w14:paraId="133F98F4">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电芯注液</w:t>
                  </w:r>
                </w:p>
              </w:tc>
              <w:tc>
                <w:tcPr>
                  <w:tcW w:w="1241" w:type="pct"/>
                  <w:noWrap w:val="0"/>
                  <w:vAlign w:val="center"/>
                </w:tcPr>
                <w:p w14:paraId="0310CC0D">
                  <w:pPr>
                    <w:adjustRightInd w:val="0"/>
                    <w:snapToGrid w:val="0"/>
                    <w:spacing w:line="240" w:lineRule="atLeast"/>
                    <w:ind w:firstLine="0" w:firstLineChars="0"/>
                    <w:jc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12</w:t>
                  </w:r>
                  <w:r>
                    <w:rPr>
                      <w:rFonts w:hint="eastAsia" w:ascii="Times New Roman" w:hAnsi="Times New Roman" w:cs="Times New Roman"/>
                      <w:b w:val="0"/>
                      <w:bCs w:val="0"/>
                      <w:color w:val="auto"/>
                      <w:sz w:val="21"/>
                      <w:szCs w:val="21"/>
                      <w:u w:val="none"/>
                      <w:lang w:val="en-US" w:eastAsia="zh-CN"/>
                    </w:rPr>
                    <w:t>台</w:t>
                  </w:r>
                  <w:r>
                    <w:rPr>
                      <w:rFonts w:hint="eastAsia" w:ascii="Times New Roman" w:hAnsi="Times New Roman" w:eastAsia="宋体" w:cs="Times New Roman"/>
                      <w:b w:val="0"/>
                      <w:bCs w:val="0"/>
                      <w:color w:val="auto"/>
                      <w:sz w:val="21"/>
                      <w:szCs w:val="21"/>
                      <w:u w:val="none"/>
                      <w:lang w:val="en-US" w:eastAsia="zh-CN"/>
                    </w:rPr>
                    <w:t>（现</w:t>
                  </w:r>
                  <w:r>
                    <w:rPr>
                      <w:rFonts w:hint="eastAsia" w:ascii="Times New Roman" w:hAnsi="Times New Roman" w:cs="Times New Roman"/>
                      <w:b w:val="0"/>
                      <w:bCs w:val="0"/>
                      <w:color w:val="auto"/>
                      <w:sz w:val="21"/>
                      <w:szCs w:val="21"/>
                      <w:u w:val="none"/>
                      <w:lang w:val="en-US" w:eastAsia="zh-CN"/>
                    </w:rPr>
                    <w:t>有</w:t>
                  </w:r>
                  <w:r>
                    <w:rPr>
                      <w:rFonts w:hint="eastAsia" w:ascii="Times New Roman" w:hAnsi="Times New Roman" w:eastAsia="宋体" w:cs="Times New Roman"/>
                      <w:b w:val="0"/>
                      <w:bCs w:val="0"/>
                      <w:color w:val="auto"/>
                      <w:sz w:val="21"/>
                      <w:szCs w:val="21"/>
                      <w:u w:val="none"/>
                      <w:lang w:val="en-US" w:eastAsia="zh-CN"/>
                    </w:rPr>
                    <w:t>5</w:t>
                  </w:r>
                  <w:r>
                    <w:rPr>
                      <w:rFonts w:hint="eastAsia" w:ascii="Times New Roman" w:hAnsi="Times New Roman" w:cs="Times New Roman"/>
                      <w:b w:val="0"/>
                      <w:bCs w:val="0"/>
                      <w:color w:val="auto"/>
                      <w:sz w:val="21"/>
                      <w:szCs w:val="21"/>
                      <w:u w:val="none"/>
                      <w:lang w:val="en-US" w:eastAsia="zh-CN"/>
                    </w:rPr>
                    <w:t>，新增</w:t>
                  </w:r>
                  <w:r>
                    <w:rPr>
                      <w:rFonts w:hint="eastAsia" w:ascii="Times New Roman" w:hAnsi="Times New Roman" w:eastAsia="宋体" w:cs="Times New Roman"/>
                      <w:b w:val="0"/>
                      <w:bCs w:val="0"/>
                      <w:color w:val="auto"/>
                      <w:sz w:val="21"/>
                      <w:szCs w:val="21"/>
                      <w:u w:val="none"/>
                      <w:lang w:val="en-US" w:eastAsia="zh-CN"/>
                    </w:rPr>
                    <w:t>7）</w:t>
                  </w:r>
                </w:p>
              </w:tc>
            </w:tr>
            <w:tr w14:paraId="42E6D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345" w:type="pct"/>
                  <w:noWrap w:val="0"/>
                  <w:vAlign w:val="center"/>
                </w:tcPr>
                <w:p w14:paraId="237F252B">
                  <w:pPr>
                    <w:adjustRightInd w:val="0"/>
                    <w:snapToGrid w:val="0"/>
                    <w:spacing w:line="240" w:lineRule="atLeast"/>
                    <w:ind w:firstLine="0" w:firstLineChars="0"/>
                    <w:jc w:val="center"/>
                    <w:rPr>
                      <w:rFonts w:hint="eastAsia" w:ascii="Times New Roman" w:hAnsi="Times New Roman" w:eastAsia="宋体" w:cs="Times New Roman"/>
                      <w:b w:val="0"/>
                      <w:bCs w:val="0"/>
                      <w:color w:val="auto"/>
                      <w:kern w:val="2"/>
                      <w:sz w:val="21"/>
                      <w:szCs w:val="21"/>
                      <w:u w:val="none"/>
                      <w:lang w:val="en-US" w:eastAsia="zh-CN" w:bidi="ar-SA"/>
                    </w:rPr>
                  </w:pPr>
                  <w:r>
                    <w:rPr>
                      <w:rFonts w:hint="eastAsia" w:ascii="Times New Roman" w:hAnsi="Times New Roman" w:eastAsia="宋体" w:cs="Times New Roman"/>
                      <w:b w:val="0"/>
                      <w:bCs w:val="0"/>
                      <w:color w:val="auto"/>
                      <w:sz w:val="21"/>
                      <w:szCs w:val="21"/>
                      <w:u w:val="none"/>
                    </w:rPr>
                    <w:t>11</w:t>
                  </w:r>
                </w:p>
              </w:tc>
              <w:tc>
                <w:tcPr>
                  <w:tcW w:w="1259" w:type="pct"/>
                  <w:gridSpan w:val="2"/>
                  <w:noWrap w:val="0"/>
                  <w:vAlign w:val="center"/>
                </w:tcPr>
                <w:p w14:paraId="618699B4">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rPr>
                    <w:t>封口机</w:t>
                  </w:r>
                  <w:r>
                    <w:rPr>
                      <w:rFonts w:hint="eastAsia" w:ascii="Times New Roman" w:hAnsi="Times New Roman" w:eastAsia="宋体" w:cs="Times New Roman"/>
                      <w:b w:val="0"/>
                      <w:bCs w:val="0"/>
                      <w:color w:val="auto"/>
                      <w:sz w:val="21"/>
                      <w:szCs w:val="21"/>
                      <w:u w:val="none"/>
                      <w:lang w:val="en-US" w:eastAsia="zh-CN"/>
                    </w:rPr>
                    <w:t>/二封/切折烫</w:t>
                  </w:r>
                </w:p>
              </w:tc>
              <w:tc>
                <w:tcPr>
                  <w:tcW w:w="910" w:type="pct"/>
                  <w:noWrap w:val="0"/>
                  <w:vAlign w:val="center"/>
                </w:tcPr>
                <w:p w14:paraId="568FBFAD">
                  <w:pPr>
                    <w:adjustRightInd w:val="0"/>
                    <w:snapToGrid w:val="0"/>
                    <w:spacing w:line="240" w:lineRule="atLeast"/>
                    <w:ind w:firstLine="0" w:firstLineChars="0"/>
                    <w:jc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rPr>
                    <w:t>/</w:t>
                  </w:r>
                </w:p>
              </w:tc>
              <w:tc>
                <w:tcPr>
                  <w:tcW w:w="1241" w:type="pct"/>
                  <w:noWrap w:val="0"/>
                  <w:vAlign w:val="center"/>
                </w:tcPr>
                <w:p w14:paraId="699AB51C">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电芯封口</w:t>
                  </w:r>
                </w:p>
              </w:tc>
              <w:tc>
                <w:tcPr>
                  <w:tcW w:w="1241" w:type="pct"/>
                  <w:noWrap w:val="0"/>
                  <w:vAlign w:val="center"/>
                </w:tcPr>
                <w:p w14:paraId="0CA3C6E5">
                  <w:pPr>
                    <w:adjustRightInd w:val="0"/>
                    <w:snapToGrid w:val="0"/>
                    <w:spacing w:line="240" w:lineRule="atLeast"/>
                    <w:ind w:firstLine="0" w:firstLineChars="0"/>
                    <w:jc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16</w:t>
                  </w:r>
                  <w:r>
                    <w:rPr>
                      <w:rFonts w:hint="eastAsia" w:ascii="Times New Roman" w:hAnsi="Times New Roman" w:cs="Times New Roman"/>
                      <w:b w:val="0"/>
                      <w:bCs w:val="0"/>
                      <w:color w:val="auto"/>
                      <w:sz w:val="21"/>
                      <w:szCs w:val="21"/>
                      <w:u w:val="none"/>
                      <w:lang w:val="en-US" w:eastAsia="zh-CN"/>
                    </w:rPr>
                    <w:t>台</w:t>
                  </w:r>
                  <w:r>
                    <w:rPr>
                      <w:rFonts w:hint="eastAsia" w:ascii="Times New Roman" w:hAnsi="Times New Roman" w:eastAsia="宋体" w:cs="Times New Roman"/>
                      <w:b w:val="0"/>
                      <w:bCs w:val="0"/>
                      <w:color w:val="auto"/>
                      <w:sz w:val="21"/>
                      <w:szCs w:val="21"/>
                      <w:u w:val="none"/>
                      <w:lang w:val="en-US" w:eastAsia="zh-CN"/>
                    </w:rPr>
                    <w:t>（现</w:t>
                  </w:r>
                  <w:r>
                    <w:rPr>
                      <w:rFonts w:hint="eastAsia" w:ascii="Times New Roman" w:hAnsi="Times New Roman" w:cs="Times New Roman"/>
                      <w:b w:val="0"/>
                      <w:bCs w:val="0"/>
                      <w:color w:val="auto"/>
                      <w:sz w:val="21"/>
                      <w:szCs w:val="21"/>
                      <w:u w:val="none"/>
                      <w:lang w:val="en-US" w:eastAsia="zh-CN"/>
                    </w:rPr>
                    <w:t>有</w:t>
                  </w:r>
                  <w:r>
                    <w:rPr>
                      <w:rFonts w:hint="eastAsia" w:ascii="Times New Roman" w:hAnsi="Times New Roman" w:eastAsia="宋体" w:cs="Times New Roman"/>
                      <w:b w:val="0"/>
                      <w:bCs w:val="0"/>
                      <w:color w:val="auto"/>
                      <w:sz w:val="21"/>
                      <w:szCs w:val="21"/>
                      <w:u w:val="none"/>
                      <w:lang w:val="en-US" w:eastAsia="zh-CN"/>
                    </w:rPr>
                    <w:t>8</w:t>
                  </w:r>
                  <w:r>
                    <w:rPr>
                      <w:rFonts w:hint="eastAsia" w:ascii="Times New Roman" w:hAnsi="Times New Roman" w:cs="Times New Roman"/>
                      <w:b w:val="0"/>
                      <w:bCs w:val="0"/>
                      <w:color w:val="auto"/>
                      <w:sz w:val="21"/>
                      <w:szCs w:val="21"/>
                      <w:u w:val="none"/>
                      <w:lang w:val="en-US" w:eastAsia="zh-CN"/>
                    </w:rPr>
                    <w:t>，新增</w:t>
                  </w:r>
                  <w:r>
                    <w:rPr>
                      <w:rFonts w:hint="eastAsia" w:ascii="Times New Roman" w:hAnsi="Times New Roman" w:eastAsia="宋体" w:cs="Times New Roman"/>
                      <w:b w:val="0"/>
                      <w:bCs w:val="0"/>
                      <w:color w:val="auto"/>
                      <w:sz w:val="21"/>
                      <w:szCs w:val="21"/>
                      <w:u w:val="none"/>
                      <w:lang w:val="en-US" w:eastAsia="zh-CN"/>
                    </w:rPr>
                    <w:t>8）</w:t>
                  </w:r>
                </w:p>
              </w:tc>
            </w:tr>
            <w:tr w14:paraId="1E9DA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5" w:type="pct"/>
                  <w:noWrap w:val="0"/>
                  <w:vAlign w:val="center"/>
                </w:tcPr>
                <w:p w14:paraId="6273794D">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rPr>
                    <w:t>12</w:t>
                  </w:r>
                </w:p>
              </w:tc>
              <w:tc>
                <w:tcPr>
                  <w:tcW w:w="1259" w:type="pct"/>
                  <w:gridSpan w:val="2"/>
                  <w:noWrap w:val="0"/>
                  <w:vAlign w:val="center"/>
                </w:tcPr>
                <w:p w14:paraId="41DFDF54">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套膜机</w:t>
                  </w:r>
                </w:p>
              </w:tc>
              <w:tc>
                <w:tcPr>
                  <w:tcW w:w="910" w:type="pct"/>
                  <w:noWrap w:val="0"/>
                  <w:vAlign w:val="center"/>
                </w:tcPr>
                <w:p w14:paraId="2F066279">
                  <w:pPr>
                    <w:adjustRightInd w:val="0"/>
                    <w:snapToGrid w:val="0"/>
                    <w:spacing w:line="240" w:lineRule="atLeast"/>
                    <w:ind w:firstLine="0" w:firstLineChars="0"/>
                    <w:jc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rPr>
                    <w:t>/</w:t>
                  </w:r>
                </w:p>
              </w:tc>
              <w:tc>
                <w:tcPr>
                  <w:tcW w:w="1241" w:type="pct"/>
                  <w:noWrap w:val="0"/>
                  <w:vAlign w:val="center"/>
                </w:tcPr>
                <w:p w14:paraId="2E0F39E2">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电芯套膜</w:t>
                  </w:r>
                </w:p>
              </w:tc>
              <w:tc>
                <w:tcPr>
                  <w:tcW w:w="1241" w:type="pct"/>
                  <w:noWrap w:val="0"/>
                  <w:vAlign w:val="center"/>
                </w:tcPr>
                <w:p w14:paraId="58B5E394">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8</w:t>
                  </w:r>
                  <w:r>
                    <w:rPr>
                      <w:rFonts w:hint="eastAsia" w:ascii="Times New Roman" w:hAnsi="Times New Roman" w:cs="Times New Roman"/>
                      <w:b w:val="0"/>
                      <w:bCs w:val="0"/>
                      <w:color w:val="auto"/>
                      <w:sz w:val="21"/>
                      <w:szCs w:val="21"/>
                      <w:u w:val="none"/>
                      <w:lang w:val="en-US" w:eastAsia="zh-CN"/>
                    </w:rPr>
                    <w:t>台</w:t>
                  </w:r>
                  <w:r>
                    <w:rPr>
                      <w:rFonts w:hint="eastAsia" w:ascii="Times New Roman" w:hAnsi="Times New Roman" w:eastAsia="宋体" w:cs="Times New Roman"/>
                      <w:b w:val="0"/>
                      <w:bCs w:val="0"/>
                      <w:color w:val="auto"/>
                      <w:sz w:val="21"/>
                      <w:szCs w:val="21"/>
                      <w:u w:val="none"/>
                      <w:lang w:val="en-US" w:eastAsia="zh-CN"/>
                    </w:rPr>
                    <w:t>（现</w:t>
                  </w:r>
                  <w:r>
                    <w:rPr>
                      <w:rFonts w:hint="eastAsia" w:ascii="Times New Roman" w:hAnsi="Times New Roman" w:cs="Times New Roman"/>
                      <w:b w:val="0"/>
                      <w:bCs w:val="0"/>
                      <w:color w:val="auto"/>
                      <w:sz w:val="21"/>
                      <w:szCs w:val="21"/>
                      <w:u w:val="none"/>
                      <w:lang w:val="en-US" w:eastAsia="zh-CN"/>
                    </w:rPr>
                    <w:t>有</w:t>
                  </w:r>
                  <w:r>
                    <w:rPr>
                      <w:rFonts w:hint="eastAsia" w:ascii="Times New Roman" w:hAnsi="Times New Roman" w:eastAsia="宋体" w:cs="Times New Roman"/>
                      <w:b w:val="0"/>
                      <w:bCs w:val="0"/>
                      <w:color w:val="auto"/>
                      <w:sz w:val="21"/>
                      <w:szCs w:val="21"/>
                      <w:u w:val="none"/>
                      <w:lang w:val="en-US" w:eastAsia="zh-CN"/>
                    </w:rPr>
                    <w:t>0</w:t>
                  </w:r>
                  <w:r>
                    <w:rPr>
                      <w:rFonts w:hint="eastAsia" w:ascii="Times New Roman" w:hAnsi="Times New Roman" w:cs="Times New Roman"/>
                      <w:b w:val="0"/>
                      <w:bCs w:val="0"/>
                      <w:color w:val="auto"/>
                      <w:sz w:val="21"/>
                      <w:szCs w:val="21"/>
                      <w:u w:val="none"/>
                      <w:lang w:val="en-US" w:eastAsia="zh-CN"/>
                    </w:rPr>
                    <w:t>，新增</w:t>
                  </w:r>
                  <w:r>
                    <w:rPr>
                      <w:rFonts w:hint="eastAsia" w:ascii="Times New Roman" w:hAnsi="Times New Roman" w:eastAsia="宋体" w:cs="Times New Roman"/>
                      <w:b w:val="0"/>
                      <w:bCs w:val="0"/>
                      <w:color w:val="auto"/>
                      <w:sz w:val="21"/>
                      <w:szCs w:val="21"/>
                      <w:u w:val="none"/>
                      <w:lang w:val="en-US" w:eastAsia="zh-CN"/>
                    </w:rPr>
                    <w:t>8）</w:t>
                  </w:r>
                </w:p>
              </w:tc>
            </w:tr>
            <w:tr w14:paraId="4B3B1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5" w:type="pct"/>
                  <w:noWrap w:val="0"/>
                  <w:vAlign w:val="center"/>
                </w:tcPr>
                <w:p w14:paraId="2118A1F5">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rPr>
                    <w:t>13</w:t>
                  </w:r>
                </w:p>
              </w:tc>
              <w:tc>
                <w:tcPr>
                  <w:tcW w:w="1259" w:type="pct"/>
                  <w:gridSpan w:val="2"/>
                  <w:noWrap w:val="0"/>
                  <w:vAlign w:val="center"/>
                </w:tcPr>
                <w:p w14:paraId="41B20577">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化成分容柜</w:t>
                  </w:r>
                </w:p>
              </w:tc>
              <w:tc>
                <w:tcPr>
                  <w:tcW w:w="910" w:type="pct"/>
                  <w:noWrap w:val="0"/>
                  <w:vAlign w:val="center"/>
                </w:tcPr>
                <w:p w14:paraId="1DC8CA99">
                  <w:pPr>
                    <w:adjustRightInd w:val="0"/>
                    <w:snapToGrid w:val="0"/>
                    <w:spacing w:line="240" w:lineRule="atLeast"/>
                    <w:ind w:firstLine="0" w:firstLineChars="0"/>
                    <w:jc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rPr>
                    <w:t>/</w:t>
                  </w:r>
                </w:p>
              </w:tc>
              <w:tc>
                <w:tcPr>
                  <w:tcW w:w="1241" w:type="pct"/>
                  <w:noWrap w:val="0"/>
                  <w:vAlign w:val="center"/>
                </w:tcPr>
                <w:p w14:paraId="41466439">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电芯化成分容</w:t>
                  </w:r>
                </w:p>
              </w:tc>
              <w:tc>
                <w:tcPr>
                  <w:tcW w:w="1241" w:type="pct"/>
                  <w:noWrap w:val="0"/>
                  <w:vAlign w:val="center"/>
                </w:tcPr>
                <w:p w14:paraId="7213BC5A">
                  <w:pPr>
                    <w:adjustRightInd w:val="0"/>
                    <w:snapToGrid w:val="0"/>
                    <w:spacing w:line="240" w:lineRule="atLeast"/>
                    <w:ind w:firstLine="0" w:firstLineChars="0"/>
                    <w:jc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56</w:t>
                  </w:r>
                  <w:r>
                    <w:rPr>
                      <w:rFonts w:hint="eastAsia" w:ascii="Times New Roman" w:hAnsi="Times New Roman" w:cs="Times New Roman"/>
                      <w:b w:val="0"/>
                      <w:bCs w:val="0"/>
                      <w:color w:val="auto"/>
                      <w:sz w:val="21"/>
                      <w:szCs w:val="21"/>
                      <w:u w:val="none"/>
                      <w:lang w:val="en-US" w:eastAsia="zh-CN"/>
                    </w:rPr>
                    <w:t>台</w:t>
                  </w:r>
                  <w:r>
                    <w:rPr>
                      <w:rFonts w:hint="eastAsia" w:ascii="Times New Roman" w:hAnsi="Times New Roman" w:eastAsia="宋体" w:cs="Times New Roman"/>
                      <w:b w:val="0"/>
                      <w:bCs w:val="0"/>
                      <w:color w:val="auto"/>
                      <w:sz w:val="21"/>
                      <w:szCs w:val="21"/>
                      <w:u w:val="none"/>
                      <w:lang w:val="en-US" w:eastAsia="zh-CN"/>
                    </w:rPr>
                    <w:t>（现</w:t>
                  </w:r>
                  <w:r>
                    <w:rPr>
                      <w:rFonts w:hint="eastAsia" w:ascii="Times New Roman" w:hAnsi="Times New Roman" w:cs="Times New Roman"/>
                      <w:b w:val="0"/>
                      <w:bCs w:val="0"/>
                      <w:color w:val="auto"/>
                      <w:sz w:val="21"/>
                      <w:szCs w:val="21"/>
                      <w:u w:val="none"/>
                      <w:lang w:val="en-US" w:eastAsia="zh-CN"/>
                    </w:rPr>
                    <w:t>有</w:t>
                  </w:r>
                  <w:r>
                    <w:rPr>
                      <w:rFonts w:hint="eastAsia" w:ascii="Times New Roman" w:hAnsi="Times New Roman" w:eastAsia="宋体" w:cs="Times New Roman"/>
                      <w:b w:val="0"/>
                      <w:bCs w:val="0"/>
                      <w:color w:val="auto"/>
                      <w:sz w:val="21"/>
                      <w:szCs w:val="21"/>
                      <w:u w:val="none"/>
                      <w:lang w:val="en-US" w:eastAsia="zh-CN"/>
                    </w:rPr>
                    <w:t>30</w:t>
                  </w:r>
                  <w:r>
                    <w:rPr>
                      <w:rFonts w:hint="eastAsia" w:ascii="Times New Roman" w:hAnsi="Times New Roman" w:cs="Times New Roman"/>
                      <w:b w:val="0"/>
                      <w:bCs w:val="0"/>
                      <w:color w:val="auto"/>
                      <w:sz w:val="21"/>
                      <w:szCs w:val="21"/>
                      <w:u w:val="none"/>
                      <w:lang w:val="en-US" w:eastAsia="zh-CN"/>
                    </w:rPr>
                    <w:t>，新增</w:t>
                  </w:r>
                  <w:r>
                    <w:rPr>
                      <w:rFonts w:hint="eastAsia" w:ascii="Times New Roman" w:hAnsi="Times New Roman" w:eastAsia="宋体" w:cs="Times New Roman"/>
                      <w:b w:val="0"/>
                      <w:bCs w:val="0"/>
                      <w:color w:val="auto"/>
                      <w:sz w:val="21"/>
                      <w:szCs w:val="21"/>
                      <w:u w:val="none"/>
                      <w:lang w:val="en-US" w:eastAsia="zh-CN"/>
                    </w:rPr>
                    <w:t>26）</w:t>
                  </w:r>
                </w:p>
              </w:tc>
            </w:tr>
            <w:tr w14:paraId="20BB6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5" w:type="pct"/>
                  <w:noWrap w:val="0"/>
                  <w:vAlign w:val="center"/>
                </w:tcPr>
                <w:p w14:paraId="3F195757">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rPr>
                    <w:t>14</w:t>
                  </w:r>
                </w:p>
              </w:tc>
              <w:tc>
                <w:tcPr>
                  <w:tcW w:w="1259" w:type="pct"/>
                  <w:gridSpan w:val="2"/>
                  <w:noWrap w:val="0"/>
                  <w:vAlign w:val="center"/>
                </w:tcPr>
                <w:p w14:paraId="50182580">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电压内阻分选机</w:t>
                  </w:r>
                </w:p>
              </w:tc>
              <w:tc>
                <w:tcPr>
                  <w:tcW w:w="910" w:type="pct"/>
                  <w:noWrap w:val="0"/>
                  <w:vAlign w:val="center"/>
                </w:tcPr>
                <w:p w14:paraId="38D86C13">
                  <w:pPr>
                    <w:adjustRightInd w:val="0"/>
                    <w:snapToGrid w:val="0"/>
                    <w:spacing w:line="240" w:lineRule="atLeast"/>
                    <w:ind w:firstLine="0" w:firstLineChars="0"/>
                    <w:jc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rPr>
                    <w:t>/</w:t>
                  </w:r>
                </w:p>
              </w:tc>
              <w:tc>
                <w:tcPr>
                  <w:tcW w:w="1241" w:type="pct"/>
                  <w:noWrap w:val="0"/>
                  <w:vAlign w:val="center"/>
                </w:tcPr>
                <w:p w14:paraId="32B96AF8">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电芯电压内阻分选</w:t>
                  </w:r>
                </w:p>
              </w:tc>
              <w:tc>
                <w:tcPr>
                  <w:tcW w:w="1241" w:type="pct"/>
                  <w:noWrap w:val="0"/>
                  <w:vAlign w:val="center"/>
                </w:tcPr>
                <w:p w14:paraId="63EABB76">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6</w:t>
                  </w:r>
                  <w:r>
                    <w:rPr>
                      <w:rFonts w:hint="eastAsia" w:ascii="Times New Roman" w:hAnsi="Times New Roman" w:cs="Times New Roman"/>
                      <w:b w:val="0"/>
                      <w:bCs w:val="0"/>
                      <w:color w:val="auto"/>
                      <w:sz w:val="21"/>
                      <w:szCs w:val="21"/>
                      <w:u w:val="none"/>
                      <w:lang w:val="en-US" w:eastAsia="zh-CN"/>
                    </w:rPr>
                    <w:t>台</w:t>
                  </w:r>
                  <w:r>
                    <w:rPr>
                      <w:rFonts w:hint="eastAsia" w:ascii="Times New Roman" w:hAnsi="Times New Roman" w:eastAsia="宋体" w:cs="Times New Roman"/>
                      <w:b w:val="0"/>
                      <w:bCs w:val="0"/>
                      <w:color w:val="auto"/>
                      <w:sz w:val="21"/>
                      <w:szCs w:val="21"/>
                      <w:u w:val="none"/>
                      <w:lang w:val="en-US" w:eastAsia="zh-CN"/>
                    </w:rPr>
                    <w:t>（现</w:t>
                  </w:r>
                  <w:r>
                    <w:rPr>
                      <w:rFonts w:hint="eastAsia" w:ascii="Times New Roman" w:hAnsi="Times New Roman" w:cs="Times New Roman"/>
                      <w:b w:val="0"/>
                      <w:bCs w:val="0"/>
                      <w:color w:val="auto"/>
                      <w:sz w:val="21"/>
                      <w:szCs w:val="21"/>
                      <w:u w:val="none"/>
                      <w:lang w:val="en-US" w:eastAsia="zh-CN"/>
                    </w:rPr>
                    <w:t>有</w:t>
                  </w:r>
                  <w:r>
                    <w:rPr>
                      <w:rFonts w:hint="eastAsia" w:ascii="Times New Roman" w:hAnsi="Times New Roman" w:eastAsia="宋体" w:cs="Times New Roman"/>
                      <w:b w:val="0"/>
                      <w:bCs w:val="0"/>
                      <w:color w:val="auto"/>
                      <w:sz w:val="21"/>
                      <w:szCs w:val="21"/>
                      <w:u w:val="none"/>
                      <w:lang w:val="en-US" w:eastAsia="zh-CN"/>
                    </w:rPr>
                    <w:t>3</w:t>
                  </w:r>
                  <w:r>
                    <w:rPr>
                      <w:rFonts w:hint="eastAsia" w:ascii="Times New Roman" w:hAnsi="Times New Roman" w:cs="Times New Roman"/>
                      <w:b w:val="0"/>
                      <w:bCs w:val="0"/>
                      <w:color w:val="auto"/>
                      <w:sz w:val="21"/>
                      <w:szCs w:val="21"/>
                      <w:u w:val="none"/>
                      <w:lang w:val="en-US" w:eastAsia="zh-CN"/>
                    </w:rPr>
                    <w:t>，新增</w:t>
                  </w:r>
                  <w:r>
                    <w:rPr>
                      <w:rFonts w:hint="eastAsia" w:ascii="Times New Roman" w:hAnsi="Times New Roman" w:eastAsia="宋体" w:cs="Times New Roman"/>
                      <w:b w:val="0"/>
                      <w:bCs w:val="0"/>
                      <w:color w:val="auto"/>
                      <w:sz w:val="21"/>
                      <w:szCs w:val="21"/>
                      <w:u w:val="none"/>
                      <w:lang w:val="en-US" w:eastAsia="zh-CN"/>
                    </w:rPr>
                    <w:t>3）</w:t>
                  </w:r>
                </w:p>
              </w:tc>
            </w:tr>
            <w:tr w14:paraId="145AB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5" w:type="pct"/>
                  <w:noWrap w:val="0"/>
                  <w:vAlign w:val="center"/>
                </w:tcPr>
                <w:p w14:paraId="4E195DCD">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rPr>
                    <w:t>15</w:t>
                  </w:r>
                </w:p>
              </w:tc>
              <w:tc>
                <w:tcPr>
                  <w:tcW w:w="1259" w:type="pct"/>
                  <w:gridSpan w:val="2"/>
                  <w:noWrap w:val="0"/>
                  <w:vAlign w:val="center"/>
                </w:tcPr>
                <w:p w14:paraId="4FF964D5">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喷码机</w:t>
                  </w:r>
                </w:p>
              </w:tc>
              <w:tc>
                <w:tcPr>
                  <w:tcW w:w="910" w:type="pct"/>
                  <w:noWrap w:val="0"/>
                  <w:vAlign w:val="center"/>
                </w:tcPr>
                <w:p w14:paraId="3C759EAA">
                  <w:pPr>
                    <w:adjustRightInd w:val="0"/>
                    <w:snapToGrid w:val="0"/>
                    <w:spacing w:line="240" w:lineRule="atLeast"/>
                    <w:ind w:firstLine="0" w:firstLineChars="0"/>
                    <w:jc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rPr>
                    <w:t>/</w:t>
                  </w:r>
                </w:p>
              </w:tc>
              <w:tc>
                <w:tcPr>
                  <w:tcW w:w="1241" w:type="pct"/>
                  <w:noWrap w:val="0"/>
                  <w:vAlign w:val="center"/>
                </w:tcPr>
                <w:p w14:paraId="3720BB93">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电芯喷码</w:t>
                  </w:r>
                </w:p>
              </w:tc>
              <w:tc>
                <w:tcPr>
                  <w:tcW w:w="1241" w:type="pct"/>
                  <w:noWrap w:val="0"/>
                  <w:vAlign w:val="center"/>
                </w:tcPr>
                <w:p w14:paraId="1D65DEDA">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6</w:t>
                  </w:r>
                  <w:r>
                    <w:rPr>
                      <w:rFonts w:hint="eastAsia" w:ascii="Times New Roman" w:hAnsi="Times New Roman" w:cs="Times New Roman"/>
                      <w:b w:val="0"/>
                      <w:bCs w:val="0"/>
                      <w:color w:val="auto"/>
                      <w:sz w:val="21"/>
                      <w:szCs w:val="21"/>
                      <w:u w:val="none"/>
                      <w:lang w:val="en-US" w:eastAsia="zh-CN"/>
                    </w:rPr>
                    <w:t>台</w:t>
                  </w:r>
                  <w:r>
                    <w:rPr>
                      <w:rFonts w:hint="eastAsia" w:ascii="Times New Roman" w:hAnsi="Times New Roman" w:eastAsia="宋体" w:cs="Times New Roman"/>
                      <w:b w:val="0"/>
                      <w:bCs w:val="0"/>
                      <w:color w:val="auto"/>
                      <w:sz w:val="21"/>
                      <w:szCs w:val="21"/>
                      <w:u w:val="none"/>
                      <w:lang w:val="en-US" w:eastAsia="zh-CN"/>
                    </w:rPr>
                    <w:t>（现</w:t>
                  </w:r>
                  <w:r>
                    <w:rPr>
                      <w:rFonts w:hint="eastAsia" w:ascii="Times New Roman" w:hAnsi="Times New Roman" w:cs="Times New Roman"/>
                      <w:b w:val="0"/>
                      <w:bCs w:val="0"/>
                      <w:color w:val="auto"/>
                      <w:sz w:val="21"/>
                      <w:szCs w:val="21"/>
                      <w:u w:val="none"/>
                      <w:lang w:val="en-US" w:eastAsia="zh-CN"/>
                    </w:rPr>
                    <w:t>有</w:t>
                  </w:r>
                  <w:r>
                    <w:rPr>
                      <w:rFonts w:hint="eastAsia" w:ascii="Times New Roman" w:hAnsi="Times New Roman" w:eastAsia="宋体" w:cs="Times New Roman"/>
                      <w:b w:val="0"/>
                      <w:bCs w:val="0"/>
                      <w:color w:val="auto"/>
                      <w:sz w:val="21"/>
                      <w:szCs w:val="21"/>
                      <w:u w:val="none"/>
                      <w:lang w:val="en-US" w:eastAsia="zh-CN"/>
                    </w:rPr>
                    <w:t>4</w:t>
                  </w:r>
                  <w:r>
                    <w:rPr>
                      <w:rFonts w:hint="eastAsia" w:ascii="Times New Roman" w:hAnsi="Times New Roman" w:cs="Times New Roman"/>
                      <w:b w:val="0"/>
                      <w:bCs w:val="0"/>
                      <w:color w:val="auto"/>
                      <w:sz w:val="21"/>
                      <w:szCs w:val="21"/>
                      <w:u w:val="none"/>
                      <w:lang w:val="en-US" w:eastAsia="zh-CN"/>
                    </w:rPr>
                    <w:t>，新增</w:t>
                  </w:r>
                  <w:r>
                    <w:rPr>
                      <w:rFonts w:hint="eastAsia" w:ascii="Times New Roman" w:hAnsi="Times New Roman" w:eastAsia="宋体" w:cs="Times New Roman"/>
                      <w:b w:val="0"/>
                      <w:bCs w:val="0"/>
                      <w:color w:val="auto"/>
                      <w:sz w:val="21"/>
                      <w:szCs w:val="21"/>
                      <w:u w:val="none"/>
                      <w:lang w:val="en-US" w:eastAsia="zh-CN"/>
                    </w:rPr>
                    <w:t>2）</w:t>
                  </w:r>
                </w:p>
              </w:tc>
            </w:tr>
            <w:tr w14:paraId="41C15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5" w:type="pct"/>
                  <w:noWrap w:val="0"/>
                  <w:vAlign w:val="center"/>
                </w:tcPr>
                <w:p w14:paraId="4DF2AF21">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rPr>
                    <w:t>16</w:t>
                  </w:r>
                </w:p>
              </w:tc>
              <w:tc>
                <w:tcPr>
                  <w:tcW w:w="1259" w:type="pct"/>
                  <w:gridSpan w:val="2"/>
                  <w:noWrap w:val="0"/>
                  <w:vAlign w:val="center"/>
                </w:tcPr>
                <w:p w14:paraId="0B022503">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制氮机</w:t>
                  </w:r>
                </w:p>
              </w:tc>
              <w:tc>
                <w:tcPr>
                  <w:tcW w:w="910" w:type="pct"/>
                  <w:noWrap w:val="0"/>
                  <w:vAlign w:val="center"/>
                </w:tcPr>
                <w:p w14:paraId="0C509DB2">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vertAlign w:val="baseline"/>
                    </w:rPr>
                  </w:pPr>
                  <w:r>
                    <w:rPr>
                      <w:rFonts w:hint="eastAsia" w:ascii="Times New Roman" w:hAnsi="Times New Roman" w:eastAsia="宋体" w:cs="Times New Roman"/>
                      <w:b w:val="0"/>
                      <w:bCs w:val="0"/>
                      <w:color w:val="auto"/>
                      <w:sz w:val="21"/>
                      <w:szCs w:val="21"/>
                      <w:u w:val="none"/>
                    </w:rPr>
                    <w:t>100m</w:t>
                  </w:r>
                  <w:r>
                    <w:rPr>
                      <w:rFonts w:hint="eastAsia" w:ascii="Times New Roman" w:hAnsi="Times New Roman" w:eastAsia="宋体" w:cs="Times New Roman"/>
                      <w:b w:val="0"/>
                      <w:bCs w:val="0"/>
                      <w:color w:val="auto"/>
                      <w:sz w:val="21"/>
                      <w:szCs w:val="21"/>
                      <w:u w:val="none"/>
                      <w:vertAlign w:val="superscript"/>
                    </w:rPr>
                    <w:t>3</w:t>
                  </w:r>
                </w:p>
              </w:tc>
              <w:tc>
                <w:tcPr>
                  <w:tcW w:w="1241" w:type="pct"/>
                  <w:noWrap w:val="0"/>
                  <w:vAlign w:val="center"/>
                </w:tcPr>
                <w:p w14:paraId="13360462">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自制氮气</w:t>
                  </w:r>
                </w:p>
              </w:tc>
              <w:tc>
                <w:tcPr>
                  <w:tcW w:w="1241" w:type="pct"/>
                  <w:noWrap w:val="0"/>
                  <w:vAlign w:val="center"/>
                </w:tcPr>
                <w:p w14:paraId="1DCACF8F">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2</w:t>
                  </w:r>
                  <w:r>
                    <w:rPr>
                      <w:rFonts w:hint="eastAsia" w:ascii="Times New Roman" w:hAnsi="Times New Roman" w:cs="Times New Roman"/>
                      <w:b w:val="0"/>
                      <w:bCs w:val="0"/>
                      <w:color w:val="auto"/>
                      <w:sz w:val="21"/>
                      <w:szCs w:val="21"/>
                      <w:u w:val="none"/>
                      <w:lang w:val="en-US" w:eastAsia="zh-CN"/>
                    </w:rPr>
                    <w:t>台</w:t>
                  </w:r>
                  <w:r>
                    <w:rPr>
                      <w:rFonts w:hint="eastAsia" w:ascii="Times New Roman" w:hAnsi="Times New Roman" w:eastAsia="宋体" w:cs="Times New Roman"/>
                      <w:b w:val="0"/>
                      <w:bCs w:val="0"/>
                      <w:color w:val="auto"/>
                      <w:sz w:val="21"/>
                      <w:szCs w:val="21"/>
                      <w:u w:val="none"/>
                      <w:lang w:val="en-US" w:eastAsia="zh-CN"/>
                    </w:rPr>
                    <w:t>（现</w:t>
                  </w:r>
                  <w:r>
                    <w:rPr>
                      <w:rFonts w:hint="eastAsia" w:ascii="Times New Roman" w:hAnsi="Times New Roman" w:cs="Times New Roman"/>
                      <w:b w:val="0"/>
                      <w:bCs w:val="0"/>
                      <w:color w:val="auto"/>
                      <w:sz w:val="21"/>
                      <w:szCs w:val="21"/>
                      <w:u w:val="none"/>
                      <w:lang w:val="en-US" w:eastAsia="zh-CN"/>
                    </w:rPr>
                    <w:t>有</w:t>
                  </w:r>
                  <w:r>
                    <w:rPr>
                      <w:rFonts w:hint="eastAsia" w:ascii="Times New Roman" w:hAnsi="Times New Roman" w:eastAsia="宋体" w:cs="Times New Roman"/>
                      <w:b w:val="0"/>
                      <w:bCs w:val="0"/>
                      <w:color w:val="auto"/>
                      <w:sz w:val="21"/>
                      <w:szCs w:val="21"/>
                      <w:u w:val="none"/>
                      <w:lang w:val="en-US" w:eastAsia="zh-CN"/>
                    </w:rPr>
                    <w:t>1</w:t>
                  </w:r>
                  <w:r>
                    <w:rPr>
                      <w:rFonts w:hint="eastAsia" w:ascii="Times New Roman" w:hAnsi="Times New Roman" w:cs="Times New Roman"/>
                      <w:b w:val="0"/>
                      <w:bCs w:val="0"/>
                      <w:color w:val="auto"/>
                      <w:sz w:val="21"/>
                      <w:szCs w:val="21"/>
                      <w:u w:val="none"/>
                      <w:lang w:val="en-US" w:eastAsia="zh-CN"/>
                    </w:rPr>
                    <w:t>，新增</w:t>
                  </w:r>
                  <w:r>
                    <w:rPr>
                      <w:rFonts w:hint="eastAsia" w:ascii="Times New Roman" w:hAnsi="Times New Roman" w:eastAsia="宋体" w:cs="Times New Roman"/>
                      <w:b w:val="0"/>
                      <w:bCs w:val="0"/>
                      <w:color w:val="auto"/>
                      <w:sz w:val="21"/>
                      <w:szCs w:val="21"/>
                      <w:u w:val="none"/>
                      <w:lang w:val="en-US" w:eastAsia="zh-CN"/>
                    </w:rPr>
                    <w:t>1）</w:t>
                  </w:r>
                </w:p>
              </w:tc>
            </w:tr>
            <w:tr w14:paraId="2E852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5" w:type="pct"/>
                  <w:noWrap w:val="0"/>
                  <w:vAlign w:val="center"/>
                </w:tcPr>
                <w:p w14:paraId="24CFADD4">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rPr>
                    <w:t>17</w:t>
                  </w:r>
                </w:p>
              </w:tc>
              <w:tc>
                <w:tcPr>
                  <w:tcW w:w="1259" w:type="pct"/>
                  <w:gridSpan w:val="2"/>
                  <w:noWrap w:val="0"/>
                  <w:vAlign w:val="center"/>
                </w:tcPr>
                <w:p w14:paraId="5EF16A2E">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纯水机</w:t>
                  </w:r>
                </w:p>
              </w:tc>
              <w:tc>
                <w:tcPr>
                  <w:tcW w:w="910" w:type="pct"/>
                  <w:noWrap w:val="0"/>
                  <w:vAlign w:val="center"/>
                </w:tcPr>
                <w:p w14:paraId="44AECECD">
                  <w:pPr>
                    <w:adjustRightInd w:val="0"/>
                    <w:snapToGrid w:val="0"/>
                    <w:spacing w:line="240" w:lineRule="atLeast"/>
                    <w:ind w:firstLine="0" w:firstLineChars="0"/>
                    <w:jc w:val="center"/>
                    <w:rPr>
                      <w:rFonts w:hint="eastAsia" w:ascii="Times New Roman" w:hAnsi="Times New Roman" w:cs="Times New Roman"/>
                      <w:b w:val="0"/>
                      <w:bCs w:val="0"/>
                      <w:color w:val="auto"/>
                      <w:sz w:val="21"/>
                      <w:szCs w:val="21"/>
                      <w:u w:val="none"/>
                    </w:rPr>
                  </w:pPr>
                  <w:r>
                    <w:rPr>
                      <w:rFonts w:hint="eastAsia" w:ascii="Times New Roman" w:hAnsi="Times New Roman" w:cs="Times New Roman"/>
                      <w:b w:val="0"/>
                      <w:bCs w:val="0"/>
                      <w:color w:val="auto"/>
                      <w:sz w:val="21"/>
                      <w:szCs w:val="21"/>
                      <w:u w:val="none"/>
                    </w:rPr>
                    <w:t>2T</w:t>
                  </w:r>
                </w:p>
              </w:tc>
              <w:tc>
                <w:tcPr>
                  <w:tcW w:w="1241" w:type="pct"/>
                  <w:noWrap w:val="0"/>
                  <w:vAlign w:val="center"/>
                </w:tcPr>
                <w:p w14:paraId="6818634F">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净化纯水</w:t>
                  </w:r>
                </w:p>
              </w:tc>
              <w:tc>
                <w:tcPr>
                  <w:tcW w:w="1241" w:type="pct"/>
                  <w:noWrap w:val="0"/>
                  <w:vAlign w:val="center"/>
                </w:tcPr>
                <w:p w14:paraId="21B0E68E">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1</w:t>
                  </w:r>
                  <w:r>
                    <w:rPr>
                      <w:rFonts w:hint="eastAsia" w:ascii="Times New Roman" w:hAnsi="Times New Roman" w:cs="Times New Roman"/>
                      <w:b w:val="0"/>
                      <w:bCs w:val="0"/>
                      <w:color w:val="auto"/>
                      <w:sz w:val="21"/>
                      <w:szCs w:val="21"/>
                      <w:u w:val="none"/>
                      <w:lang w:val="en-US" w:eastAsia="zh-CN"/>
                    </w:rPr>
                    <w:t>台</w:t>
                  </w:r>
                  <w:r>
                    <w:rPr>
                      <w:rFonts w:hint="eastAsia" w:ascii="Times New Roman" w:hAnsi="Times New Roman" w:eastAsia="宋体" w:cs="Times New Roman"/>
                      <w:b w:val="0"/>
                      <w:bCs w:val="0"/>
                      <w:color w:val="auto"/>
                      <w:sz w:val="21"/>
                      <w:szCs w:val="21"/>
                      <w:u w:val="none"/>
                      <w:lang w:val="en-US" w:eastAsia="zh-CN"/>
                    </w:rPr>
                    <w:t>（现</w:t>
                  </w:r>
                  <w:r>
                    <w:rPr>
                      <w:rFonts w:hint="eastAsia" w:ascii="Times New Roman" w:hAnsi="Times New Roman" w:cs="Times New Roman"/>
                      <w:b w:val="0"/>
                      <w:bCs w:val="0"/>
                      <w:color w:val="auto"/>
                      <w:sz w:val="21"/>
                      <w:szCs w:val="21"/>
                      <w:u w:val="none"/>
                      <w:lang w:val="en-US" w:eastAsia="zh-CN"/>
                    </w:rPr>
                    <w:t>有</w:t>
                  </w:r>
                  <w:r>
                    <w:rPr>
                      <w:rFonts w:hint="eastAsia" w:ascii="Times New Roman" w:hAnsi="Times New Roman" w:eastAsia="宋体" w:cs="Times New Roman"/>
                      <w:b w:val="0"/>
                      <w:bCs w:val="0"/>
                      <w:color w:val="auto"/>
                      <w:sz w:val="21"/>
                      <w:szCs w:val="21"/>
                      <w:u w:val="none"/>
                      <w:lang w:val="en-US" w:eastAsia="zh-CN"/>
                    </w:rPr>
                    <w:t>）</w:t>
                  </w:r>
                </w:p>
              </w:tc>
            </w:tr>
            <w:tr w14:paraId="53A3D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5" w:type="pct"/>
                  <w:noWrap w:val="0"/>
                  <w:vAlign w:val="center"/>
                </w:tcPr>
                <w:p w14:paraId="4EA4555D">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rPr>
                    <w:t>18</w:t>
                  </w:r>
                </w:p>
              </w:tc>
              <w:tc>
                <w:tcPr>
                  <w:tcW w:w="1259" w:type="pct"/>
                  <w:gridSpan w:val="2"/>
                  <w:noWrap w:val="0"/>
                  <w:vAlign w:val="center"/>
                </w:tcPr>
                <w:p w14:paraId="4097CB3C">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rPr>
                    <w:t>空压机</w:t>
                  </w:r>
                  <w:r>
                    <w:rPr>
                      <w:rFonts w:hint="eastAsia" w:ascii="Times New Roman" w:hAnsi="Times New Roman" w:eastAsia="宋体" w:cs="Times New Roman"/>
                      <w:b w:val="0"/>
                      <w:bCs w:val="0"/>
                      <w:color w:val="auto"/>
                      <w:sz w:val="21"/>
                      <w:szCs w:val="21"/>
                      <w:u w:val="none"/>
                      <w:lang w:val="en-US" w:eastAsia="zh-CN"/>
                    </w:rPr>
                    <w:t>/真空机</w:t>
                  </w:r>
                </w:p>
              </w:tc>
              <w:tc>
                <w:tcPr>
                  <w:tcW w:w="910" w:type="pct"/>
                  <w:noWrap w:val="0"/>
                  <w:vAlign w:val="center"/>
                </w:tcPr>
                <w:p w14:paraId="22DFA7E8">
                  <w:pPr>
                    <w:adjustRightInd w:val="0"/>
                    <w:snapToGrid w:val="0"/>
                    <w:spacing w:line="240" w:lineRule="atLeast"/>
                    <w:ind w:firstLine="0" w:firstLineChars="0"/>
                    <w:jc w:val="center"/>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rPr>
                    <w:t>0.8Mpa</w:t>
                  </w:r>
                </w:p>
              </w:tc>
              <w:tc>
                <w:tcPr>
                  <w:tcW w:w="1241" w:type="pct"/>
                  <w:noWrap w:val="0"/>
                  <w:vAlign w:val="center"/>
                </w:tcPr>
                <w:p w14:paraId="21D797BE">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压缩空气</w:t>
                  </w:r>
                </w:p>
              </w:tc>
              <w:tc>
                <w:tcPr>
                  <w:tcW w:w="1241" w:type="pct"/>
                  <w:noWrap w:val="0"/>
                  <w:vAlign w:val="center"/>
                </w:tcPr>
                <w:p w14:paraId="54D67BFD">
                  <w:pPr>
                    <w:adjustRightInd w:val="0"/>
                    <w:snapToGrid w:val="0"/>
                    <w:spacing w:line="240" w:lineRule="atLeast"/>
                    <w:ind w:firstLine="0" w:firstLineChars="0"/>
                    <w:jc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6</w:t>
                  </w:r>
                  <w:r>
                    <w:rPr>
                      <w:rFonts w:hint="eastAsia" w:ascii="Times New Roman" w:hAnsi="Times New Roman" w:cs="Times New Roman"/>
                      <w:b w:val="0"/>
                      <w:bCs w:val="0"/>
                      <w:color w:val="auto"/>
                      <w:sz w:val="21"/>
                      <w:szCs w:val="21"/>
                      <w:u w:val="none"/>
                      <w:lang w:val="en-US" w:eastAsia="zh-CN"/>
                    </w:rPr>
                    <w:t>台</w:t>
                  </w:r>
                  <w:r>
                    <w:rPr>
                      <w:rFonts w:hint="eastAsia" w:ascii="Times New Roman" w:hAnsi="Times New Roman" w:eastAsia="宋体" w:cs="Times New Roman"/>
                      <w:b w:val="0"/>
                      <w:bCs w:val="0"/>
                      <w:color w:val="auto"/>
                      <w:sz w:val="21"/>
                      <w:szCs w:val="21"/>
                      <w:u w:val="none"/>
                      <w:lang w:val="en-US" w:eastAsia="zh-CN"/>
                    </w:rPr>
                    <w:t>（现</w:t>
                  </w:r>
                  <w:r>
                    <w:rPr>
                      <w:rFonts w:hint="eastAsia" w:ascii="Times New Roman" w:hAnsi="Times New Roman" w:cs="Times New Roman"/>
                      <w:b w:val="0"/>
                      <w:bCs w:val="0"/>
                      <w:color w:val="auto"/>
                      <w:sz w:val="21"/>
                      <w:szCs w:val="21"/>
                      <w:u w:val="none"/>
                      <w:lang w:val="en-US" w:eastAsia="zh-CN"/>
                    </w:rPr>
                    <w:t>有</w:t>
                  </w:r>
                  <w:r>
                    <w:rPr>
                      <w:rFonts w:hint="eastAsia" w:ascii="Times New Roman" w:hAnsi="Times New Roman" w:eastAsia="宋体" w:cs="Times New Roman"/>
                      <w:b w:val="0"/>
                      <w:bCs w:val="0"/>
                      <w:color w:val="auto"/>
                      <w:sz w:val="21"/>
                      <w:szCs w:val="21"/>
                      <w:u w:val="none"/>
                      <w:lang w:val="en-US" w:eastAsia="zh-CN"/>
                    </w:rPr>
                    <w:t>3</w:t>
                  </w:r>
                  <w:r>
                    <w:rPr>
                      <w:rFonts w:hint="eastAsia" w:ascii="Times New Roman" w:hAnsi="Times New Roman" w:cs="Times New Roman"/>
                      <w:b w:val="0"/>
                      <w:bCs w:val="0"/>
                      <w:color w:val="auto"/>
                      <w:sz w:val="21"/>
                      <w:szCs w:val="21"/>
                      <w:u w:val="none"/>
                      <w:lang w:val="en-US" w:eastAsia="zh-CN"/>
                    </w:rPr>
                    <w:t>，新增</w:t>
                  </w:r>
                  <w:r>
                    <w:rPr>
                      <w:rFonts w:hint="eastAsia" w:ascii="Times New Roman" w:hAnsi="Times New Roman" w:eastAsia="宋体" w:cs="Times New Roman"/>
                      <w:b w:val="0"/>
                      <w:bCs w:val="0"/>
                      <w:color w:val="auto"/>
                      <w:sz w:val="21"/>
                      <w:szCs w:val="21"/>
                      <w:u w:val="none"/>
                      <w:lang w:val="en-US" w:eastAsia="zh-CN"/>
                    </w:rPr>
                    <w:t>3）</w:t>
                  </w:r>
                </w:p>
              </w:tc>
            </w:tr>
            <w:tr w14:paraId="557D4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45" w:type="pct"/>
                  <w:vMerge w:val="restart"/>
                  <w:noWrap w:val="0"/>
                  <w:vAlign w:val="center"/>
                </w:tcPr>
                <w:p w14:paraId="3DDE65AD">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19</w:t>
                  </w:r>
                </w:p>
              </w:tc>
              <w:tc>
                <w:tcPr>
                  <w:tcW w:w="410" w:type="pct"/>
                  <w:vMerge w:val="restart"/>
                  <w:noWrap w:val="0"/>
                  <w:vAlign w:val="center"/>
                </w:tcPr>
                <w:p w14:paraId="20CEED8F">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NMP回收系统</w:t>
                  </w:r>
                </w:p>
              </w:tc>
              <w:tc>
                <w:tcPr>
                  <w:tcW w:w="848" w:type="pct"/>
                  <w:noWrap w:val="0"/>
                  <w:vAlign w:val="center"/>
                </w:tcPr>
                <w:p w14:paraId="7EAE4EED">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回收主机</w:t>
                  </w:r>
                </w:p>
              </w:tc>
              <w:tc>
                <w:tcPr>
                  <w:tcW w:w="910" w:type="pct"/>
                  <w:noWrap w:val="0"/>
                  <w:vAlign w:val="center"/>
                </w:tcPr>
                <w:p w14:paraId="143B02B6">
                  <w:pPr>
                    <w:adjustRightInd w:val="0"/>
                    <w:snapToGrid w:val="0"/>
                    <w:spacing w:line="240" w:lineRule="atLeast"/>
                    <w:ind w:firstLine="0" w:firstLineChars="0"/>
                    <w:jc w:val="center"/>
                    <w:rPr>
                      <w:rFonts w:hint="eastAsia" w:ascii="Times New Roman" w:hAnsi="Times New Roman" w:cs="Times New Roman"/>
                      <w:b w:val="0"/>
                      <w:bCs w:val="0"/>
                      <w:color w:val="auto"/>
                      <w:sz w:val="21"/>
                      <w:szCs w:val="21"/>
                      <w:u w:val="none"/>
                    </w:rPr>
                  </w:pPr>
                  <w:r>
                    <w:rPr>
                      <w:rFonts w:hint="eastAsia" w:ascii="Times New Roman" w:hAnsi="Times New Roman" w:cs="Times New Roman"/>
                      <w:b w:val="0"/>
                      <w:bCs w:val="0"/>
                      <w:color w:val="auto"/>
                      <w:sz w:val="21"/>
                      <w:szCs w:val="21"/>
                      <w:u w:val="none"/>
                    </w:rPr>
                    <w:t>/</w:t>
                  </w:r>
                </w:p>
              </w:tc>
              <w:tc>
                <w:tcPr>
                  <w:tcW w:w="1241" w:type="pct"/>
                  <w:noWrap w:val="0"/>
                  <w:vAlign w:val="center"/>
                </w:tcPr>
                <w:p w14:paraId="556CFCA7">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NMP溶剂回收</w:t>
                  </w:r>
                </w:p>
              </w:tc>
              <w:tc>
                <w:tcPr>
                  <w:tcW w:w="1241" w:type="pct"/>
                  <w:noWrap w:val="0"/>
                  <w:vAlign w:val="center"/>
                </w:tcPr>
                <w:p w14:paraId="1795E1B5">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3</w:t>
                  </w:r>
                  <w:r>
                    <w:rPr>
                      <w:rFonts w:hint="eastAsia" w:ascii="Times New Roman" w:hAnsi="Times New Roman" w:cs="Times New Roman"/>
                      <w:b w:val="0"/>
                      <w:bCs w:val="0"/>
                      <w:color w:val="auto"/>
                      <w:sz w:val="21"/>
                      <w:szCs w:val="21"/>
                      <w:u w:val="none"/>
                      <w:lang w:val="en-US" w:eastAsia="zh-CN"/>
                    </w:rPr>
                    <w:t>台</w:t>
                  </w:r>
                  <w:r>
                    <w:rPr>
                      <w:rFonts w:hint="eastAsia" w:ascii="Times New Roman" w:hAnsi="Times New Roman" w:eastAsia="宋体" w:cs="Times New Roman"/>
                      <w:b w:val="0"/>
                      <w:bCs w:val="0"/>
                      <w:color w:val="auto"/>
                      <w:sz w:val="21"/>
                      <w:szCs w:val="21"/>
                      <w:u w:val="none"/>
                      <w:lang w:val="en-US" w:eastAsia="zh-CN"/>
                    </w:rPr>
                    <w:t>（现</w:t>
                  </w:r>
                  <w:r>
                    <w:rPr>
                      <w:rFonts w:hint="eastAsia" w:ascii="Times New Roman" w:hAnsi="Times New Roman" w:cs="Times New Roman"/>
                      <w:b w:val="0"/>
                      <w:bCs w:val="0"/>
                      <w:color w:val="auto"/>
                      <w:sz w:val="21"/>
                      <w:szCs w:val="21"/>
                      <w:u w:val="none"/>
                      <w:lang w:val="en-US" w:eastAsia="zh-CN"/>
                    </w:rPr>
                    <w:t>有</w:t>
                  </w:r>
                  <w:r>
                    <w:rPr>
                      <w:rFonts w:hint="eastAsia" w:ascii="Times New Roman" w:hAnsi="Times New Roman" w:eastAsia="宋体" w:cs="Times New Roman"/>
                      <w:b w:val="0"/>
                      <w:bCs w:val="0"/>
                      <w:color w:val="auto"/>
                      <w:sz w:val="21"/>
                      <w:szCs w:val="21"/>
                      <w:u w:val="none"/>
                      <w:lang w:val="en-US" w:eastAsia="zh-CN"/>
                    </w:rPr>
                    <w:t>1</w:t>
                  </w:r>
                  <w:r>
                    <w:rPr>
                      <w:rFonts w:hint="eastAsia" w:ascii="Times New Roman" w:hAnsi="Times New Roman" w:cs="Times New Roman"/>
                      <w:b w:val="0"/>
                      <w:bCs w:val="0"/>
                      <w:color w:val="auto"/>
                      <w:sz w:val="21"/>
                      <w:szCs w:val="21"/>
                      <w:u w:val="none"/>
                      <w:lang w:val="en-US" w:eastAsia="zh-CN"/>
                    </w:rPr>
                    <w:t>，新增</w:t>
                  </w:r>
                  <w:r>
                    <w:rPr>
                      <w:rFonts w:hint="eastAsia" w:ascii="Times New Roman" w:hAnsi="Times New Roman" w:eastAsia="宋体" w:cs="Times New Roman"/>
                      <w:b w:val="0"/>
                      <w:bCs w:val="0"/>
                      <w:color w:val="auto"/>
                      <w:sz w:val="21"/>
                      <w:szCs w:val="21"/>
                      <w:u w:val="none"/>
                      <w:lang w:val="en-US" w:eastAsia="zh-CN"/>
                    </w:rPr>
                    <w:t>2）</w:t>
                  </w:r>
                </w:p>
              </w:tc>
            </w:tr>
            <w:tr w14:paraId="763B4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345" w:type="pct"/>
                  <w:vMerge w:val="continue"/>
                  <w:noWrap w:val="0"/>
                  <w:vAlign w:val="center"/>
                </w:tcPr>
                <w:p w14:paraId="7671B302">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p>
              </w:tc>
              <w:tc>
                <w:tcPr>
                  <w:tcW w:w="410" w:type="pct"/>
                  <w:vMerge w:val="continue"/>
                  <w:noWrap w:val="0"/>
                  <w:vAlign w:val="center"/>
                </w:tcPr>
                <w:p w14:paraId="2F2C11D8">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p>
              </w:tc>
              <w:tc>
                <w:tcPr>
                  <w:tcW w:w="848" w:type="pct"/>
                  <w:noWrap w:val="0"/>
                  <w:vAlign w:val="center"/>
                </w:tcPr>
                <w:p w14:paraId="71A377A3">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节能装置</w:t>
                  </w:r>
                </w:p>
              </w:tc>
              <w:tc>
                <w:tcPr>
                  <w:tcW w:w="910" w:type="pct"/>
                  <w:noWrap w:val="0"/>
                  <w:vAlign w:val="center"/>
                </w:tcPr>
                <w:p w14:paraId="6ABF965F">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w:t>
                  </w:r>
                </w:p>
              </w:tc>
              <w:tc>
                <w:tcPr>
                  <w:tcW w:w="1241" w:type="pct"/>
                  <w:noWrap w:val="0"/>
                  <w:vAlign w:val="center"/>
                </w:tcPr>
                <w:p w14:paraId="2806FAC2">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节能</w:t>
                  </w:r>
                </w:p>
              </w:tc>
              <w:tc>
                <w:tcPr>
                  <w:tcW w:w="1241" w:type="pct"/>
                  <w:noWrap w:val="0"/>
                  <w:vAlign w:val="center"/>
                </w:tcPr>
                <w:p w14:paraId="41623AA1">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3</w:t>
                  </w:r>
                  <w:r>
                    <w:rPr>
                      <w:rFonts w:hint="eastAsia" w:ascii="Times New Roman" w:hAnsi="Times New Roman" w:cs="Times New Roman"/>
                      <w:b w:val="0"/>
                      <w:bCs w:val="0"/>
                      <w:color w:val="auto"/>
                      <w:sz w:val="21"/>
                      <w:szCs w:val="21"/>
                      <w:u w:val="none"/>
                      <w:lang w:val="en-US" w:eastAsia="zh-CN"/>
                    </w:rPr>
                    <w:t>台</w:t>
                  </w:r>
                  <w:r>
                    <w:rPr>
                      <w:rFonts w:hint="eastAsia" w:ascii="Times New Roman" w:hAnsi="Times New Roman" w:eastAsia="宋体" w:cs="Times New Roman"/>
                      <w:b w:val="0"/>
                      <w:bCs w:val="0"/>
                      <w:color w:val="auto"/>
                      <w:sz w:val="21"/>
                      <w:szCs w:val="21"/>
                      <w:u w:val="none"/>
                      <w:lang w:val="en-US" w:eastAsia="zh-CN"/>
                    </w:rPr>
                    <w:t>（现</w:t>
                  </w:r>
                  <w:r>
                    <w:rPr>
                      <w:rFonts w:hint="eastAsia" w:ascii="Times New Roman" w:hAnsi="Times New Roman" w:cs="Times New Roman"/>
                      <w:b w:val="0"/>
                      <w:bCs w:val="0"/>
                      <w:color w:val="auto"/>
                      <w:sz w:val="21"/>
                      <w:szCs w:val="21"/>
                      <w:u w:val="none"/>
                      <w:lang w:val="en-US" w:eastAsia="zh-CN"/>
                    </w:rPr>
                    <w:t>有</w:t>
                  </w:r>
                  <w:r>
                    <w:rPr>
                      <w:rFonts w:hint="eastAsia" w:ascii="Times New Roman" w:hAnsi="Times New Roman" w:eastAsia="宋体" w:cs="Times New Roman"/>
                      <w:b w:val="0"/>
                      <w:bCs w:val="0"/>
                      <w:color w:val="auto"/>
                      <w:sz w:val="21"/>
                      <w:szCs w:val="21"/>
                      <w:u w:val="none"/>
                      <w:lang w:val="en-US" w:eastAsia="zh-CN"/>
                    </w:rPr>
                    <w:t>1</w:t>
                  </w:r>
                  <w:r>
                    <w:rPr>
                      <w:rFonts w:hint="eastAsia" w:ascii="Times New Roman" w:hAnsi="Times New Roman" w:cs="Times New Roman"/>
                      <w:b w:val="0"/>
                      <w:bCs w:val="0"/>
                      <w:color w:val="auto"/>
                      <w:sz w:val="21"/>
                      <w:szCs w:val="21"/>
                      <w:u w:val="none"/>
                      <w:lang w:val="en-US" w:eastAsia="zh-CN"/>
                    </w:rPr>
                    <w:t>，新增</w:t>
                  </w:r>
                  <w:r>
                    <w:rPr>
                      <w:rFonts w:hint="eastAsia" w:ascii="Times New Roman" w:hAnsi="Times New Roman" w:eastAsia="宋体" w:cs="Times New Roman"/>
                      <w:b w:val="0"/>
                      <w:bCs w:val="0"/>
                      <w:color w:val="auto"/>
                      <w:sz w:val="21"/>
                      <w:szCs w:val="21"/>
                      <w:u w:val="none"/>
                      <w:lang w:val="en-US" w:eastAsia="zh-CN"/>
                    </w:rPr>
                    <w:t>2）</w:t>
                  </w:r>
                </w:p>
              </w:tc>
            </w:tr>
            <w:tr w14:paraId="7C9B6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45" w:type="pct"/>
                  <w:vMerge w:val="continue"/>
                  <w:noWrap w:val="0"/>
                  <w:vAlign w:val="center"/>
                </w:tcPr>
                <w:p w14:paraId="04EE9A0B">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p>
              </w:tc>
              <w:tc>
                <w:tcPr>
                  <w:tcW w:w="410" w:type="pct"/>
                  <w:vMerge w:val="continue"/>
                  <w:noWrap w:val="0"/>
                  <w:vAlign w:val="center"/>
                </w:tcPr>
                <w:p w14:paraId="76AABC0C">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p>
              </w:tc>
              <w:tc>
                <w:tcPr>
                  <w:tcW w:w="848" w:type="pct"/>
                  <w:noWrap w:val="0"/>
                  <w:vAlign w:val="center"/>
                </w:tcPr>
                <w:p w14:paraId="240E19DD">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智能控制系统</w:t>
                  </w:r>
                </w:p>
              </w:tc>
              <w:tc>
                <w:tcPr>
                  <w:tcW w:w="910" w:type="pct"/>
                  <w:noWrap w:val="0"/>
                  <w:vAlign w:val="center"/>
                </w:tcPr>
                <w:p w14:paraId="38E94E01">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w:t>
                  </w:r>
                </w:p>
              </w:tc>
              <w:tc>
                <w:tcPr>
                  <w:tcW w:w="1241" w:type="pct"/>
                  <w:noWrap w:val="0"/>
                  <w:vAlign w:val="center"/>
                </w:tcPr>
                <w:p w14:paraId="06E2D29A">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自动调节</w:t>
                  </w:r>
                </w:p>
              </w:tc>
              <w:tc>
                <w:tcPr>
                  <w:tcW w:w="1241" w:type="pct"/>
                  <w:noWrap w:val="0"/>
                  <w:vAlign w:val="center"/>
                </w:tcPr>
                <w:p w14:paraId="1918565C">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3</w:t>
                  </w:r>
                  <w:r>
                    <w:rPr>
                      <w:rFonts w:hint="eastAsia" w:ascii="Times New Roman" w:hAnsi="Times New Roman" w:cs="Times New Roman"/>
                      <w:b w:val="0"/>
                      <w:bCs w:val="0"/>
                      <w:color w:val="auto"/>
                      <w:sz w:val="21"/>
                      <w:szCs w:val="21"/>
                      <w:u w:val="none"/>
                      <w:lang w:val="en-US" w:eastAsia="zh-CN"/>
                    </w:rPr>
                    <w:t>台</w:t>
                  </w:r>
                  <w:r>
                    <w:rPr>
                      <w:rFonts w:hint="eastAsia" w:ascii="Times New Roman" w:hAnsi="Times New Roman" w:eastAsia="宋体" w:cs="Times New Roman"/>
                      <w:b w:val="0"/>
                      <w:bCs w:val="0"/>
                      <w:color w:val="auto"/>
                      <w:sz w:val="21"/>
                      <w:szCs w:val="21"/>
                      <w:u w:val="none"/>
                      <w:lang w:val="en-US" w:eastAsia="zh-CN"/>
                    </w:rPr>
                    <w:t>（现</w:t>
                  </w:r>
                  <w:r>
                    <w:rPr>
                      <w:rFonts w:hint="eastAsia" w:ascii="Times New Roman" w:hAnsi="Times New Roman" w:cs="Times New Roman"/>
                      <w:b w:val="0"/>
                      <w:bCs w:val="0"/>
                      <w:color w:val="auto"/>
                      <w:sz w:val="21"/>
                      <w:szCs w:val="21"/>
                      <w:u w:val="none"/>
                      <w:lang w:val="en-US" w:eastAsia="zh-CN"/>
                    </w:rPr>
                    <w:t>有</w:t>
                  </w:r>
                  <w:r>
                    <w:rPr>
                      <w:rFonts w:hint="eastAsia" w:ascii="Times New Roman" w:hAnsi="Times New Roman" w:eastAsia="宋体" w:cs="Times New Roman"/>
                      <w:b w:val="0"/>
                      <w:bCs w:val="0"/>
                      <w:color w:val="auto"/>
                      <w:sz w:val="21"/>
                      <w:szCs w:val="21"/>
                      <w:u w:val="none"/>
                      <w:lang w:val="en-US" w:eastAsia="zh-CN"/>
                    </w:rPr>
                    <w:t>1</w:t>
                  </w:r>
                  <w:r>
                    <w:rPr>
                      <w:rFonts w:hint="eastAsia" w:ascii="Times New Roman" w:hAnsi="Times New Roman" w:cs="Times New Roman"/>
                      <w:b w:val="0"/>
                      <w:bCs w:val="0"/>
                      <w:color w:val="auto"/>
                      <w:sz w:val="21"/>
                      <w:szCs w:val="21"/>
                      <w:u w:val="none"/>
                      <w:lang w:val="en-US" w:eastAsia="zh-CN"/>
                    </w:rPr>
                    <w:t>，新增</w:t>
                  </w:r>
                  <w:r>
                    <w:rPr>
                      <w:rFonts w:hint="eastAsia" w:ascii="Times New Roman" w:hAnsi="Times New Roman" w:eastAsia="宋体" w:cs="Times New Roman"/>
                      <w:b w:val="0"/>
                      <w:bCs w:val="0"/>
                      <w:color w:val="auto"/>
                      <w:sz w:val="21"/>
                      <w:szCs w:val="21"/>
                      <w:u w:val="none"/>
                      <w:lang w:val="en-US" w:eastAsia="zh-CN"/>
                    </w:rPr>
                    <w:t>2）</w:t>
                  </w:r>
                </w:p>
              </w:tc>
            </w:tr>
            <w:tr w14:paraId="1B2D8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45" w:type="pct"/>
                  <w:vMerge w:val="continue"/>
                  <w:noWrap w:val="0"/>
                  <w:vAlign w:val="center"/>
                </w:tcPr>
                <w:p w14:paraId="536D6074">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p>
              </w:tc>
              <w:tc>
                <w:tcPr>
                  <w:tcW w:w="410" w:type="pct"/>
                  <w:vMerge w:val="continue"/>
                  <w:noWrap w:val="0"/>
                  <w:vAlign w:val="center"/>
                </w:tcPr>
                <w:p w14:paraId="412C6EB0">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p>
              </w:tc>
              <w:tc>
                <w:tcPr>
                  <w:tcW w:w="848" w:type="pct"/>
                  <w:noWrap w:val="0"/>
                  <w:vAlign w:val="center"/>
                </w:tcPr>
                <w:p w14:paraId="04F59CD6">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风管系统</w:t>
                  </w:r>
                </w:p>
              </w:tc>
              <w:tc>
                <w:tcPr>
                  <w:tcW w:w="910" w:type="pct"/>
                  <w:noWrap w:val="0"/>
                  <w:vAlign w:val="center"/>
                </w:tcPr>
                <w:p w14:paraId="7CE98711">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10000m</w:t>
                  </w:r>
                  <w:r>
                    <w:rPr>
                      <w:rFonts w:hint="eastAsia" w:ascii="Times New Roman" w:hAnsi="Times New Roman" w:eastAsia="宋体" w:cs="Times New Roman"/>
                      <w:b w:val="0"/>
                      <w:bCs w:val="0"/>
                      <w:color w:val="auto"/>
                      <w:sz w:val="21"/>
                      <w:szCs w:val="21"/>
                      <w:u w:val="none"/>
                      <w:vertAlign w:val="superscript"/>
                    </w:rPr>
                    <w:t>3</w:t>
                  </w:r>
                </w:p>
              </w:tc>
              <w:tc>
                <w:tcPr>
                  <w:tcW w:w="1241" w:type="pct"/>
                  <w:noWrap w:val="0"/>
                  <w:vAlign w:val="center"/>
                </w:tcPr>
                <w:p w14:paraId="55EC06D0">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抽风</w:t>
                  </w:r>
                </w:p>
              </w:tc>
              <w:tc>
                <w:tcPr>
                  <w:tcW w:w="1241" w:type="pct"/>
                  <w:noWrap w:val="0"/>
                  <w:vAlign w:val="center"/>
                </w:tcPr>
                <w:p w14:paraId="3FF88893">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3</w:t>
                  </w:r>
                  <w:r>
                    <w:rPr>
                      <w:rFonts w:hint="eastAsia" w:ascii="Times New Roman" w:hAnsi="Times New Roman" w:cs="Times New Roman"/>
                      <w:b w:val="0"/>
                      <w:bCs w:val="0"/>
                      <w:color w:val="auto"/>
                      <w:sz w:val="21"/>
                      <w:szCs w:val="21"/>
                      <w:u w:val="none"/>
                      <w:lang w:val="en-US" w:eastAsia="zh-CN"/>
                    </w:rPr>
                    <w:t>台</w:t>
                  </w:r>
                  <w:r>
                    <w:rPr>
                      <w:rFonts w:hint="eastAsia" w:ascii="Times New Roman" w:hAnsi="Times New Roman" w:eastAsia="宋体" w:cs="Times New Roman"/>
                      <w:b w:val="0"/>
                      <w:bCs w:val="0"/>
                      <w:color w:val="auto"/>
                      <w:sz w:val="21"/>
                      <w:szCs w:val="21"/>
                      <w:u w:val="none"/>
                      <w:lang w:val="en-US" w:eastAsia="zh-CN"/>
                    </w:rPr>
                    <w:t>（现</w:t>
                  </w:r>
                  <w:r>
                    <w:rPr>
                      <w:rFonts w:hint="eastAsia" w:ascii="Times New Roman" w:hAnsi="Times New Roman" w:cs="Times New Roman"/>
                      <w:b w:val="0"/>
                      <w:bCs w:val="0"/>
                      <w:color w:val="auto"/>
                      <w:sz w:val="21"/>
                      <w:szCs w:val="21"/>
                      <w:u w:val="none"/>
                      <w:lang w:val="en-US" w:eastAsia="zh-CN"/>
                    </w:rPr>
                    <w:t>有</w:t>
                  </w:r>
                  <w:r>
                    <w:rPr>
                      <w:rFonts w:hint="eastAsia" w:ascii="Times New Roman" w:hAnsi="Times New Roman" w:eastAsia="宋体" w:cs="Times New Roman"/>
                      <w:b w:val="0"/>
                      <w:bCs w:val="0"/>
                      <w:color w:val="auto"/>
                      <w:sz w:val="21"/>
                      <w:szCs w:val="21"/>
                      <w:u w:val="none"/>
                      <w:lang w:val="en-US" w:eastAsia="zh-CN"/>
                    </w:rPr>
                    <w:t>1</w:t>
                  </w:r>
                  <w:r>
                    <w:rPr>
                      <w:rFonts w:hint="eastAsia" w:ascii="Times New Roman" w:hAnsi="Times New Roman" w:cs="Times New Roman"/>
                      <w:b w:val="0"/>
                      <w:bCs w:val="0"/>
                      <w:color w:val="auto"/>
                      <w:sz w:val="21"/>
                      <w:szCs w:val="21"/>
                      <w:u w:val="none"/>
                      <w:lang w:val="en-US" w:eastAsia="zh-CN"/>
                    </w:rPr>
                    <w:t>，新增</w:t>
                  </w:r>
                  <w:r>
                    <w:rPr>
                      <w:rFonts w:hint="eastAsia" w:ascii="Times New Roman" w:hAnsi="Times New Roman" w:eastAsia="宋体" w:cs="Times New Roman"/>
                      <w:b w:val="0"/>
                      <w:bCs w:val="0"/>
                      <w:color w:val="auto"/>
                      <w:sz w:val="21"/>
                      <w:szCs w:val="21"/>
                      <w:u w:val="none"/>
                      <w:lang w:val="en-US" w:eastAsia="zh-CN"/>
                    </w:rPr>
                    <w:t>2）</w:t>
                  </w:r>
                </w:p>
              </w:tc>
            </w:tr>
            <w:tr w14:paraId="53391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345" w:type="pct"/>
                  <w:vMerge w:val="continue"/>
                  <w:noWrap w:val="0"/>
                  <w:vAlign w:val="center"/>
                </w:tcPr>
                <w:p w14:paraId="116A96F8">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lang w:val="en-US" w:eastAsia="zh-CN"/>
                    </w:rPr>
                  </w:pPr>
                </w:p>
              </w:tc>
              <w:tc>
                <w:tcPr>
                  <w:tcW w:w="410" w:type="pct"/>
                  <w:vMerge w:val="continue"/>
                  <w:noWrap w:val="0"/>
                  <w:vAlign w:val="center"/>
                </w:tcPr>
                <w:p w14:paraId="32274B07">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p>
              </w:tc>
              <w:tc>
                <w:tcPr>
                  <w:tcW w:w="848" w:type="pct"/>
                  <w:noWrap w:val="0"/>
                  <w:vAlign w:val="center"/>
                </w:tcPr>
                <w:p w14:paraId="269ADA8C">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冷却循环水路</w:t>
                  </w:r>
                </w:p>
              </w:tc>
              <w:tc>
                <w:tcPr>
                  <w:tcW w:w="910" w:type="pct"/>
                  <w:noWrap w:val="0"/>
                  <w:vAlign w:val="center"/>
                </w:tcPr>
                <w:p w14:paraId="1DA24C91">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2t/h</w:t>
                  </w:r>
                </w:p>
              </w:tc>
              <w:tc>
                <w:tcPr>
                  <w:tcW w:w="1241" w:type="pct"/>
                  <w:noWrap w:val="0"/>
                  <w:vAlign w:val="center"/>
                </w:tcPr>
                <w:p w14:paraId="5EE4F9F2">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冷水制冷</w:t>
                  </w:r>
                </w:p>
              </w:tc>
              <w:tc>
                <w:tcPr>
                  <w:tcW w:w="1241" w:type="pct"/>
                  <w:noWrap w:val="0"/>
                  <w:vAlign w:val="center"/>
                </w:tcPr>
                <w:p w14:paraId="248934B0">
                  <w:pPr>
                    <w:adjustRightInd w:val="0"/>
                    <w:snapToGrid w:val="0"/>
                    <w:spacing w:line="240" w:lineRule="atLeast"/>
                    <w:ind w:firstLine="0" w:firstLineChars="0"/>
                    <w:jc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6</w:t>
                  </w:r>
                  <w:r>
                    <w:rPr>
                      <w:rFonts w:hint="eastAsia" w:ascii="Times New Roman" w:hAnsi="Times New Roman" w:cs="Times New Roman"/>
                      <w:b w:val="0"/>
                      <w:bCs w:val="0"/>
                      <w:color w:val="auto"/>
                      <w:sz w:val="21"/>
                      <w:szCs w:val="21"/>
                      <w:u w:val="none"/>
                      <w:lang w:val="en-US" w:eastAsia="zh-CN"/>
                    </w:rPr>
                    <w:t>台</w:t>
                  </w:r>
                  <w:r>
                    <w:rPr>
                      <w:rFonts w:hint="eastAsia" w:ascii="Times New Roman" w:hAnsi="Times New Roman" w:eastAsia="宋体" w:cs="Times New Roman"/>
                      <w:b w:val="0"/>
                      <w:bCs w:val="0"/>
                      <w:color w:val="auto"/>
                      <w:sz w:val="21"/>
                      <w:szCs w:val="21"/>
                      <w:u w:val="none"/>
                      <w:lang w:val="en-US" w:eastAsia="zh-CN"/>
                    </w:rPr>
                    <w:t>（现</w:t>
                  </w:r>
                  <w:r>
                    <w:rPr>
                      <w:rFonts w:hint="eastAsia" w:ascii="Times New Roman" w:hAnsi="Times New Roman" w:cs="Times New Roman"/>
                      <w:b w:val="0"/>
                      <w:bCs w:val="0"/>
                      <w:color w:val="auto"/>
                      <w:sz w:val="21"/>
                      <w:szCs w:val="21"/>
                      <w:u w:val="none"/>
                      <w:lang w:val="en-US" w:eastAsia="zh-CN"/>
                    </w:rPr>
                    <w:t>有</w:t>
                  </w:r>
                  <w:r>
                    <w:rPr>
                      <w:rFonts w:hint="eastAsia" w:ascii="Times New Roman" w:hAnsi="Times New Roman" w:eastAsia="宋体" w:cs="Times New Roman"/>
                      <w:b w:val="0"/>
                      <w:bCs w:val="0"/>
                      <w:color w:val="auto"/>
                      <w:sz w:val="21"/>
                      <w:szCs w:val="21"/>
                      <w:u w:val="none"/>
                      <w:lang w:val="en-US" w:eastAsia="zh-CN"/>
                    </w:rPr>
                    <w:t>3</w:t>
                  </w:r>
                  <w:r>
                    <w:rPr>
                      <w:rFonts w:hint="eastAsia" w:ascii="Times New Roman" w:hAnsi="Times New Roman" w:cs="Times New Roman"/>
                      <w:b w:val="0"/>
                      <w:bCs w:val="0"/>
                      <w:color w:val="auto"/>
                      <w:sz w:val="21"/>
                      <w:szCs w:val="21"/>
                      <w:u w:val="none"/>
                      <w:lang w:val="en-US" w:eastAsia="zh-CN"/>
                    </w:rPr>
                    <w:t>，新增</w:t>
                  </w:r>
                  <w:r>
                    <w:rPr>
                      <w:rFonts w:hint="eastAsia" w:ascii="Times New Roman" w:hAnsi="Times New Roman" w:eastAsia="宋体" w:cs="Times New Roman"/>
                      <w:b w:val="0"/>
                      <w:bCs w:val="0"/>
                      <w:color w:val="auto"/>
                      <w:sz w:val="21"/>
                      <w:szCs w:val="21"/>
                      <w:u w:val="none"/>
                      <w:lang w:val="en-US" w:eastAsia="zh-CN"/>
                    </w:rPr>
                    <w:t>3）</w:t>
                  </w:r>
                </w:p>
              </w:tc>
            </w:tr>
            <w:tr w14:paraId="5A4D1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5" w:type="pct"/>
                  <w:noWrap w:val="0"/>
                  <w:vAlign w:val="center"/>
                </w:tcPr>
                <w:p w14:paraId="6000B319">
                  <w:pPr>
                    <w:adjustRightInd w:val="0"/>
                    <w:snapToGrid w:val="0"/>
                    <w:spacing w:line="240" w:lineRule="atLeast"/>
                    <w:ind w:firstLine="0" w:firstLineChars="0"/>
                    <w:jc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20</w:t>
                  </w:r>
                </w:p>
              </w:tc>
              <w:tc>
                <w:tcPr>
                  <w:tcW w:w="1259" w:type="pct"/>
                  <w:gridSpan w:val="2"/>
                  <w:noWrap w:val="0"/>
                  <w:vAlign w:val="center"/>
                </w:tcPr>
                <w:p w14:paraId="699A052F">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除湿系统</w:t>
                  </w:r>
                </w:p>
              </w:tc>
              <w:tc>
                <w:tcPr>
                  <w:tcW w:w="910" w:type="pct"/>
                  <w:noWrap w:val="0"/>
                  <w:vAlign w:val="center"/>
                </w:tcPr>
                <w:p w14:paraId="7B6E7F88">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w:t>
                  </w:r>
                </w:p>
              </w:tc>
              <w:tc>
                <w:tcPr>
                  <w:tcW w:w="1241" w:type="pct"/>
                  <w:noWrap w:val="0"/>
                  <w:vAlign w:val="center"/>
                </w:tcPr>
                <w:p w14:paraId="183F007A">
                  <w:pPr>
                    <w:adjustRightInd w:val="0"/>
                    <w:snapToGrid w:val="0"/>
                    <w:spacing w:line="240" w:lineRule="atLeast"/>
                    <w:ind w:firstLine="0" w:firstLineChars="0"/>
                    <w:jc w:val="center"/>
                    <w:rPr>
                      <w:rFonts w:hint="eastAsia"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sz w:val="21"/>
                      <w:szCs w:val="21"/>
                      <w:u w:val="none"/>
                    </w:rPr>
                    <w:t>干燥空气</w:t>
                  </w:r>
                </w:p>
              </w:tc>
              <w:tc>
                <w:tcPr>
                  <w:tcW w:w="1241" w:type="pct"/>
                  <w:noWrap w:val="0"/>
                  <w:vAlign w:val="center"/>
                </w:tcPr>
                <w:p w14:paraId="5BE80A66">
                  <w:pPr>
                    <w:adjustRightInd w:val="0"/>
                    <w:snapToGrid w:val="0"/>
                    <w:spacing w:line="240" w:lineRule="atLeast"/>
                    <w:ind w:firstLine="0" w:firstLineChars="0"/>
                    <w:jc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4</w:t>
                  </w:r>
                  <w:r>
                    <w:rPr>
                      <w:rFonts w:hint="eastAsia" w:ascii="Times New Roman" w:hAnsi="Times New Roman" w:cs="Times New Roman"/>
                      <w:b w:val="0"/>
                      <w:bCs w:val="0"/>
                      <w:color w:val="auto"/>
                      <w:sz w:val="21"/>
                      <w:szCs w:val="21"/>
                      <w:u w:val="none"/>
                      <w:lang w:val="en-US" w:eastAsia="zh-CN"/>
                    </w:rPr>
                    <w:t>台</w:t>
                  </w:r>
                  <w:r>
                    <w:rPr>
                      <w:rFonts w:hint="eastAsia" w:ascii="Times New Roman" w:hAnsi="Times New Roman" w:eastAsia="宋体" w:cs="Times New Roman"/>
                      <w:b w:val="0"/>
                      <w:bCs w:val="0"/>
                      <w:color w:val="auto"/>
                      <w:sz w:val="21"/>
                      <w:szCs w:val="21"/>
                      <w:u w:val="none"/>
                      <w:lang w:val="en-US" w:eastAsia="zh-CN"/>
                    </w:rPr>
                    <w:t>（现</w:t>
                  </w:r>
                  <w:r>
                    <w:rPr>
                      <w:rFonts w:hint="eastAsia" w:ascii="Times New Roman" w:hAnsi="Times New Roman" w:cs="Times New Roman"/>
                      <w:b w:val="0"/>
                      <w:bCs w:val="0"/>
                      <w:color w:val="auto"/>
                      <w:sz w:val="21"/>
                      <w:szCs w:val="21"/>
                      <w:u w:val="none"/>
                      <w:lang w:val="en-US" w:eastAsia="zh-CN"/>
                    </w:rPr>
                    <w:t>有</w:t>
                  </w:r>
                  <w:r>
                    <w:rPr>
                      <w:rFonts w:hint="eastAsia" w:ascii="Times New Roman" w:hAnsi="Times New Roman" w:eastAsia="宋体" w:cs="Times New Roman"/>
                      <w:b w:val="0"/>
                      <w:bCs w:val="0"/>
                      <w:color w:val="auto"/>
                      <w:sz w:val="21"/>
                      <w:szCs w:val="21"/>
                      <w:u w:val="none"/>
                      <w:lang w:val="en-US" w:eastAsia="zh-CN"/>
                    </w:rPr>
                    <w:t>2</w:t>
                  </w:r>
                  <w:r>
                    <w:rPr>
                      <w:rFonts w:hint="eastAsia" w:ascii="Times New Roman" w:hAnsi="Times New Roman" w:cs="Times New Roman"/>
                      <w:b w:val="0"/>
                      <w:bCs w:val="0"/>
                      <w:color w:val="auto"/>
                      <w:sz w:val="21"/>
                      <w:szCs w:val="21"/>
                      <w:u w:val="none"/>
                      <w:lang w:val="en-US" w:eastAsia="zh-CN"/>
                    </w:rPr>
                    <w:t>，新增</w:t>
                  </w:r>
                  <w:r>
                    <w:rPr>
                      <w:rFonts w:hint="eastAsia" w:ascii="Times New Roman" w:hAnsi="Times New Roman" w:eastAsia="宋体" w:cs="Times New Roman"/>
                      <w:b w:val="0"/>
                      <w:bCs w:val="0"/>
                      <w:color w:val="auto"/>
                      <w:sz w:val="21"/>
                      <w:szCs w:val="21"/>
                      <w:u w:val="none"/>
                      <w:lang w:val="en-US" w:eastAsia="zh-CN"/>
                    </w:rPr>
                    <w:t>2）</w:t>
                  </w:r>
                </w:p>
              </w:tc>
            </w:tr>
          </w:tbl>
          <w:p w14:paraId="18AF74E4">
            <w:pPr>
              <w:ind w:firstLine="482"/>
              <w:rPr>
                <w:rFonts w:hint="eastAsia"/>
                <w:b/>
                <w:bCs/>
                <w:color w:val="auto"/>
                <w:u w:val="none" w:color="auto"/>
              </w:rPr>
            </w:pPr>
            <w:r>
              <w:rPr>
                <w:rFonts w:hint="eastAsia"/>
                <w:color w:val="auto"/>
                <w:u w:val="none" w:color="auto"/>
              </w:rPr>
              <w:t>项目使用的生产设备均不属于《产业结构调整指导目录（20</w:t>
            </w:r>
            <w:r>
              <w:rPr>
                <w:rFonts w:hint="eastAsia"/>
                <w:color w:val="auto"/>
                <w:u w:val="none" w:color="auto"/>
                <w:lang w:val="en-US" w:eastAsia="zh-CN"/>
              </w:rPr>
              <w:t>24</w:t>
            </w:r>
            <w:r>
              <w:rPr>
                <w:rFonts w:hint="eastAsia"/>
                <w:color w:val="auto"/>
                <w:u w:val="none" w:color="auto"/>
              </w:rPr>
              <w:t>年本）》中限制、淘汰类，符合国家产业政策要求。</w:t>
            </w:r>
          </w:p>
          <w:p w14:paraId="5133EE0A">
            <w:pPr>
              <w:ind w:firstLine="482"/>
              <w:rPr>
                <w:b/>
                <w:bCs/>
                <w:color w:val="auto"/>
                <w:u w:val="none" w:color="auto"/>
              </w:rPr>
            </w:pPr>
            <w:r>
              <w:rPr>
                <w:rFonts w:hint="eastAsia"/>
                <w:b/>
                <w:bCs/>
                <w:color w:val="auto"/>
                <w:u w:val="none" w:color="auto"/>
              </w:rPr>
              <w:t>（五）公用工程</w:t>
            </w:r>
          </w:p>
          <w:p w14:paraId="7C79EE89">
            <w:pPr>
              <w:bidi w:val="0"/>
              <w:rPr>
                <w:color w:val="auto"/>
                <w:u w:val="none" w:color="auto"/>
              </w:rPr>
            </w:pPr>
            <w:r>
              <w:rPr>
                <w:rFonts w:hint="eastAsia"/>
                <w:color w:val="auto"/>
                <w:u w:val="none" w:color="auto"/>
              </w:rPr>
              <w:t>1、</w:t>
            </w:r>
            <w:r>
              <w:rPr>
                <w:color w:val="auto"/>
                <w:u w:val="none" w:color="auto"/>
              </w:rPr>
              <w:t>厂区供水</w:t>
            </w:r>
          </w:p>
          <w:p w14:paraId="2B42D56B">
            <w:pPr>
              <w:bidi w:val="0"/>
              <w:rPr>
                <w:rFonts w:hint="eastAsia"/>
                <w:color w:val="auto"/>
                <w:u w:val="none" w:color="auto"/>
                <w:lang w:eastAsia="zh-CN"/>
              </w:rPr>
            </w:pPr>
            <w:r>
              <w:rPr>
                <w:color w:val="auto"/>
                <w:u w:val="none" w:color="auto"/>
              </w:rPr>
              <w:t>本项目用水主要来自生产用水、生活用水</w:t>
            </w:r>
            <w:r>
              <w:rPr>
                <w:rFonts w:hint="eastAsia"/>
                <w:color w:val="auto"/>
                <w:u w:val="none" w:color="auto"/>
                <w:lang w:eastAsia="zh-CN"/>
              </w:rPr>
              <w:t>，</w:t>
            </w:r>
            <w:r>
              <w:rPr>
                <w:color w:val="auto"/>
                <w:u w:val="none" w:color="auto"/>
              </w:rPr>
              <w:t>由市政</w:t>
            </w:r>
            <w:r>
              <w:rPr>
                <w:rFonts w:hint="eastAsia"/>
                <w:color w:val="auto"/>
                <w:u w:val="none" w:color="auto"/>
              </w:rPr>
              <w:t>自来水厂</w:t>
            </w:r>
            <w:r>
              <w:rPr>
                <w:color w:val="auto"/>
                <w:u w:val="none" w:color="auto"/>
              </w:rPr>
              <w:t>供水，依托</w:t>
            </w:r>
            <w:r>
              <w:rPr>
                <w:rFonts w:hint="eastAsia"/>
                <w:color w:val="auto"/>
                <w:u w:val="none" w:color="auto"/>
                <w:lang w:val="en-US" w:eastAsia="zh-CN"/>
              </w:rPr>
              <w:t>新田县工业园</w:t>
            </w:r>
            <w:r>
              <w:rPr>
                <w:color w:val="auto"/>
                <w:u w:val="none" w:color="auto"/>
              </w:rPr>
              <w:t>已建供水系统</w:t>
            </w:r>
            <w:r>
              <w:rPr>
                <w:rFonts w:hint="eastAsia"/>
                <w:color w:val="auto"/>
                <w:u w:val="none" w:color="auto"/>
                <w:lang w:eastAsia="zh-CN"/>
              </w:rPr>
              <w:t>；生产用水包括负极配料用水、冷却系统补水、清洗用水（配料间地面清扫拖把冲洗）、电池外壳清洗排水等。</w:t>
            </w:r>
          </w:p>
          <w:p w14:paraId="16882BC9">
            <w:pPr>
              <w:bidi w:val="0"/>
              <w:rPr>
                <w:color w:val="auto"/>
                <w:u w:val="none" w:color="auto"/>
              </w:rPr>
            </w:pPr>
            <w:r>
              <w:rPr>
                <w:rFonts w:hint="eastAsia"/>
                <w:color w:val="auto"/>
                <w:u w:val="none" w:color="auto"/>
              </w:rPr>
              <w:t>项目</w:t>
            </w:r>
            <w:r>
              <w:rPr>
                <w:rFonts w:hint="eastAsia"/>
                <w:color w:val="auto"/>
                <w:u w:val="none" w:color="auto"/>
                <w:lang w:eastAsia="zh-CN"/>
              </w:rPr>
              <w:t>负极配料</w:t>
            </w:r>
            <w:r>
              <w:rPr>
                <w:rFonts w:hint="eastAsia"/>
                <w:color w:val="auto"/>
                <w:u w:val="none" w:color="auto"/>
              </w:rPr>
              <w:t>生产需使用</w:t>
            </w:r>
            <w:r>
              <w:rPr>
                <w:rFonts w:hint="eastAsia"/>
                <w:color w:val="auto"/>
                <w:u w:val="none" w:color="auto"/>
                <w:lang w:eastAsia="zh-CN"/>
              </w:rPr>
              <w:t>纯水</w:t>
            </w:r>
            <w:r>
              <w:rPr>
                <w:rFonts w:hint="eastAsia"/>
                <w:color w:val="auto"/>
                <w:u w:val="none" w:color="auto"/>
              </w:rPr>
              <w:t>，</w:t>
            </w:r>
            <w:r>
              <w:rPr>
                <w:color w:val="auto"/>
                <w:u w:val="none" w:color="auto"/>
              </w:rPr>
              <w:t>厂内设置1台处理能力为</w:t>
            </w:r>
            <w:r>
              <w:rPr>
                <w:rFonts w:hint="eastAsia"/>
                <w:color w:val="auto"/>
                <w:u w:val="none" w:color="auto"/>
              </w:rPr>
              <w:t>2</w:t>
            </w:r>
            <w:r>
              <w:rPr>
                <w:color w:val="auto"/>
                <w:u w:val="none" w:color="auto"/>
              </w:rPr>
              <w:t>t/h的纯水装置，采用二次反渗透工艺，自来水透过率按70%计算。纯水制备工艺见下图。</w:t>
            </w:r>
          </w:p>
          <w:p w14:paraId="336EA009">
            <w:pPr>
              <w:autoSpaceDE w:val="0"/>
              <w:autoSpaceDN w:val="0"/>
              <w:adjustRightInd w:val="0"/>
              <w:snapToGrid w:val="0"/>
              <w:ind w:firstLine="0" w:firstLineChars="0"/>
              <w:jc w:val="center"/>
              <w:rPr>
                <w:rFonts w:hint="eastAsia" w:eastAsia="宋体"/>
                <w:color w:val="auto"/>
                <w:u w:val="none" w:color="auto"/>
                <w:lang w:eastAsia="zh-CN"/>
              </w:rPr>
            </w:pPr>
            <w:r>
              <w:rPr>
                <w:rFonts w:hint="eastAsia" w:eastAsia="宋体"/>
                <w:color w:val="auto"/>
                <w:u w:val="none" w:color="auto"/>
                <w:lang w:eastAsia="zh-CN"/>
              </w:rPr>
              <w:drawing>
                <wp:inline distT="0" distB="0" distL="114300" distR="114300">
                  <wp:extent cx="4095750" cy="2038350"/>
                  <wp:effectExtent l="0" t="0" r="0" b="0"/>
                  <wp:docPr id="2" name="图片 2" descr="1741164365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41164365765"/>
                          <pic:cNvPicPr>
                            <a:picLocks noChangeAspect="1"/>
                          </pic:cNvPicPr>
                        </pic:nvPicPr>
                        <pic:blipFill>
                          <a:blip r:embed="rId10"/>
                          <a:stretch>
                            <a:fillRect/>
                          </a:stretch>
                        </pic:blipFill>
                        <pic:spPr>
                          <a:xfrm>
                            <a:off x="0" y="0"/>
                            <a:ext cx="4095750" cy="2038350"/>
                          </a:xfrm>
                          <a:prstGeom prst="rect">
                            <a:avLst/>
                          </a:prstGeom>
                        </pic:spPr>
                      </pic:pic>
                    </a:graphicData>
                  </a:graphic>
                </wp:inline>
              </w:drawing>
            </w:r>
          </w:p>
          <w:p w14:paraId="30E5AB32">
            <w:pPr>
              <w:ind w:firstLine="482"/>
              <w:jc w:val="center"/>
              <w:rPr>
                <w:color w:val="auto"/>
                <w:u w:val="none" w:color="auto"/>
              </w:rPr>
            </w:pPr>
            <w:r>
              <w:rPr>
                <w:b/>
                <w:color w:val="auto"/>
                <w:u w:val="none" w:color="auto"/>
              </w:rPr>
              <w:t>图</w:t>
            </w:r>
            <w:r>
              <w:rPr>
                <w:rFonts w:hint="eastAsia"/>
                <w:b/>
                <w:color w:val="auto"/>
                <w:u w:val="none" w:color="auto"/>
              </w:rPr>
              <w:t>2</w:t>
            </w:r>
            <w:r>
              <w:rPr>
                <w:b/>
                <w:color w:val="auto"/>
                <w:u w:val="none" w:color="auto"/>
              </w:rPr>
              <w:t>-1项目软水制备工艺流程图</w:t>
            </w:r>
          </w:p>
          <w:p w14:paraId="08C3C735">
            <w:pPr>
              <w:bidi w:val="0"/>
              <w:rPr>
                <w:color w:val="auto"/>
                <w:u w:val="none" w:color="auto"/>
              </w:rPr>
            </w:pPr>
            <w:r>
              <w:rPr>
                <w:rFonts w:hint="eastAsia"/>
                <w:color w:val="auto"/>
                <w:u w:val="none" w:color="auto"/>
              </w:rPr>
              <w:t>2、</w:t>
            </w:r>
            <w:r>
              <w:rPr>
                <w:color w:val="auto"/>
                <w:u w:val="none" w:color="auto"/>
              </w:rPr>
              <w:t>厂区排水</w:t>
            </w:r>
          </w:p>
          <w:p w14:paraId="71DBA1B4">
            <w:pPr>
              <w:bidi w:val="0"/>
              <w:rPr>
                <w:color w:val="auto"/>
                <w:u w:val="none" w:color="auto"/>
              </w:rPr>
            </w:pPr>
            <w:r>
              <w:rPr>
                <w:color w:val="auto"/>
                <w:u w:val="none" w:color="auto"/>
              </w:rPr>
              <w:t>项目厂区实施雨污分流，其中厂内雨水经收集后排入</w:t>
            </w:r>
            <w:r>
              <w:rPr>
                <w:rFonts w:hint="eastAsia"/>
                <w:color w:val="auto"/>
                <w:u w:val="none" w:color="auto"/>
              </w:rPr>
              <w:t>园区</w:t>
            </w:r>
            <w:r>
              <w:rPr>
                <w:color w:val="auto"/>
                <w:u w:val="none" w:color="auto"/>
              </w:rPr>
              <w:t>雨水系统</w:t>
            </w:r>
            <w:r>
              <w:rPr>
                <w:rFonts w:hint="eastAsia"/>
                <w:color w:val="auto"/>
                <w:u w:val="none" w:color="auto"/>
                <w:lang w:eastAsia="zh-CN"/>
              </w:rPr>
              <w:t>；</w:t>
            </w:r>
            <w:r>
              <w:rPr>
                <w:rFonts w:hint="eastAsia"/>
                <w:color w:val="auto"/>
                <w:u w:val="none" w:color="auto"/>
              </w:rPr>
              <w:t>纯水制备浓水</w:t>
            </w:r>
            <w:r>
              <w:rPr>
                <w:rFonts w:hint="eastAsia"/>
                <w:color w:val="auto"/>
                <w:u w:val="none" w:color="auto"/>
                <w:lang w:eastAsia="zh-CN"/>
              </w:rPr>
              <w:t>及</w:t>
            </w:r>
            <w:r>
              <w:rPr>
                <w:rFonts w:hint="eastAsia"/>
                <w:color w:val="auto"/>
                <w:u w:val="none" w:color="auto"/>
              </w:rPr>
              <w:t>定期更换冷却循环水</w:t>
            </w:r>
            <w:r>
              <w:rPr>
                <w:rFonts w:hint="eastAsia"/>
                <w:color w:val="auto"/>
                <w:u w:val="none" w:color="auto"/>
                <w:lang w:eastAsia="zh-CN"/>
              </w:rPr>
              <w:t>为清净下水可直接</w:t>
            </w:r>
            <w:r>
              <w:rPr>
                <w:rFonts w:hint="eastAsia"/>
                <w:color w:val="auto"/>
                <w:u w:val="none" w:color="auto"/>
              </w:rPr>
              <w:t>排入</w:t>
            </w:r>
            <w:r>
              <w:rPr>
                <w:rFonts w:hint="eastAsia"/>
                <w:color w:val="auto"/>
                <w:u w:val="none" w:color="auto"/>
                <w:lang w:eastAsia="zh-CN"/>
              </w:rPr>
              <w:t>园区</w:t>
            </w:r>
            <w:r>
              <w:rPr>
                <w:rFonts w:hint="eastAsia"/>
                <w:color w:val="auto"/>
                <w:u w:val="none" w:color="auto"/>
                <w:lang w:val="en-US" w:eastAsia="zh-CN"/>
              </w:rPr>
              <w:t>市政</w:t>
            </w:r>
            <w:r>
              <w:rPr>
                <w:rFonts w:hint="eastAsia"/>
                <w:color w:val="auto"/>
                <w:u w:val="none" w:color="auto"/>
                <w:lang w:eastAsia="zh-CN"/>
              </w:rPr>
              <w:t>污水管网</w:t>
            </w:r>
            <w:r>
              <w:rPr>
                <w:rFonts w:hint="eastAsia"/>
                <w:color w:val="auto"/>
                <w:u w:val="none" w:color="auto"/>
              </w:rPr>
              <w:t>系统</w:t>
            </w:r>
            <w:r>
              <w:rPr>
                <w:color w:val="auto"/>
                <w:u w:val="none" w:color="auto"/>
              </w:rPr>
              <w:t>。</w:t>
            </w:r>
          </w:p>
          <w:p w14:paraId="6850F0FC">
            <w:pPr>
              <w:bidi w:val="0"/>
              <w:rPr>
                <w:color w:val="auto"/>
                <w:u w:val="none" w:color="auto"/>
              </w:rPr>
            </w:pPr>
            <w:r>
              <w:rPr>
                <w:rFonts w:hint="eastAsia"/>
                <w:color w:val="auto"/>
                <w:u w:val="none" w:color="auto"/>
                <w:lang w:val="en-US" w:eastAsia="zh-CN"/>
              </w:rPr>
              <w:t>项目正负极搅拌桶不进行冲洗，无废水排放；电池外壳清洗排水输清净下水直接排入市政污水管网，配料车间地面清洁洗拖把会产生清洗废水，清洗废水经沉淀处理后排放，废水排放口</w:t>
            </w:r>
            <w:r>
              <w:rPr>
                <w:color w:val="auto"/>
                <w:u w:val="none" w:color="auto"/>
              </w:rPr>
              <w:t>达到</w:t>
            </w:r>
            <w:r>
              <w:rPr>
                <w:rFonts w:hint="eastAsia"/>
                <w:color w:val="auto"/>
                <w:u w:val="none" w:color="auto"/>
              </w:rPr>
              <w:t>《电池工业污染物排放标准》（GB30484-2013）表2中排放标准后</w:t>
            </w:r>
            <w:r>
              <w:rPr>
                <w:color w:val="auto"/>
                <w:u w:val="none" w:color="auto"/>
              </w:rPr>
              <w:t>经污水管网排入</w:t>
            </w:r>
            <w:r>
              <w:rPr>
                <w:rFonts w:hint="eastAsia"/>
                <w:color w:val="auto"/>
                <w:u w:val="none" w:color="auto"/>
                <w:lang w:eastAsia="zh-CN"/>
              </w:rPr>
              <w:t>新田县污水处理厂深度处理</w:t>
            </w:r>
            <w:r>
              <w:rPr>
                <w:color w:val="auto"/>
                <w:u w:val="none" w:color="auto"/>
              </w:rPr>
              <w:t>。</w:t>
            </w:r>
          </w:p>
          <w:p w14:paraId="4648B55E">
            <w:pPr>
              <w:bidi w:val="0"/>
              <w:rPr>
                <w:color w:val="auto"/>
                <w:u w:val="none" w:color="auto"/>
              </w:rPr>
            </w:pPr>
            <w:r>
              <w:rPr>
                <w:rFonts w:hint="eastAsia"/>
                <w:color w:val="auto"/>
                <w:u w:val="none" w:color="auto"/>
              </w:rPr>
              <w:t>3、</w:t>
            </w:r>
            <w:r>
              <w:rPr>
                <w:color w:val="auto"/>
                <w:u w:val="none" w:color="auto"/>
              </w:rPr>
              <w:t>供电</w:t>
            </w:r>
          </w:p>
          <w:p w14:paraId="2C1CC913">
            <w:pPr>
              <w:bidi w:val="0"/>
              <w:rPr>
                <w:color w:val="auto"/>
                <w:u w:val="none" w:color="auto"/>
              </w:rPr>
            </w:pPr>
            <w:r>
              <w:rPr>
                <w:color w:val="auto"/>
                <w:u w:val="none" w:color="auto"/>
              </w:rPr>
              <w:t>本项目由</w:t>
            </w:r>
            <w:r>
              <w:rPr>
                <w:rFonts w:hint="eastAsia"/>
                <w:color w:val="auto"/>
                <w:u w:val="none" w:color="auto"/>
              </w:rPr>
              <w:t>市政</w:t>
            </w:r>
            <w:r>
              <w:rPr>
                <w:color w:val="auto"/>
                <w:u w:val="none" w:color="auto"/>
              </w:rPr>
              <w:t>电网供电，动力、办公、照明配电电压为380/220V，三相五线制供电；配电方式按照用电性质及需要采用放射式，通过配电房将电送至用电区，经配电系统向用电设施提供动力和照明负荷供电。</w:t>
            </w:r>
          </w:p>
          <w:p w14:paraId="741F7300">
            <w:pPr>
              <w:bidi w:val="0"/>
              <w:rPr>
                <w:color w:val="auto"/>
                <w:u w:val="none" w:color="auto"/>
              </w:rPr>
            </w:pPr>
            <w:r>
              <w:rPr>
                <w:rFonts w:hint="eastAsia"/>
                <w:color w:val="auto"/>
                <w:u w:val="none" w:color="auto"/>
              </w:rPr>
              <w:t>4、</w:t>
            </w:r>
            <w:r>
              <w:rPr>
                <w:color w:val="auto"/>
                <w:u w:val="none" w:color="auto"/>
              </w:rPr>
              <w:t>消防</w:t>
            </w:r>
          </w:p>
          <w:p w14:paraId="031700FB">
            <w:pPr>
              <w:bidi w:val="0"/>
              <w:rPr>
                <w:color w:val="auto"/>
                <w:u w:val="none" w:color="auto"/>
              </w:rPr>
            </w:pPr>
            <w:r>
              <w:rPr>
                <w:color w:val="auto"/>
                <w:u w:val="none" w:color="auto"/>
              </w:rPr>
              <w:t>本项目</w:t>
            </w:r>
            <w:r>
              <w:rPr>
                <w:rFonts w:hint="eastAsia"/>
                <w:color w:val="auto"/>
                <w:u w:val="none" w:color="auto"/>
              </w:rPr>
              <w:t>消防按照《建筑设计防火规范（GB</w:t>
            </w:r>
            <w:r>
              <w:rPr>
                <w:rFonts w:hint="eastAsia"/>
                <w:color w:val="auto"/>
                <w:u w:val="none" w:color="auto"/>
                <w:lang w:val="en-US" w:eastAsia="zh-CN"/>
              </w:rPr>
              <w:t>50016</w:t>
            </w:r>
            <w:r>
              <w:rPr>
                <w:rFonts w:hint="eastAsia"/>
                <w:color w:val="auto"/>
                <w:u w:val="none" w:color="auto"/>
              </w:rPr>
              <w:t>-20</w:t>
            </w:r>
            <w:r>
              <w:rPr>
                <w:rFonts w:hint="eastAsia"/>
                <w:color w:val="auto"/>
                <w:u w:val="none" w:color="auto"/>
                <w:lang w:val="en-US" w:eastAsia="zh-CN"/>
              </w:rPr>
              <w:t>14</w:t>
            </w:r>
            <w:r>
              <w:rPr>
                <w:rFonts w:hint="eastAsia"/>
                <w:color w:val="auto"/>
                <w:u w:val="none" w:color="auto"/>
                <w:lang w:eastAsia="zh-CN"/>
              </w:rPr>
              <w:t>）</w:t>
            </w:r>
            <w:r>
              <w:rPr>
                <w:rFonts w:hint="eastAsia"/>
                <w:color w:val="auto"/>
                <w:u w:val="none" w:color="auto"/>
              </w:rPr>
              <w:t>》</w:t>
            </w:r>
            <w:r>
              <w:rPr>
                <w:rFonts w:hint="eastAsia"/>
                <w:color w:val="auto"/>
                <w:u w:val="none" w:color="auto"/>
                <w:lang w:eastAsia="zh-CN"/>
              </w:rPr>
              <w:t>要求建设</w:t>
            </w:r>
            <w:r>
              <w:rPr>
                <w:rFonts w:hint="eastAsia"/>
                <w:color w:val="auto"/>
                <w:u w:val="none" w:color="auto"/>
              </w:rPr>
              <w:t>，工程耐火等级</w:t>
            </w:r>
            <w:r>
              <w:rPr>
                <w:rFonts w:hint="eastAsia"/>
                <w:color w:val="auto"/>
                <w:u w:val="none" w:color="auto"/>
                <w:lang w:eastAsia="zh-CN"/>
              </w:rPr>
              <w:t>为一级</w:t>
            </w:r>
            <w:r>
              <w:rPr>
                <w:rFonts w:hint="eastAsia"/>
                <w:color w:val="auto"/>
                <w:u w:val="none" w:color="auto"/>
              </w:rPr>
              <w:t>。</w:t>
            </w:r>
          </w:p>
          <w:p w14:paraId="7239C375">
            <w:pPr>
              <w:bidi w:val="0"/>
              <w:rPr>
                <w:color w:val="auto"/>
                <w:u w:val="none" w:color="auto"/>
              </w:rPr>
            </w:pPr>
            <w:r>
              <w:rPr>
                <w:rFonts w:hint="eastAsia"/>
                <w:color w:val="auto"/>
                <w:u w:val="none" w:color="auto"/>
              </w:rPr>
              <w:t>5、劳动定员及工作制度</w:t>
            </w:r>
          </w:p>
          <w:p w14:paraId="48F32956">
            <w:pPr>
              <w:bidi w:val="0"/>
              <w:rPr>
                <w:rFonts w:hint="default"/>
                <w:color w:val="auto"/>
                <w:u w:val="none" w:color="auto"/>
                <w:lang w:val="en-US" w:eastAsia="zh-CN"/>
              </w:rPr>
            </w:pPr>
            <w:r>
              <w:rPr>
                <w:color w:val="auto"/>
                <w:u w:val="none" w:color="auto"/>
              </w:rPr>
              <w:t>项目劳动定员总数为</w:t>
            </w:r>
            <w:r>
              <w:rPr>
                <w:rFonts w:hint="eastAsia"/>
                <w:color w:val="auto"/>
                <w:u w:val="none" w:color="auto"/>
                <w:lang w:val="en-US" w:eastAsia="zh-CN"/>
              </w:rPr>
              <w:t>3</w:t>
            </w:r>
            <w:r>
              <w:rPr>
                <w:rFonts w:hint="eastAsia"/>
                <w:color w:val="auto"/>
                <w:u w:val="none" w:color="auto"/>
              </w:rPr>
              <w:t>00</w:t>
            </w:r>
            <w:r>
              <w:rPr>
                <w:color w:val="auto"/>
                <w:u w:val="none" w:color="auto"/>
              </w:rPr>
              <w:t>人</w:t>
            </w:r>
            <w:r>
              <w:rPr>
                <w:rFonts w:hint="eastAsia"/>
                <w:color w:val="auto"/>
                <w:u w:val="none" w:color="auto"/>
              </w:rPr>
              <w:t>，</w:t>
            </w:r>
            <w:r>
              <w:rPr>
                <w:rFonts w:hint="eastAsia"/>
                <w:color w:val="auto"/>
                <w:u w:val="none" w:color="auto"/>
                <w:lang w:val="en-US" w:eastAsia="zh-CN"/>
              </w:rPr>
              <w:t>员工</w:t>
            </w:r>
            <w:r>
              <w:rPr>
                <w:rFonts w:hint="eastAsia" w:cs="Times New Roman"/>
                <w:color w:val="auto"/>
                <w:u w:val="none" w:color="auto"/>
                <w:lang w:val="en-US" w:eastAsia="zh-CN"/>
              </w:rPr>
              <w:t>食</w:t>
            </w:r>
            <w:r>
              <w:rPr>
                <w:rFonts w:hint="eastAsia"/>
                <w:color w:val="auto"/>
                <w:u w:val="none" w:color="auto"/>
                <w:lang w:val="en-US" w:eastAsia="zh-CN"/>
              </w:rPr>
              <w:t>宿依托产业园区配套生活设施。</w:t>
            </w:r>
          </w:p>
          <w:p w14:paraId="51A862BB">
            <w:pPr>
              <w:bidi w:val="0"/>
              <w:rPr>
                <w:color w:val="auto"/>
                <w:szCs w:val="28"/>
                <w:u w:val="none" w:color="auto"/>
              </w:rPr>
            </w:pPr>
            <w:r>
              <w:rPr>
                <w:rFonts w:hint="eastAsia"/>
                <w:color w:val="auto"/>
                <w:szCs w:val="28"/>
                <w:u w:val="none" w:color="auto"/>
                <w:lang w:val="en-US" w:eastAsia="zh-CN"/>
              </w:rPr>
              <w:t>每天工作</w:t>
            </w:r>
            <w:r>
              <w:rPr>
                <w:rFonts w:hint="eastAsia"/>
                <w:color w:val="auto"/>
                <w:szCs w:val="28"/>
                <w:u w:val="none" w:color="auto"/>
              </w:rPr>
              <w:t>两班，每班工作</w:t>
            </w:r>
            <w:r>
              <w:rPr>
                <w:rFonts w:hint="eastAsia"/>
                <w:color w:val="auto"/>
                <w:szCs w:val="28"/>
                <w:u w:val="none" w:color="auto"/>
                <w:lang w:val="en-US" w:eastAsia="zh-CN"/>
              </w:rPr>
              <w:t>8</w:t>
            </w:r>
            <w:r>
              <w:rPr>
                <w:rFonts w:hint="eastAsia"/>
                <w:color w:val="auto"/>
                <w:szCs w:val="28"/>
                <w:u w:val="none" w:color="auto"/>
              </w:rPr>
              <w:t>小时</w:t>
            </w:r>
            <w:r>
              <w:rPr>
                <w:rFonts w:hint="eastAsia"/>
                <w:color w:val="auto"/>
                <w:szCs w:val="28"/>
                <w:u w:val="none" w:color="auto"/>
                <w:lang w:eastAsia="zh-CN"/>
              </w:rPr>
              <w:t>，夜间不生产</w:t>
            </w:r>
            <w:r>
              <w:rPr>
                <w:color w:val="auto"/>
                <w:szCs w:val="28"/>
                <w:u w:val="none" w:color="auto"/>
              </w:rPr>
              <w:t>。</w:t>
            </w:r>
          </w:p>
          <w:p w14:paraId="71A31C61">
            <w:pPr>
              <w:bidi w:val="0"/>
              <w:rPr>
                <w:rFonts w:hint="eastAsia"/>
                <w:color w:val="auto"/>
                <w:u w:val="none" w:color="auto"/>
              </w:rPr>
            </w:pPr>
            <w:r>
              <w:rPr>
                <w:rFonts w:hint="eastAsia"/>
                <w:color w:val="auto"/>
                <w:u w:val="none" w:color="auto"/>
              </w:rPr>
              <w:t>6、项目用地</w:t>
            </w:r>
            <w:r>
              <w:rPr>
                <w:rFonts w:hint="eastAsia"/>
                <w:color w:val="auto"/>
                <w:u w:val="none" w:color="auto"/>
                <w:lang w:eastAsia="zh-CN"/>
              </w:rPr>
              <w:t>周边</w:t>
            </w:r>
            <w:r>
              <w:rPr>
                <w:rFonts w:hint="eastAsia"/>
                <w:color w:val="auto"/>
                <w:u w:val="none" w:color="auto"/>
              </w:rPr>
              <w:t>概况</w:t>
            </w:r>
          </w:p>
          <w:p w14:paraId="51DE2348">
            <w:pPr>
              <w:bidi w:val="0"/>
              <w:rPr>
                <w:color w:val="auto"/>
                <w:u w:val="none" w:color="auto"/>
              </w:rPr>
            </w:pPr>
            <w:r>
              <w:rPr>
                <w:rFonts w:hint="eastAsia"/>
                <w:color w:val="auto"/>
                <w:u w:val="none" w:color="auto"/>
              </w:rPr>
              <w:t>本项目</w:t>
            </w:r>
            <w:r>
              <w:rPr>
                <w:rFonts w:hint="eastAsia"/>
                <w:color w:val="auto"/>
                <w:u w:val="none" w:color="auto"/>
                <w:lang w:val="en-US" w:eastAsia="zh-CN"/>
              </w:rPr>
              <w:t>位于湖南新田县工业园</w:t>
            </w:r>
            <w:r>
              <w:rPr>
                <w:rFonts w:hint="eastAsia"/>
                <w:color w:val="auto"/>
                <w:u w:val="none" w:color="auto"/>
              </w:rPr>
              <w:t>，根据现场踏勘，项目东面为空地，南</w:t>
            </w:r>
            <w:r>
              <w:rPr>
                <w:rFonts w:hint="eastAsia"/>
                <w:color w:val="auto"/>
                <w:u w:val="none" w:color="auto"/>
                <w:lang w:eastAsia="zh-CN"/>
              </w:rPr>
              <w:t>、西、北三面均</w:t>
            </w:r>
            <w:r>
              <w:rPr>
                <w:rFonts w:hint="eastAsia"/>
                <w:color w:val="auto"/>
                <w:u w:val="none" w:color="auto"/>
                <w:lang w:val="en-US" w:eastAsia="zh-CN"/>
              </w:rPr>
              <w:t>为园区内标准厂房</w:t>
            </w:r>
            <w:r>
              <w:rPr>
                <w:rFonts w:hint="eastAsia"/>
                <w:color w:val="auto"/>
                <w:u w:val="none" w:color="auto"/>
              </w:rPr>
              <w:t>。</w:t>
            </w:r>
          </w:p>
          <w:p w14:paraId="596F0AFF">
            <w:pPr>
              <w:bidi w:val="0"/>
              <w:rPr>
                <w:rFonts w:hint="eastAsia"/>
                <w:color w:val="auto"/>
                <w:u w:val="none" w:color="auto"/>
              </w:rPr>
            </w:pPr>
            <w:r>
              <w:rPr>
                <w:rFonts w:hint="eastAsia"/>
                <w:color w:val="auto"/>
                <w:u w:val="none" w:color="auto"/>
              </w:rPr>
              <w:t>7、项目平面布置</w:t>
            </w:r>
          </w:p>
          <w:p w14:paraId="641855C7">
            <w:pPr>
              <w:bidi w:val="0"/>
              <w:rPr>
                <w:rFonts w:hint="eastAsia"/>
                <w:color w:val="auto"/>
                <w:u w:val="none" w:color="auto"/>
              </w:rPr>
            </w:pPr>
            <w:r>
              <w:rPr>
                <w:rFonts w:hint="eastAsia"/>
                <w:color w:val="auto"/>
                <w:u w:val="none" w:color="auto"/>
              </w:rPr>
              <w:t>本项</w:t>
            </w:r>
            <w:r>
              <w:rPr>
                <w:rFonts w:hint="eastAsia"/>
                <w:color w:val="auto"/>
                <w:u w:val="none" w:color="auto"/>
                <w:lang w:val="en-US" w:eastAsia="zh-CN"/>
              </w:rPr>
              <w:t>目所有建设内容均位于一栋厂房内</w:t>
            </w:r>
            <w:r>
              <w:rPr>
                <w:rFonts w:hint="eastAsia"/>
                <w:color w:val="auto"/>
                <w:u w:val="none" w:color="auto"/>
              </w:rPr>
              <w:t>，</w:t>
            </w:r>
            <w:r>
              <w:rPr>
                <w:color w:val="auto"/>
                <w:u w:val="none" w:color="auto"/>
              </w:rPr>
              <w:t>按照项目生产流程</w:t>
            </w:r>
            <w:r>
              <w:rPr>
                <w:rFonts w:hint="eastAsia"/>
                <w:color w:val="auto"/>
                <w:u w:val="none" w:color="auto"/>
                <w:lang w:eastAsia="zh-CN"/>
              </w:rPr>
              <w:t>逐层</w:t>
            </w:r>
            <w:r>
              <w:rPr>
                <w:color w:val="auto"/>
                <w:u w:val="none" w:color="auto"/>
              </w:rPr>
              <w:t>分区布置</w:t>
            </w:r>
            <w:r>
              <w:rPr>
                <w:rFonts w:hint="eastAsia"/>
                <w:color w:val="auto"/>
                <w:u w:val="none" w:color="auto"/>
              </w:rPr>
              <w:t>，其中</w:t>
            </w:r>
            <w:r>
              <w:rPr>
                <w:rFonts w:hint="eastAsia"/>
                <w:color w:val="auto"/>
                <w:u w:val="none" w:color="auto"/>
                <w:lang w:val="en-US" w:eastAsia="zh-CN"/>
              </w:rPr>
              <w:t>一楼设置原辅材料仓库、配料房、涂布车间、制片车间等，二楼设置原辅材料仓、装配车间、办公室，三楼设置零配件仓、装配车间、注液车间、烤箱房、装配车间、研发测试中心等，四楼设置成品仓、包装车间、二封、切折烫车间、化成车间、PACK车间等</w:t>
            </w:r>
            <w:r>
              <w:rPr>
                <w:color w:val="auto"/>
                <w:u w:val="none" w:color="auto"/>
              </w:rPr>
              <w:t>。项目</w:t>
            </w:r>
            <w:r>
              <w:rPr>
                <w:rFonts w:hint="eastAsia"/>
                <w:color w:val="auto"/>
                <w:u w:val="none" w:color="auto"/>
                <w:lang w:eastAsia="zh-CN"/>
              </w:rPr>
              <w:t>各楼层</w:t>
            </w:r>
            <w:r>
              <w:rPr>
                <w:color w:val="auto"/>
                <w:u w:val="none" w:color="auto"/>
              </w:rPr>
              <w:t>平面布置详见附图2</w:t>
            </w:r>
            <w:r>
              <w:rPr>
                <w:rFonts w:hint="eastAsia"/>
                <w:color w:val="auto"/>
                <w:u w:val="none" w:color="auto"/>
              </w:rPr>
              <w:t>。</w:t>
            </w:r>
          </w:p>
        </w:tc>
      </w:tr>
      <w:tr w14:paraId="4512BC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428" w:type="dxa"/>
            <w:noWrap w:val="0"/>
            <w:vAlign w:val="center"/>
          </w:tcPr>
          <w:p w14:paraId="721E9985">
            <w:pPr>
              <w:pStyle w:val="11"/>
              <w:rPr>
                <w:rFonts w:hint="eastAsia"/>
                <w:color w:val="auto"/>
                <w:u w:val="none" w:color="auto"/>
              </w:rPr>
            </w:pPr>
            <w:r>
              <w:rPr>
                <w:rFonts w:hint="eastAsia"/>
                <w:color w:val="auto"/>
                <w:u w:val="none" w:color="auto"/>
              </w:rPr>
              <w:t>工艺流程和产排污环节</w:t>
            </w:r>
          </w:p>
        </w:tc>
        <w:tc>
          <w:tcPr>
            <w:tcW w:w="8632" w:type="dxa"/>
            <w:noWrap w:val="0"/>
            <w:vAlign w:val="top"/>
          </w:tcPr>
          <w:p w14:paraId="01B0A4A8">
            <w:pPr>
              <w:adjustRightInd w:val="0"/>
              <w:snapToGrid w:val="0"/>
              <w:ind w:firstLine="482"/>
              <w:rPr>
                <w:rFonts w:hint="eastAsia" w:eastAsia="宋体"/>
                <w:b/>
                <w:bCs/>
                <w:color w:val="auto"/>
                <w:u w:val="none" w:color="auto"/>
                <w:lang w:eastAsia="zh-CN"/>
              </w:rPr>
            </w:pPr>
            <w:r>
              <w:rPr>
                <w:rFonts w:hint="eastAsia"/>
                <w:b/>
                <w:bCs/>
                <w:color w:val="auto"/>
                <w:u w:val="none" w:color="auto"/>
                <w:lang w:eastAsia="zh-CN"/>
              </w:rPr>
              <w:t>（一）</w:t>
            </w:r>
            <w:r>
              <w:rPr>
                <w:rFonts w:hint="eastAsia"/>
                <w:b/>
                <w:bCs/>
                <w:color w:val="auto"/>
                <w:u w:val="none" w:color="auto"/>
              </w:rPr>
              <w:t>施工期工艺流程简述</w:t>
            </w:r>
            <w:r>
              <w:rPr>
                <w:rFonts w:hint="eastAsia"/>
                <w:b/>
                <w:bCs/>
                <w:color w:val="auto"/>
                <w:u w:val="none" w:color="auto"/>
                <w:lang w:eastAsia="zh-CN"/>
              </w:rPr>
              <w:t>：</w:t>
            </w:r>
          </w:p>
          <w:p w14:paraId="7ED290C0">
            <w:pPr>
              <w:adjustRightInd w:val="0"/>
              <w:snapToGrid w:val="0"/>
              <w:ind w:firstLine="480"/>
              <w:rPr>
                <w:rFonts w:hint="eastAsia" w:ascii="Times New Roman" w:hAnsi="Times New Roman" w:eastAsia="宋体" w:cs="Times New Roman"/>
                <w:color w:val="auto"/>
                <w:u w:val="none" w:color="auto"/>
              </w:rPr>
            </w:pPr>
            <w:r>
              <w:rPr>
                <w:rFonts w:hint="eastAsia" w:ascii="Times New Roman" w:hAnsi="Times New Roman" w:eastAsia="宋体" w:cs="Times New Roman"/>
                <w:color w:val="auto"/>
                <w:u w:val="none" w:color="auto"/>
              </w:rPr>
              <w:t>项目施工期</w:t>
            </w:r>
            <w:r>
              <w:rPr>
                <w:rFonts w:hint="eastAsia" w:cs="Times New Roman"/>
                <w:color w:val="auto"/>
                <w:u w:val="none" w:color="auto"/>
                <w:lang w:eastAsia="zh-CN"/>
              </w:rPr>
              <w:t>已结束</w:t>
            </w:r>
            <w:r>
              <w:rPr>
                <w:rFonts w:hint="eastAsia" w:ascii="Times New Roman" w:hAnsi="Times New Roman" w:eastAsia="宋体" w:cs="Times New Roman"/>
                <w:color w:val="auto"/>
                <w:u w:val="none" w:color="auto"/>
                <w:lang w:eastAsia="zh-CN"/>
              </w:rPr>
              <w:t>，</w:t>
            </w:r>
            <w:r>
              <w:rPr>
                <w:rFonts w:hint="eastAsia"/>
                <w:color w:val="auto"/>
                <w:u w:val="none" w:color="auto"/>
                <w:lang w:eastAsia="zh-CN"/>
              </w:rPr>
              <w:t>本次无整改施工内容</w:t>
            </w:r>
            <w:r>
              <w:rPr>
                <w:rFonts w:hint="eastAsia" w:ascii="Times New Roman" w:hAnsi="Times New Roman" w:eastAsia="宋体" w:cs="Times New Roman"/>
                <w:color w:val="auto"/>
                <w:u w:val="none" w:color="auto"/>
                <w:lang w:val="en-US" w:eastAsia="zh-CN"/>
              </w:rPr>
              <w:t>，</w:t>
            </w:r>
            <w:r>
              <w:rPr>
                <w:rFonts w:hint="eastAsia" w:ascii="Times New Roman" w:hAnsi="Times New Roman" w:eastAsia="宋体" w:cs="Times New Roman"/>
                <w:color w:val="auto"/>
                <w:u w:val="none" w:color="auto"/>
                <w:lang w:eastAsia="zh-CN"/>
              </w:rPr>
              <w:t>不再详细分析</w:t>
            </w:r>
            <w:r>
              <w:rPr>
                <w:rFonts w:hint="eastAsia" w:ascii="Times New Roman" w:hAnsi="Times New Roman" w:eastAsia="宋体" w:cs="Times New Roman"/>
                <w:color w:val="auto"/>
                <w:u w:val="none" w:color="auto"/>
              </w:rPr>
              <w:t>。</w:t>
            </w:r>
          </w:p>
          <w:p w14:paraId="78EF8E20">
            <w:pPr>
              <w:numPr>
                <w:ilvl w:val="0"/>
                <w:numId w:val="3"/>
              </w:numPr>
              <w:adjustRightInd w:val="0"/>
              <w:snapToGrid w:val="0"/>
              <w:ind w:firstLine="482"/>
              <w:rPr>
                <w:rFonts w:hint="eastAsia"/>
                <w:b/>
                <w:bCs/>
                <w:color w:val="auto"/>
                <w:u w:val="none" w:color="auto"/>
              </w:rPr>
            </w:pPr>
            <w:r>
              <w:rPr>
                <w:rFonts w:hint="eastAsia"/>
                <w:b/>
                <w:bCs/>
                <w:color w:val="auto"/>
                <w:u w:val="none" w:color="auto"/>
              </w:rPr>
              <w:t>营运期工艺流程简述</w:t>
            </w:r>
            <w:r>
              <w:rPr>
                <w:rFonts w:hint="eastAsia"/>
                <w:b/>
                <w:bCs/>
                <w:color w:val="auto"/>
                <w:u w:val="none" w:color="auto"/>
                <w:lang w:eastAsia="zh-CN"/>
              </w:rPr>
              <w:t>：</w:t>
            </w:r>
          </w:p>
          <w:p w14:paraId="72E2F69A">
            <w:pPr>
              <w:bidi w:val="0"/>
              <w:rPr>
                <w:rFonts w:hint="eastAsia" w:ascii="Times New Roman" w:hAnsi="Times New Roman" w:eastAsia="宋体" w:cs="Times New Roman"/>
                <w:color w:val="auto"/>
                <w:u w:val="none" w:color="auto"/>
                <w:lang w:val="en-US" w:eastAsia="zh-CN"/>
              </w:rPr>
            </w:pPr>
            <w:r>
              <w:rPr>
                <w:rFonts w:hint="eastAsia"/>
                <w:color w:val="auto"/>
                <w:u w:val="none" w:color="auto"/>
                <w:lang w:val="en-US" w:eastAsia="zh-CN"/>
              </w:rPr>
              <w:t>本项目主要生产聚合物锂离子电池及铝（钢）壳锂离子电池，</w:t>
            </w:r>
            <w:r>
              <w:rPr>
                <w:rFonts w:hint="eastAsia" w:ascii="Times New Roman" w:hAnsi="Times New Roman" w:eastAsia="宋体" w:cs="Times New Roman"/>
                <w:color w:val="auto"/>
                <w:u w:val="none" w:color="auto"/>
                <w:lang w:val="en-US" w:eastAsia="zh-CN"/>
              </w:rPr>
              <w:t>两种产品在的主要生产工艺配料、涂布烘干、制片、注液是等一致的，区别主要在于组装的加工工艺。</w:t>
            </w:r>
          </w:p>
          <w:p w14:paraId="4D92DCF7">
            <w:pPr>
              <w:bidi w:val="0"/>
              <w:rPr>
                <w:rFonts w:hint="default"/>
                <w:b/>
                <w:bCs/>
                <w:color w:val="auto"/>
                <w:u w:val="none" w:color="auto"/>
                <w:lang w:val="en-US" w:eastAsia="zh-CN"/>
              </w:rPr>
            </w:pPr>
            <w:r>
              <w:rPr>
                <w:rFonts w:hint="eastAsia"/>
                <w:b/>
                <w:bCs/>
                <w:color w:val="auto"/>
                <w:u w:val="none" w:color="auto"/>
                <w:lang w:val="en-US" w:eastAsia="zh-CN"/>
              </w:rPr>
              <w:t>聚合物锂离子电池生产工艺如下：</w:t>
            </w:r>
          </w:p>
          <w:p w14:paraId="6F246830">
            <w:pPr>
              <w:bidi w:val="0"/>
              <w:ind w:left="0" w:leftChars="0" w:firstLine="0" w:firstLineChars="0"/>
              <w:rPr>
                <w:rFonts w:hint="eastAsia" w:eastAsia="宋体"/>
                <w:color w:val="auto"/>
                <w:u w:val="none" w:color="auto"/>
                <w:lang w:eastAsia="zh-CN"/>
              </w:rPr>
            </w:pPr>
            <w:r>
              <w:rPr>
                <w:rFonts w:hint="eastAsia" w:eastAsia="宋体"/>
                <w:color w:val="auto"/>
                <w:u w:val="none" w:color="auto"/>
                <w:lang w:eastAsia="zh-CN"/>
              </w:rPr>
              <w:drawing>
                <wp:inline distT="0" distB="0" distL="114300" distR="114300">
                  <wp:extent cx="5344160" cy="7162165"/>
                  <wp:effectExtent l="0" t="0" r="0" b="0"/>
                  <wp:docPr id="34" name="ECB019B1-382A-4266-B25C-5B523AA43C14-1" descr="C:/Users/admin/AppData/Local/Temp/wps.FbmNP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CB019B1-382A-4266-B25C-5B523AA43C14-1" descr="C:/Users/admin/AppData/Local/Temp/wps.FbmNPrwps"/>
                          <pic:cNvPicPr>
                            <a:picLocks noChangeAspect="1"/>
                          </pic:cNvPicPr>
                        </pic:nvPicPr>
                        <pic:blipFill>
                          <a:blip r:embed="rId11"/>
                          <a:stretch>
                            <a:fillRect/>
                          </a:stretch>
                        </pic:blipFill>
                        <pic:spPr>
                          <a:xfrm>
                            <a:off x="0" y="0"/>
                            <a:ext cx="5344160" cy="7162165"/>
                          </a:xfrm>
                          <a:prstGeom prst="rect">
                            <a:avLst/>
                          </a:prstGeom>
                        </pic:spPr>
                      </pic:pic>
                    </a:graphicData>
                  </a:graphic>
                </wp:inline>
              </w:drawing>
            </w:r>
          </w:p>
          <w:p w14:paraId="4D488C75">
            <w:pPr>
              <w:pStyle w:val="81"/>
              <w:spacing w:line="360" w:lineRule="auto"/>
              <w:ind w:left="0" w:leftChars="0" w:firstLine="0" w:firstLineChars="0"/>
              <w:jc w:val="center"/>
              <w:rPr>
                <w:rFonts w:hAnsi="宋体" w:eastAsia="宋体"/>
                <w:b/>
                <w:color w:val="auto"/>
                <w:sz w:val="24"/>
                <w:szCs w:val="24"/>
                <w:u w:val="none" w:color="auto"/>
              </w:rPr>
            </w:pPr>
            <w:r>
              <w:rPr>
                <w:rFonts w:hAnsi="宋体" w:eastAsia="宋体"/>
                <w:b/>
                <w:color w:val="auto"/>
                <w:sz w:val="24"/>
                <w:szCs w:val="24"/>
                <w:u w:val="none" w:color="auto"/>
              </w:rPr>
              <w:t>图</w:t>
            </w:r>
            <w:r>
              <w:rPr>
                <w:rFonts w:hint="eastAsia" w:hAnsi="宋体" w:eastAsia="宋体"/>
                <w:b/>
                <w:color w:val="auto"/>
                <w:sz w:val="24"/>
                <w:szCs w:val="24"/>
                <w:u w:val="none" w:color="auto"/>
              </w:rPr>
              <w:t>2-</w:t>
            </w:r>
            <w:r>
              <w:rPr>
                <w:rFonts w:hint="eastAsia" w:eastAsia="宋体"/>
                <w:b/>
                <w:color w:val="auto"/>
                <w:sz w:val="24"/>
                <w:szCs w:val="24"/>
                <w:u w:val="none" w:color="auto"/>
              </w:rPr>
              <w:t>1</w:t>
            </w:r>
            <w:r>
              <w:rPr>
                <w:rFonts w:hint="eastAsia" w:eastAsia="宋体"/>
                <w:b/>
                <w:color w:val="auto"/>
                <w:sz w:val="24"/>
                <w:szCs w:val="24"/>
                <w:u w:val="none" w:color="auto"/>
                <w:lang w:eastAsia="zh-CN"/>
              </w:rPr>
              <w:t>聚合物</w:t>
            </w:r>
            <w:r>
              <w:rPr>
                <w:rFonts w:hint="eastAsia" w:eastAsia="宋体"/>
                <w:b/>
                <w:color w:val="auto"/>
                <w:sz w:val="24"/>
                <w:szCs w:val="24"/>
                <w:u w:val="none" w:color="auto"/>
                <w:lang w:val="en-US" w:eastAsia="zh-CN"/>
              </w:rPr>
              <w:t>锂离子电池生产</w:t>
            </w:r>
            <w:r>
              <w:rPr>
                <w:rFonts w:hAnsi="宋体" w:eastAsia="宋体"/>
                <w:b/>
                <w:color w:val="auto"/>
                <w:sz w:val="24"/>
                <w:szCs w:val="24"/>
                <w:u w:val="none" w:color="auto"/>
              </w:rPr>
              <w:t>工艺</w:t>
            </w:r>
            <w:r>
              <w:rPr>
                <w:rFonts w:hint="eastAsia" w:hAnsi="宋体" w:eastAsia="宋体"/>
                <w:b/>
                <w:color w:val="auto"/>
                <w:sz w:val="24"/>
                <w:szCs w:val="24"/>
                <w:u w:val="none" w:color="auto"/>
              </w:rPr>
              <w:t>流程</w:t>
            </w:r>
            <w:r>
              <w:rPr>
                <w:rFonts w:hAnsi="宋体" w:eastAsia="宋体"/>
                <w:b/>
                <w:color w:val="auto"/>
                <w:sz w:val="24"/>
                <w:szCs w:val="24"/>
                <w:u w:val="none" w:color="auto"/>
              </w:rPr>
              <w:t>及产污节点图</w:t>
            </w:r>
          </w:p>
          <w:p w14:paraId="486306BC">
            <w:pPr>
              <w:ind w:firstLine="482"/>
              <w:rPr>
                <w:b/>
                <w:bCs/>
                <w:color w:val="auto"/>
                <w:u w:val="none" w:color="auto"/>
              </w:rPr>
            </w:pPr>
            <w:r>
              <w:rPr>
                <w:rFonts w:hint="eastAsia" w:hAnsi="宋体"/>
                <w:b/>
                <w:bCs/>
                <w:color w:val="auto"/>
                <w:u w:val="none" w:color="auto"/>
                <w:lang w:eastAsia="zh-CN"/>
              </w:rPr>
              <w:t>主要</w:t>
            </w:r>
            <w:r>
              <w:rPr>
                <w:rFonts w:hAnsi="宋体"/>
                <w:b/>
                <w:bCs/>
                <w:color w:val="auto"/>
                <w:u w:val="none" w:color="auto"/>
              </w:rPr>
              <w:t>工艺流程说明：</w:t>
            </w:r>
          </w:p>
          <w:p w14:paraId="201E2FD6">
            <w:pPr>
              <w:bidi w:val="0"/>
              <w:rPr>
                <w:rFonts w:hint="eastAsia"/>
                <w:color w:val="auto"/>
                <w:u w:val="none" w:color="auto"/>
              </w:rPr>
            </w:pPr>
            <w:r>
              <w:rPr>
                <w:rFonts w:hint="eastAsia"/>
                <w:color w:val="auto"/>
                <w:u w:val="none" w:color="auto"/>
                <w:lang w:val="en-US" w:eastAsia="zh-CN"/>
              </w:rPr>
              <w:t>1、</w:t>
            </w:r>
            <w:r>
              <w:rPr>
                <w:rFonts w:hint="default"/>
                <w:color w:val="auto"/>
                <w:u w:val="none" w:color="auto"/>
              </w:rPr>
              <w:t>正、负极制备工序</w:t>
            </w:r>
          </w:p>
          <w:p w14:paraId="1F431017">
            <w:pPr>
              <w:bidi w:val="0"/>
              <w:rPr>
                <w:rFonts w:hint="eastAsia"/>
                <w:color w:val="auto"/>
                <w:u w:val="none" w:color="auto"/>
                <w:lang w:eastAsia="zh-CN"/>
              </w:rPr>
            </w:pPr>
            <w:r>
              <w:rPr>
                <w:rFonts w:hint="eastAsia"/>
                <w:color w:val="auto"/>
                <w:u w:val="none" w:color="auto"/>
              </w:rPr>
              <w:t>（1）正负极</w:t>
            </w:r>
            <w:r>
              <w:rPr>
                <w:rFonts w:hint="eastAsia"/>
                <w:color w:val="auto"/>
                <w:u w:val="none" w:color="auto"/>
                <w:lang w:val="en-US" w:eastAsia="zh-CN"/>
              </w:rPr>
              <w:t>配料</w:t>
            </w:r>
          </w:p>
          <w:p w14:paraId="7A082F8E">
            <w:pPr>
              <w:spacing w:line="360" w:lineRule="auto"/>
              <w:ind w:firstLine="480" w:firstLineChars="200"/>
              <w:rPr>
                <w:color w:val="auto"/>
                <w:sz w:val="24"/>
                <w:szCs w:val="24"/>
                <w:u w:val="none" w:color="auto"/>
              </w:rPr>
            </w:pPr>
            <w:r>
              <w:rPr>
                <w:rFonts w:hint="eastAsia" w:ascii="Times New Roman" w:hAnsi="Times New Roman" w:cs="Times New Roman"/>
                <w:color w:val="auto"/>
                <w:sz w:val="24"/>
                <w:szCs w:val="24"/>
                <w:u w:val="none" w:color="auto"/>
              </w:rPr>
              <w:t>正极配料：</w:t>
            </w:r>
            <w:r>
              <w:rPr>
                <w:rFonts w:hint="eastAsia" w:ascii="Times New Roman" w:hAnsi="Times New Roman" w:cs="Times New Roman"/>
                <w:color w:val="auto"/>
                <w:sz w:val="24"/>
                <w:szCs w:val="24"/>
                <w:u w:val="none" w:color="auto"/>
                <w:lang w:val="en-US" w:eastAsia="zh-CN"/>
              </w:rPr>
              <w:t>钴酸锂、</w:t>
            </w:r>
            <w:r>
              <w:rPr>
                <w:rFonts w:hint="eastAsia" w:ascii="Times New Roman" w:hAnsi="Times New Roman" w:cs="Times New Roman"/>
                <w:color w:val="auto"/>
                <w:sz w:val="24"/>
                <w:szCs w:val="24"/>
                <w:u w:val="none" w:color="auto"/>
                <w:lang w:eastAsia="zh-CN"/>
              </w:rPr>
              <w:t>镍</w:t>
            </w:r>
            <w:r>
              <w:rPr>
                <w:rFonts w:hint="eastAsia" w:ascii="Times New Roman" w:hAnsi="Times New Roman" w:cs="Times New Roman"/>
                <w:color w:val="auto"/>
                <w:sz w:val="24"/>
                <w:szCs w:val="24"/>
                <w:u w:val="none" w:color="auto"/>
              </w:rPr>
              <w:t>钴</w:t>
            </w:r>
            <w:r>
              <w:rPr>
                <w:rFonts w:hint="eastAsia" w:ascii="Times New Roman" w:hAnsi="Times New Roman" w:cs="Times New Roman"/>
                <w:color w:val="auto"/>
                <w:sz w:val="24"/>
                <w:szCs w:val="24"/>
                <w:u w:val="none" w:color="auto"/>
                <w:lang w:eastAsia="zh-CN"/>
              </w:rPr>
              <w:t>锰</w:t>
            </w:r>
            <w:r>
              <w:rPr>
                <w:rFonts w:hint="eastAsia" w:ascii="Times New Roman" w:hAnsi="Times New Roman" w:cs="Times New Roman"/>
                <w:color w:val="auto"/>
                <w:sz w:val="24"/>
                <w:szCs w:val="24"/>
                <w:u w:val="none" w:color="auto"/>
              </w:rPr>
              <w:t>酸锂、</w:t>
            </w:r>
            <w:r>
              <w:rPr>
                <w:rFonts w:hint="eastAsia" w:ascii="Times New Roman" w:hAnsi="Times New Roman" w:cs="Times New Roman"/>
                <w:color w:val="auto"/>
                <w:sz w:val="24"/>
                <w:szCs w:val="24"/>
                <w:u w:val="none" w:color="auto"/>
                <w:lang w:eastAsia="zh-CN"/>
              </w:rPr>
              <w:t>锰酸锂</w:t>
            </w:r>
            <w:r>
              <w:rPr>
                <w:rFonts w:hint="eastAsia"/>
                <w:color w:val="auto"/>
                <w:sz w:val="24"/>
                <w:szCs w:val="24"/>
                <w:u w:val="none" w:color="auto"/>
                <w:lang w:eastAsia="zh-CN"/>
              </w:rPr>
              <w:t>、</w:t>
            </w:r>
            <w:r>
              <w:rPr>
                <w:rFonts w:hint="eastAsia"/>
                <w:color w:val="auto"/>
                <w:sz w:val="24"/>
                <w:szCs w:val="24"/>
                <w:u w:val="none" w:color="auto"/>
              </w:rPr>
              <w:t>聚偏氟乙烯（PVDF）、导电炭黑（SP）经</w:t>
            </w:r>
            <w:r>
              <w:rPr>
                <w:rFonts w:hint="eastAsia"/>
                <w:color w:val="auto"/>
                <w:sz w:val="24"/>
                <w:szCs w:val="24"/>
                <w:u w:val="none" w:color="auto"/>
                <w:lang w:val="en-US" w:eastAsia="zh-CN"/>
              </w:rPr>
              <w:t>电子秤</w:t>
            </w:r>
            <w:r>
              <w:rPr>
                <w:rFonts w:hint="eastAsia"/>
                <w:color w:val="auto"/>
                <w:sz w:val="24"/>
                <w:szCs w:val="24"/>
                <w:u w:val="none" w:color="auto"/>
              </w:rPr>
              <w:t>精确计量后</w:t>
            </w:r>
            <w:r>
              <w:rPr>
                <w:color w:val="auto"/>
                <w:sz w:val="24"/>
                <w:szCs w:val="24"/>
                <w:u w:val="none" w:color="auto"/>
              </w:rPr>
              <w:t>按照一定的比例</w:t>
            </w:r>
            <w:r>
              <w:rPr>
                <w:rFonts w:hint="eastAsia"/>
                <w:color w:val="auto"/>
                <w:sz w:val="24"/>
                <w:szCs w:val="24"/>
                <w:u w:val="none" w:color="auto"/>
              </w:rPr>
              <w:t>投入搅拌机，全程密闭自动控制，随后加入N-甲基吡咯烷酮（NMP）。密闭搅拌均匀后制成浆状的正极物质。</w:t>
            </w:r>
          </w:p>
          <w:p w14:paraId="0E14DE4C">
            <w:pPr>
              <w:spacing w:line="360" w:lineRule="auto"/>
              <w:ind w:firstLine="480" w:firstLineChars="200"/>
              <w:rPr>
                <w:rFonts w:hint="eastAsia"/>
                <w:color w:val="auto"/>
                <w:sz w:val="24"/>
                <w:szCs w:val="24"/>
                <w:u w:val="none" w:color="auto"/>
              </w:rPr>
            </w:pPr>
            <w:r>
              <w:rPr>
                <w:rFonts w:hint="eastAsia"/>
                <w:color w:val="auto"/>
                <w:sz w:val="24"/>
                <w:szCs w:val="24"/>
                <w:u w:val="none" w:color="auto"/>
              </w:rPr>
              <w:t>负极配料：石墨、导电炭黑（SP）、羧甲基纤维素钠（CMC）经</w:t>
            </w:r>
            <w:r>
              <w:rPr>
                <w:rFonts w:hint="eastAsia"/>
                <w:color w:val="auto"/>
                <w:sz w:val="24"/>
                <w:szCs w:val="24"/>
                <w:u w:val="none" w:color="auto"/>
                <w:lang w:eastAsia="zh-CN"/>
              </w:rPr>
              <w:t>电子秤</w:t>
            </w:r>
            <w:r>
              <w:rPr>
                <w:rFonts w:hint="eastAsia"/>
                <w:color w:val="auto"/>
                <w:sz w:val="24"/>
                <w:szCs w:val="24"/>
                <w:u w:val="none" w:color="auto"/>
              </w:rPr>
              <w:t>精确计量后按照一定的比例投入搅拌机，并加入粘合剂丁苯橡胶乳液（SBR）和</w:t>
            </w:r>
            <w:r>
              <w:rPr>
                <w:rFonts w:hint="eastAsia"/>
                <w:color w:val="auto"/>
                <w:sz w:val="24"/>
                <w:szCs w:val="24"/>
                <w:u w:val="none" w:color="auto"/>
                <w:lang w:eastAsia="zh-CN"/>
              </w:rPr>
              <w:t>纯水</w:t>
            </w:r>
            <w:r>
              <w:rPr>
                <w:rFonts w:hint="eastAsia"/>
                <w:color w:val="auto"/>
                <w:sz w:val="24"/>
                <w:szCs w:val="24"/>
                <w:u w:val="none" w:color="auto"/>
              </w:rPr>
              <w:t>，整个输送投料过程在密闭的状态下完成，输送设备的动力源为压缩空气。密闭搅拌均匀后制成浆状的负极物质。负极浆料采用</w:t>
            </w:r>
            <w:r>
              <w:rPr>
                <w:rFonts w:hint="eastAsia"/>
                <w:color w:val="auto"/>
                <w:sz w:val="24"/>
                <w:szCs w:val="24"/>
                <w:u w:val="none" w:color="auto"/>
                <w:lang w:eastAsia="zh-CN"/>
              </w:rPr>
              <w:t>纯水</w:t>
            </w:r>
            <w:r>
              <w:rPr>
                <w:rFonts w:hint="eastAsia"/>
                <w:color w:val="auto"/>
                <w:sz w:val="24"/>
                <w:szCs w:val="24"/>
                <w:u w:val="none" w:color="auto"/>
              </w:rPr>
              <w:t>作为溶剂，在后面的涂布干燥过程中水全部挥发，其余的石墨以及丁苯橡胶乳液（SBR）等全部留在集流体上，成为负极材料。</w:t>
            </w:r>
          </w:p>
          <w:p w14:paraId="6894BB46">
            <w:pPr>
              <w:spacing w:line="360" w:lineRule="auto"/>
              <w:ind w:firstLine="480" w:firstLineChars="200"/>
              <w:rPr>
                <w:color w:val="auto"/>
                <w:sz w:val="24"/>
                <w:szCs w:val="24"/>
                <w:u w:val="none" w:color="auto"/>
              </w:rPr>
            </w:pPr>
            <w:r>
              <w:rPr>
                <w:rFonts w:hint="eastAsia"/>
                <w:color w:val="auto"/>
                <w:sz w:val="24"/>
                <w:szCs w:val="24"/>
                <w:u w:val="none" w:color="auto"/>
              </w:rPr>
              <w:t>正极搅拌机不需要清洗，</w:t>
            </w:r>
            <w:r>
              <w:rPr>
                <w:rFonts w:hint="eastAsia"/>
                <w:color w:val="auto"/>
                <w:sz w:val="24"/>
                <w:szCs w:val="24"/>
                <w:u w:val="none" w:color="auto"/>
                <w:lang w:eastAsia="zh-CN"/>
              </w:rPr>
              <w:t>搅拌桶内刮下的浆料可循环使用；</w:t>
            </w:r>
            <w:r>
              <w:rPr>
                <w:rFonts w:hint="eastAsia"/>
                <w:color w:val="auto"/>
                <w:sz w:val="24"/>
                <w:szCs w:val="24"/>
                <w:u w:val="none" w:color="auto"/>
              </w:rPr>
              <w:t>负极搅拌</w:t>
            </w:r>
            <w:r>
              <w:rPr>
                <w:rFonts w:hint="eastAsia"/>
                <w:color w:val="auto"/>
                <w:sz w:val="24"/>
                <w:szCs w:val="24"/>
                <w:u w:val="none" w:color="auto"/>
                <w:lang w:eastAsia="zh-CN"/>
              </w:rPr>
              <w:t>桶</w:t>
            </w:r>
            <w:r>
              <w:rPr>
                <w:rFonts w:hint="eastAsia"/>
                <w:color w:val="auto"/>
                <w:sz w:val="24"/>
                <w:szCs w:val="24"/>
                <w:u w:val="none" w:color="auto"/>
              </w:rPr>
              <w:t>采用抹布清洁，故</w:t>
            </w:r>
            <w:r>
              <w:rPr>
                <w:rFonts w:hint="eastAsia"/>
                <w:color w:val="auto"/>
                <w:sz w:val="24"/>
                <w:szCs w:val="24"/>
                <w:u w:val="none" w:color="auto"/>
                <w:lang w:eastAsia="zh-CN"/>
              </w:rPr>
              <w:t>搅拌桶清洁</w:t>
            </w:r>
            <w:r>
              <w:rPr>
                <w:rFonts w:hint="eastAsia"/>
                <w:color w:val="auto"/>
                <w:sz w:val="24"/>
                <w:szCs w:val="24"/>
                <w:u w:val="none" w:color="auto"/>
              </w:rPr>
              <w:t>工序无生产废水产生</w:t>
            </w:r>
            <w:r>
              <w:rPr>
                <w:rFonts w:hint="eastAsia"/>
                <w:color w:val="auto"/>
                <w:sz w:val="24"/>
                <w:szCs w:val="24"/>
                <w:u w:val="none" w:color="auto"/>
                <w:lang w:eastAsia="zh-CN"/>
              </w:rPr>
              <w:t>，产生的废抹布按照危险废物管理</w:t>
            </w:r>
            <w:r>
              <w:rPr>
                <w:rFonts w:hint="eastAsia"/>
                <w:color w:val="auto"/>
                <w:sz w:val="24"/>
                <w:szCs w:val="24"/>
                <w:u w:val="none" w:color="auto"/>
              </w:rPr>
              <w:t>。</w:t>
            </w:r>
          </w:p>
          <w:p w14:paraId="35A2036B">
            <w:pPr>
              <w:spacing w:line="360" w:lineRule="auto"/>
              <w:ind w:firstLine="480" w:firstLineChars="200"/>
              <w:rPr>
                <w:rFonts w:hint="eastAsia" w:eastAsia="宋体"/>
                <w:color w:val="auto"/>
                <w:sz w:val="24"/>
                <w:szCs w:val="24"/>
                <w:u w:val="none" w:color="auto"/>
                <w:lang w:eastAsia="zh-CN"/>
              </w:rPr>
            </w:pPr>
            <w:r>
              <w:rPr>
                <w:rFonts w:hint="eastAsia"/>
                <w:color w:val="auto"/>
                <w:sz w:val="24"/>
                <w:szCs w:val="24"/>
                <w:u w:val="none" w:color="auto"/>
              </w:rPr>
              <w:t>（2）正负极</w:t>
            </w:r>
            <w:r>
              <w:rPr>
                <w:color w:val="auto"/>
                <w:sz w:val="24"/>
                <w:szCs w:val="24"/>
                <w:u w:val="none" w:color="auto"/>
              </w:rPr>
              <w:t>涂布</w:t>
            </w:r>
            <w:r>
              <w:rPr>
                <w:rFonts w:hint="eastAsia"/>
                <w:color w:val="auto"/>
                <w:sz w:val="24"/>
                <w:szCs w:val="24"/>
                <w:u w:val="none" w:color="auto"/>
                <w:lang w:val="en-US" w:eastAsia="zh-CN"/>
              </w:rPr>
              <w:t>烘干</w:t>
            </w:r>
          </w:p>
          <w:p w14:paraId="08A938F0">
            <w:pPr>
              <w:spacing w:line="360" w:lineRule="auto"/>
              <w:ind w:firstLine="480" w:firstLineChars="200"/>
              <w:rPr>
                <w:color w:val="auto"/>
                <w:sz w:val="24"/>
                <w:szCs w:val="24"/>
                <w:u w:val="none" w:color="auto"/>
              </w:rPr>
            </w:pPr>
            <w:r>
              <w:rPr>
                <w:color w:val="auto"/>
                <w:sz w:val="24"/>
                <w:szCs w:val="24"/>
                <w:u w:val="none" w:color="auto"/>
              </w:rPr>
              <w:t>涂布过程即卷成筒状的集流体材料在机械的带动下匀速通过盛有糊状混合浆料的料槽，使混合膏料均匀涂布于连续集流体上，其中，正极集流体材料为铝箔，负极集流体材料为铜箔。</w:t>
            </w:r>
          </w:p>
          <w:p w14:paraId="651BBCE1">
            <w:pPr>
              <w:spacing w:line="360" w:lineRule="auto"/>
              <w:ind w:firstLine="480" w:firstLineChars="200"/>
              <w:rPr>
                <w:color w:val="auto"/>
                <w:sz w:val="24"/>
                <w:szCs w:val="24"/>
                <w:u w:val="none" w:color="auto"/>
              </w:rPr>
            </w:pPr>
            <w:r>
              <w:rPr>
                <w:color w:val="auto"/>
                <w:sz w:val="24"/>
                <w:szCs w:val="24"/>
                <w:u w:val="none" w:color="auto"/>
              </w:rPr>
              <w:t>正极浆料配料采用NMP作为溶剂，均匀涂上正极混合浆料后的正极集流体在机械的带动下缓缓通过烘箱（热源为电），烘箱内由循环热风进行干燥。整个干燥系统采用全封闭形式，涂布过程中，配料使用的溶剂NMP在干燥过程中挥发，产生NMP废气，本项目对此工序产生NMP废气采用封闭的抽吸方式进行收集，NMP废气经收集后通过NMP回收装置对NMP进行回收，回收的废液由供应商回收处理后再利用。</w:t>
            </w:r>
          </w:p>
          <w:p w14:paraId="055BA390">
            <w:pPr>
              <w:spacing w:line="360" w:lineRule="auto"/>
              <w:ind w:firstLine="480" w:firstLineChars="200"/>
              <w:rPr>
                <w:color w:val="auto"/>
                <w:sz w:val="24"/>
                <w:szCs w:val="24"/>
                <w:u w:val="none" w:color="auto"/>
              </w:rPr>
            </w:pPr>
            <w:r>
              <w:rPr>
                <w:color w:val="auto"/>
                <w:sz w:val="24"/>
                <w:szCs w:val="24"/>
                <w:u w:val="none" w:color="auto"/>
              </w:rPr>
              <w:t>负极浆料采用</w:t>
            </w:r>
            <w:r>
              <w:rPr>
                <w:rFonts w:hint="eastAsia"/>
                <w:color w:val="auto"/>
                <w:sz w:val="24"/>
                <w:szCs w:val="24"/>
                <w:u w:val="none" w:color="auto"/>
                <w:lang w:eastAsia="zh-CN"/>
              </w:rPr>
              <w:t>纯水</w:t>
            </w:r>
            <w:r>
              <w:rPr>
                <w:color w:val="auto"/>
                <w:sz w:val="24"/>
                <w:szCs w:val="24"/>
                <w:u w:val="none" w:color="auto"/>
              </w:rPr>
              <w:t>作为溶剂，均匀涂上负极混合浆料后的负极集流体在机械的带动下缓缓通过干燥室，使集流体上浆料里的水分快速蒸发出来完成干燥过程，水分成为水蒸气放空。通过烘箱烘烤完成的极片收成卷料放置于干燥房间内供下道工序使用。</w:t>
            </w:r>
          </w:p>
          <w:p w14:paraId="2FF2D934">
            <w:pPr>
              <w:spacing w:line="360" w:lineRule="auto"/>
              <w:ind w:firstLine="480" w:firstLineChars="200"/>
              <w:rPr>
                <w:color w:val="auto"/>
                <w:sz w:val="24"/>
                <w:szCs w:val="24"/>
                <w:u w:val="none" w:color="auto"/>
              </w:rPr>
            </w:pPr>
            <w:r>
              <w:rPr>
                <w:rFonts w:hint="eastAsia"/>
                <w:color w:val="auto"/>
                <w:sz w:val="24"/>
                <w:szCs w:val="24"/>
                <w:u w:val="none" w:color="auto"/>
              </w:rPr>
              <w:t>（3）</w:t>
            </w:r>
            <w:r>
              <w:rPr>
                <w:rFonts w:hint="eastAsia"/>
                <w:color w:val="auto"/>
                <w:sz w:val="24"/>
                <w:szCs w:val="24"/>
                <w:u w:val="none" w:color="auto"/>
                <w:lang w:val="en-US" w:eastAsia="zh-CN"/>
              </w:rPr>
              <w:t>压片</w:t>
            </w:r>
            <w:r>
              <w:rPr>
                <w:color w:val="auto"/>
                <w:sz w:val="24"/>
                <w:szCs w:val="24"/>
                <w:u w:val="none" w:color="auto"/>
              </w:rPr>
              <w:t>工序</w:t>
            </w:r>
          </w:p>
          <w:p w14:paraId="0C17C133">
            <w:pPr>
              <w:spacing w:line="360" w:lineRule="auto"/>
              <w:ind w:firstLine="480" w:firstLineChars="200"/>
              <w:rPr>
                <w:color w:val="auto"/>
                <w:sz w:val="24"/>
                <w:szCs w:val="24"/>
                <w:u w:val="none" w:color="auto"/>
              </w:rPr>
            </w:pPr>
            <w:r>
              <w:rPr>
                <w:color w:val="auto"/>
                <w:sz w:val="24"/>
                <w:szCs w:val="24"/>
                <w:u w:val="none" w:color="auto"/>
              </w:rPr>
              <w:t>经干燥后的正、负极集流体上涂满了正、负极材料混合物，需要用辊压机对极片进行压实以降低极片厚度，这样在保证电池容积的同时，可以放入最大限度的电极材料，提高电池体积利用率</w:t>
            </w:r>
            <w:r>
              <w:rPr>
                <w:rFonts w:hint="eastAsia"/>
                <w:color w:val="auto"/>
                <w:sz w:val="24"/>
                <w:szCs w:val="24"/>
                <w:u w:val="none" w:color="auto"/>
              </w:rPr>
              <w:t>。</w:t>
            </w:r>
          </w:p>
          <w:p w14:paraId="4FAD7D1E">
            <w:pPr>
              <w:spacing w:line="360" w:lineRule="auto"/>
              <w:ind w:firstLine="480" w:firstLineChars="200"/>
              <w:rPr>
                <w:color w:val="auto"/>
                <w:sz w:val="24"/>
                <w:szCs w:val="24"/>
                <w:u w:val="none" w:color="auto"/>
              </w:rPr>
            </w:pPr>
            <w:r>
              <w:rPr>
                <w:rFonts w:hint="eastAsia"/>
                <w:color w:val="auto"/>
                <w:sz w:val="24"/>
                <w:szCs w:val="24"/>
                <w:u w:val="none" w:color="auto"/>
              </w:rPr>
              <w:t>（4）</w:t>
            </w:r>
            <w:r>
              <w:rPr>
                <w:color w:val="auto"/>
                <w:sz w:val="24"/>
                <w:szCs w:val="24"/>
                <w:u w:val="none" w:color="auto"/>
              </w:rPr>
              <w:t>分</w:t>
            </w:r>
            <w:r>
              <w:rPr>
                <w:rFonts w:hint="eastAsia"/>
                <w:color w:val="auto"/>
                <w:sz w:val="24"/>
                <w:szCs w:val="24"/>
                <w:u w:val="none" w:color="auto"/>
              </w:rPr>
              <w:t>条</w:t>
            </w:r>
            <w:r>
              <w:rPr>
                <w:color w:val="auto"/>
                <w:sz w:val="24"/>
                <w:szCs w:val="24"/>
                <w:u w:val="none" w:color="auto"/>
              </w:rPr>
              <w:t>工序</w:t>
            </w:r>
          </w:p>
          <w:p w14:paraId="3CA4C166">
            <w:pPr>
              <w:bidi w:val="0"/>
              <w:rPr>
                <w:rFonts w:hint="eastAsia" w:ascii="Times New Roman" w:hAnsi="Times New Roman" w:cs="Times New Roman"/>
                <w:color w:val="auto"/>
                <w:u w:val="none" w:color="auto"/>
                <w:lang w:eastAsia="zh-CN"/>
              </w:rPr>
            </w:pPr>
            <w:r>
              <w:rPr>
                <w:color w:val="auto"/>
                <w:sz w:val="24"/>
                <w:szCs w:val="24"/>
                <w:u w:val="none" w:color="auto"/>
              </w:rPr>
              <w:t>自制极片均是有一定宽幅的连续薄片，需要将成段极片冲切成与产品电池形状大小相同规格的小极片，以满足生产工艺要求。分切过程中会有一定量的废弃边角</w:t>
            </w:r>
            <w:r>
              <w:rPr>
                <w:rFonts w:hint="eastAsia" w:ascii="Times New Roman" w:hAnsi="Times New Roman" w:cs="Times New Roman"/>
                <w:color w:val="auto"/>
                <w:u w:val="none" w:color="auto"/>
                <w:lang w:eastAsia="zh-CN"/>
              </w:rPr>
              <w:t>料产生。</w:t>
            </w:r>
          </w:p>
          <w:p w14:paraId="311C2CF3">
            <w:pPr>
              <w:bidi w:val="0"/>
              <w:rPr>
                <w:rFonts w:hint="eastAsia" w:ascii="Times New Roman" w:hAnsi="Times New Roman" w:cs="Times New Roman"/>
                <w:color w:val="auto"/>
                <w:u w:val="none" w:color="auto"/>
                <w:lang w:eastAsia="zh-CN"/>
              </w:rPr>
            </w:pPr>
            <w:r>
              <w:rPr>
                <w:rFonts w:hint="eastAsia"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5</w:t>
            </w:r>
            <w:r>
              <w:rPr>
                <w:rFonts w:hint="eastAsia" w:ascii="Times New Roman" w:hAnsi="Times New Roman" w:cs="Times New Roman"/>
                <w:color w:val="auto"/>
                <w:u w:val="none" w:color="auto"/>
                <w:lang w:eastAsia="zh-CN"/>
              </w:rPr>
              <w:t>）制片</w:t>
            </w:r>
          </w:p>
          <w:p w14:paraId="7D732862">
            <w:pPr>
              <w:bidi w:val="0"/>
              <w:rPr>
                <w:rFonts w:hint="eastAsia" w:ascii="Times New Roman" w:hAnsi="Times New Roman" w:cs="Times New Roman"/>
                <w:color w:val="auto"/>
                <w:u w:val="none" w:color="auto"/>
                <w:lang w:eastAsia="zh-CN"/>
              </w:rPr>
            </w:pPr>
            <w:r>
              <w:rPr>
                <w:rFonts w:hint="eastAsia" w:ascii="Times New Roman" w:hAnsi="Times New Roman" w:cs="Times New Roman"/>
                <w:color w:val="auto"/>
                <w:u w:val="none" w:color="auto"/>
                <w:lang w:eastAsia="zh-CN"/>
              </w:rPr>
              <w:t>正极制片：将分切完成的极片安装在正极制片机上，通过设备将铝极超声焊接在极片的间隙处，然后在相应位置贴上耐高温胶带；焊接</w:t>
            </w:r>
            <w:r>
              <w:rPr>
                <w:rFonts w:hint="eastAsia" w:ascii="Times New Roman" w:hAnsi="Times New Roman" w:cs="Times New Roman"/>
                <w:color w:val="auto"/>
                <w:u w:val="none" w:color="auto"/>
                <w:lang w:val="en-US" w:eastAsia="zh-CN"/>
              </w:rPr>
              <w:t>后的卷极片</w:t>
            </w:r>
            <w:r>
              <w:rPr>
                <w:rFonts w:hint="eastAsia" w:ascii="Times New Roman" w:hAnsi="Times New Roman" w:cs="Times New Roman"/>
                <w:color w:val="auto"/>
                <w:u w:val="none" w:color="auto"/>
                <w:lang w:eastAsia="zh-CN"/>
              </w:rPr>
              <w:t>放入烘箱内进行烘烤，去除极片中的水分，完成烘烤后 自然冷却，供下道工序使用。</w:t>
            </w:r>
          </w:p>
          <w:p w14:paraId="64587764">
            <w:pPr>
              <w:bidi w:val="0"/>
              <w:rPr>
                <w:rFonts w:hint="eastAsia" w:ascii="Times New Roman" w:hAnsi="Times New Roman" w:cs="Times New Roman"/>
                <w:color w:val="auto"/>
                <w:u w:val="none" w:color="auto"/>
                <w:lang w:eastAsia="zh-CN"/>
              </w:rPr>
            </w:pPr>
            <w:r>
              <w:rPr>
                <w:rFonts w:hint="eastAsia" w:ascii="Times New Roman" w:hAnsi="Times New Roman" w:cs="Times New Roman"/>
                <w:color w:val="auto"/>
                <w:u w:val="none" w:color="auto"/>
                <w:lang w:eastAsia="zh-CN"/>
              </w:rPr>
              <w:t>负极制片：将分切完成的极片安装在负极制片机上，通过设备将镍极耳通过超声焊接在极片的间隙处，然后在相应位置贴上耐高温胶带；焊接</w:t>
            </w:r>
            <w:r>
              <w:rPr>
                <w:rFonts w:hint="eastAsia" w:ascii="Times New Roman" w:hAnsi="Times New Roman" w:cs="Times New Roman"/>
                <w:color w:val="auto"/>
                <w:u w:val="none" w:color="auto"/>
                <w:lang w:val="en-US" w:eastAsia="zh-CN"/>
              </w:rPr>
              <w:t>后的卷极片</w:t>
            </w:r>
            <w:r>
              <w:rPr>
                <w:rFonts w:hint="eastAsia" w:ascii="Times New Roman" w:hAnsi="Times New Roman" w:cs="Times New Roman"/>
                <w:color w:val="auto"/>
                <w:u w:val="none" w:color="auto"/>
                <w:lang w:eastAsia="zh-CN"/>
              </w:rPr>
              <w:t>放入烘箱内进行烘烤，去除极片中的水分，完成烘烤后 自然冷却，供下道工序使用。</w:t>
            </w:r>
          </w:p>
          <w:p w14:paraId="1254DC03">
            <w:pPr>
              <w:bidi w:val="0"/>
              <w:rPr>
                <w:rFonts w:hint="eastAsia"/>
                <w:color w:val="auto"/>
                <w:u w:val="none" w:color="auto"/>
                <w:lang w:val="en-US" w:eastAsia="zh-CN"/>
              </w:rPr>
            </w:pPr>
            <w:r>
              <w:rPr>
                <w:rFonts w:hint="eastAsia"/>
                <w:color w:val="auto"/>
                <w:u w:val="none" w:color="auto"/>
                <w:lang w:val="en-US" w:eastAsia="zh-CN"/>
              </w:rPr>
              <w:t>2、</w:t>
            </w:r>
            <w:r>
              <w:rPr>
                <w:rFonts w:hint="default"/>
                <w:color w:val="auto"/>
                <w:u w:val="none" w:color="auto"/>
                <w:lang w:val="en-US" w:eastAsia="zh-CN"/>
              </w:rPr>
              <w:t>电池组合工序</w:t>
            </w:r>
          </w:p>
          <w:p w14:paraId="69E2192F">
            <w:pPr>
              <w:bidi w:val="0"/>
              <w:rPr>
                <w:rFonts w:hint="default"/>
                <w:color w:val="auto"/>
                <w:u w:val="none" w:color="auto"/>
                <w:lang w:val="en-US" w:eastAsia="zh-CN"/>
              </w:rPr>
            </w:pPr>
            <w:r>
              <w:rPr>
                <w:rFonts w:hint="eastAsia"/>
                <w:color w:val="auto"/>
                <w:u w:val="none" w:color="auto"/>
                <w:lang w:val="en-US" w:eastAsia="zh-CN"/>
              </w:rPr>
              <w:t>（1）</w:t>
            </w:r>
            <w:r>
              <w:rPr>
                <w:rFonts w:hint="default"/>
                <w:color w:val="auto"/>
                <w:u w:val="none" w:color="auto"/>
                <w:lang w:val="en-US" w:eastAsia="zh-CN"/>
              </w:rPr>
              <w:t>卷绕</w:t>
            </w:r>
          </w:p>
          <w:p w14:paraId="1AE1C5EB">
            <w:pPr>
              <w:bidi w:val="0"/>
              <w:rPr>
                <w:rFonts w:hint="default"/>
                <w:color w:val="auto"/>
                <w:u w:val="none" w:color="auto"/>
                <w:lang w:val="en-US" w:eastAsia="zh-CN"/>
              </w:rPr>
            </w:pPr>
            <w:r>
              <w:rPr>
                <w:rFonts w:hint="default"/>
                <w:color w:val="auto"/>
                <w:u w:val="none" w:color="auto"/>
                <w:lang w:val="en-US" w:eastAsia="zh-CN"/>
              </w:rPr>
              <w:t>将正极板、负极板和隔膜按照正极片-隔膜-负极片-隔膜自上而下的顺序重叠放置后在全自动卷绕机上进行卷绕制成电池极芯。</w:t>
            </w:r>
          </w:p>
          <w:p w14:paraId="3C12DFE5">
            <w:pPr>
              <w:bidi w:val="0"/>
              <w:rPr>
                <w:rFonts w:hint="default"/>
                <w:color w:val="auto"/>
                <w:u w:val="none" w:color="auto"/>
                <w:lang w:val="en-US" w:eastAsia="zh-CN"/>
              </w:rPr>
            </w:pPr>
            <w:r>
              <w:rPr>
                <w:rFonts w:hint="eastAsia"/>
                <w:color w:val="auto"/>
                <w:u w:val="none" w:color="auto"/>
                <w:lang w:val="en-US" w:eastAsia="zh-CN"/>
              </w:rPr>
              <w:t>（2）压芯、冲膜、顶侧封</w:t>
            </w:r>
          </w:p>
          <w:p w14:paraId="23E6F91B">
            <w:pPr>
              <w:bidi w:val="0"/>
              <w:rPr>
                <w:rFonts w:hint="default"/>
                <w:color w:val="auto"/>
                <w:u w:val="none" w:color="auto"/>
                <w:lang w:val="en-US" w:eastAsia="zh-CN"/>
              </w:rPr>
            </w:pPr>
            <w:r>
              <w:rPr>
                <w:rFonts w:hint="eastAsia"/>
                <w:color w:val="auto"/>
                <w:u w:val="none" w:color="auto"/>
                <w:lang w:val="en-US" w:eastAsia="zh-CN"/>
              </w:rPr>
              <w:t>对卷芯进行压芯、短路测试，检测电池芯内部是否存在短路现象，不合格卷芯进行返修，质量合格的卷芯</w:t>
            </w:r>
            <w:r>
              <w:rPr>
                <w:rFonts w:hint="default"/>
                <w:color w:val="auto"/>
                <w:u w:val="none" w:color="auto"/>
                <w:lang w:val="en-US" w:eastAsia="zh-CN"/>
              </w:rPr>
              <w:t>利用铝塑膜进行</w:t>
            </w:r>
            <w:r>
              <w:rPr>
                <w:rFonts w:hint="eastAsia"/>
                <w:color w:val="auto"/>
                <w:u w:val="none" w:color="auto"/>
                <w:lang w:val="en-US" w:eastAsia="zh-CN"/>
              </w:rPr>
              <w:t>冲膜</w:t>
            </w:r>
            <w:r>
              <w:rPr>
                <w:rFonts w:hint="default"/>
                <w:color w:val="auto"/>
                <w:u w:val="none" w:color="auto"/>
                <w:lang w:val="en-US" w:eastAsia="zh-CN"/>
              </w:rPr>
              <w:t>制壳。将卷绕好的电芯放入壳中，同时在正/负两极拉直，可避免极耳弯折压入卷芯中，导致短路。将入壳后的电芯将顶面和侧面利用</w:t>
            </w:r>
            <w:r>
              <w:rPr>
                <w:rFonts w:hint="eastAsia"/>
                <w:color w:val="auto"/>
                <w:u w:val="none" w:color="auto"/>
                <w:lang w:val="en-US" w:eastAsia="zh-CN"/>
              </w:rPr>
              <w:t>全</w:t>
            </w:r>
            <w:r>
              <w:rPr>
                <w:rFonts w:hint="default"/>
                <w:color w:val="auto"/>
                <w:u w:val="none" w:color="auto"/>
                <w:lang w:val="en-US" w:eastAsia="zh-CN"/>
              </w:rPr>
              <w:t>自动</w:t>
            </w:r>
            <w:r>
              <w:rPr>
                <w:rFonts w:hint="eastAsia"/>
                <w:color w:val="auto"/>
                <w:u w:val="none" w:color="auto"/>
                <w:lang w:val="en-US" w:eastAsia="zh-CN"/>
              </w:rPr>
              <w:t>顶侧</w:t>
            </w:r>
            <w:r>
              <w:rPr>
                <w:rFonts w:hint="default"/>
                <w:color w:val="auto"/>
                <w:u w:val="none" w:color="auto"/>
                <w:lang w:val="en-US" w:eastAsia="zh-CN"/>
              </w:rPr>
              <w:t>封机进行顶侧封。</w:t>
            </w:r>
          </w:p>
          <w:p w14:paraId="5766178D">
            <w:pPr>
              <w:bidi w:val="0"/>
              <w:rPr>
                <w:rFonts w:hint="default"/>
                <w:color w:val="auto"/>
                <w:u w:val="none" w:color="auto"/>
                <w:lang w:val="en-US" w:eastAsia="zh-CN"/>
              </w:rPr>
            </w:pPr>
            <w:r>
              <w:rPr>
                <w:rFonts w:hint="eastAsia"/>
                <w:color w:val="auto"/>
                <w:u w:val="none" w:color="auto"/>
                <w:lang w:val="en-US" w:eastAsia="zh-CN"/>
              </w:rPr>
              <w:t>（3）烘烤、注液</w:t>
            </w:r>
          </w:p>
          <w:p w14:paraId="0AC9F23F">
            <w:pPr>
              <w:bidi w:val="0"/>
              <w:rPr>
                <w:rFonts w:hint="default"/>
                <w:color w:val="auto"/>
                <w:u w:val="none" w:color="auto"/>
                <w:lang w:val="en-US" w:eastAsia="zh-CN"/>
              </w:rPr>
            </w:pPr>
            <w:r>
              <w:rPr>
                <w:rFonts w:hint="default"/>
                <w:color w:val="auto"/>
                <w:u w:val="none" w:color="auto"/>
                <w:lang w:val="en-US" w:eastAsia="zh-CN"/>
              </w:rPr>
              <w:t>通过加热、抽真空的方式将卷芯内的水分去除。将烘干好的电芯放入密封的注液箱中进行注液，项目电解液成分中的LiPF6潮解性强，易溶于水，还溶于低浓度甲醇、乙醇、丙酮、碳酸酯类等有机溶剂，接触空中的水汽会导致分解。由于项目电解液过程均在密闭且控制湿度的条件下进行，且工作温度设计为25℃、湿度低于0.5%的超级干燥且处于真空的环境中，用自动注液机按照工艺要求精确的将所需电解液加注到电芯中。将烘干好的电芯放入密封的注液箱中进行注液，在常温常压下电解液灌注方式为通过全密闭的管道注入电芯，在密封的注液手套箱中操作，注液过程有少量电解液有机废气排放。</w:t>
            </w:r>
          </w:p>
          <w:p w14:paraId="72EC635D">
            <w:pPr>
              <w:bidi w:val="0"/>
              <w:rPr>
                <w:rFonts w:hint="default"/>
                <w:color w:val="auto"/>
                <w:u w:val="none" w:color="auto"/>
                <w:lang w:val="en-US" w:eastAsia="zh-CN"/>
              </w:rPr>
            </w:pPr>
            <w:r>
              <w:rPr>
                <w:rFonts w:hint="eastAsia"/>
                <w:color w:val="auto"/>
                <w:u w:val="none" w:color="auto"/>
                <w:lang w:val="en-US" w:eastAsia="zh-CN"/>
              </w:rPr>
              <w:t>（4）静置、化成</w:t>
            </w:r>
          </w:p>
          <w:p w14:paraId="734747FD">
            <w:pPr>
              <w:bidi w:val="0"/>
              <w:rPr>
                <w:rFonts w:hint="eastAsia"/>
                <w:color w:val="auto"/>
                <w:u w:val="none" w:color="auto"/>
                <w:lang w:val="en-US" w:eastAsia="zh-CN"/>
              </w:rPr>
            </w:pPr>
            <w:r>
              <w:rPr>
                <w:rFonts w:hint="eastAsia"/>
                <w:color w:val="auto"/>
                <w:u w:val="none" w:color="auto"/>
                <w:lang w:val="en-US" w:eastAsia="zh-CN"/>
              </w:rPr>
              <w:t>通过长时间静置使电解液充分浸润极片。化成是在高温压力化成柜内对注液完毕的电池进行充电等激活检测，将电极材料激活，使正、负极电极片上聚合物与电解液相互渗透。此过程使用闭口化成方式，因此化成工序没有废电解液及电解液挥发废气产生，化成时间约为3-4小时。</w:t>
            </w:r>
          </w:p>
          <w:p w14:paraId="04512FAF">
            <w:pPr>
              <w:bidi w:val="0"/>
              <w:rPr>
                <w:rFonts w:hint="eastAsia"/>
                <w:color w:val="auto"/>
                <w:u w:val="none" w:color="auto"/>
                <w:lang w:val="en-US" w:eastAsia="zh-CN"/>
              </w:rPr>
            </w:pPr>
            <w:r>
              <w:rPr>
                <w:rFonts w:hint="eastAsia"/>
                <w:color w:val="auto"/>
                <w:u w:val="none" w:color="auto"/>
                <w:lang w:val="en-US" w:eastAsia="zh-CN"/>
              </w:rPr>
              <w:t>（5）二次封装、真空烘烤</w:t>
            </w:r>
          </w:p>
          <w:p w14:paraId="789FD612">
            <w:pPr>
              <w:bidi w:val="0"/>
              <w:rPr>
                <w:rFonts w:hint="eastAsia" w:eastAsia="宋体"/>
                <w:color w:val="auto"/>
                <w:u w:val="none" w:color="auto"/>
                <w:lang w:val="en-US" w:eastAsia="zh-CN"/>
              </w:rPr>
            </w:pPr>
            <w:r>
              <w:rPr>
                <w:rFonts w:hint="eastAsia"/>
                <w:color w:val="auto"/>
                <w:u w:val="none" w:color="auto"/>
                <w:lang w:val="en-US" w:eastAsia="zh-CN"/>
              </w:rPr>
              <w:t>化成完成后的电芯通过全自动切折烫一体机加工封装，对封装后的电芯进行折边烫边成型。</w:t>
            </w:r>
            <w:r>
              <w:rPr>
                <w:rFonts w:hint="eastAsia"/>
                <w:color w:val="auto"/>
                <w:u w:val="none" w:color="auto"/>
              </w:rPr>
              <w:t>注液</w:t>
            </w:r>
            <w:r>
              <w:rPr>
                <w:rFonts w:hint="eastAsia"/>
                <w:color w:val="auto"/>
                <w:u w:val="none" w:color="auto"/>
                <w:lang w:eastAsia="zh-CN"/>
              </w:rPr>
              <w:t>封装</w:t>
            </w:r>
            <w:r>
              <w:rPr>
                <w:rFonts w:hint="eastAsia"/>
                <w:color w:val="auto"/>
                <w:u w:val="none" w:color="auto"/>
              </w:rPr>
              <w:t>后真空烘烤可使电解液在电池内部更均匀地分布并充分浸润电极材料，提高离子传导效率，有助于提升电池性能和充放电效率</w:t>
            </w:r>
            <w:r>
              <w:rPr>
                <w:rFonts w:hint="eastAsia"/>
                <w:color w:val="auto"/>
                <w:u w:val="none" w:color="auto"/>
                <w:lang w:eastAsia="zh-CN"/>
              </w:rPr>
              <w:t>，该过程使用电烤箱，烘烤温度在</w:t>
            </w:r>
            <w:r>
              <w:rPr>
                <w:rFonts w:hint="eastAsia"/>
                <w:color w:val="auto"/>
                <w:u w:val="none" w:color="auto"/>
                <w:lang w:val="en-US" w:eastAsia="zh-CN"/>
              </w:rPr>
              <w:t>85℃左右，</w:t>
            </w:r>
            <w:r>
              <w:rPr>
                <w:rFonts w:hint="eastAsia"/>
                <w:color w:val="auto"/>
                <w:u w:val="none" w:color="auto"/>
                <w:lang w:eastAsia="zh-CN"/>
              </w:rPr>
              <w:t>无废气产生。</w:t>
            </w:r>
          </w:p>
          <w:p w14:paraId="3183DF75">
            <w:pPr>
              <w:bidi w:val="0"/>
              <w:rPr>
                <w:rFonts w:hint="default"/>
                <w:color w:val="auto"/>
                <w:u w:val="none" w:color="auto"/>
                <w:lang w:val="en-US" w:eastAsia="zh-CN"/>
              </w:rPr>
            </w:pPr>
            <w:r>
              <w:rPr>
                <w:rFonts w:hint="eastAsia"/>
                <w:color w:val="auto"/>
                <w:u w:val="none" w:color="auto"/>
                <w:lang w:val="en-US" w:eastAsia="zh-CN"/>
              </w:rPr>
              <w:t>（6）分容、老化</w:t>
            </w:r>
          </w:p>
          <w:p w14:paraId="530E7C9F">
            <w:pPr>
              <w:bidi w:val="0"/>
              <w:rPr>
                <w:rFonts w:hint="eastAsia"/>
                <w:color w:val="auto"/>
                <w:u w:val="none" w:color="auto"/>
                <w:lang w:val="en-US" w:eastAsia="zh-CN"/>
              </w:rPr>
            </w:pPr>
            <w:r>
              <w:rPr>
                <w:rFonts w:hint="eastAsia"/>
                <w:color w:val="auto"/>
                <w:u w:val="none" w:color="auto"/>
                <w:lang w:val="en-US" w:eastAsia="zh-CN"/>
              </w:rPr>
              <w:t>电芯在分容柜上经充放电约6小时、第一次充电是为了将成时未充满电的电芯充满电，放电是指充满电的电芯自动放完电，分容柜根据放电量的多少自动记录下各电芯的容量，然后根据容量大小的不同将电芯区分开，从而达到分容的目的，最后一次充电再将各电芯充电至出货电压。根据测试结果对电池进行分选。不合格电池定期交给有资质的单位合理安全处置。</w:t>
            </w:r>
          </w:p>
          <w:p w14:paraId="72FF6B27">
            <w:pPr>
              <w:bidi w:val="0"/>
              <w:rPr>
                <w:rFonts w:hint="eastAsia"/>
                <w:color w:val="auto"/>
                <w:u w:val="none" w:color="auto"/>
                <w:lang w:val="en-US" w:eastAsia="zh-CN"/>
              </w:rPr>
            </w:pPr>
            <w:r>
              <w:rPr>
                <w:rFonts w:hint="eastAsia"/>
                <w:color w:val="auto"/>
                <w:u w:val="none" w:color="auto"/>
                <w:lang w:val="en-US" w:eastAsia="zh-CN"/>
              </w:rPr>
              <w:t>老化是电池首次充放电后的静置，化成后的电芯转入温度约18~22℃湿度在小于10%RH的环境中静置3天，目的是使电芯内部正负极片上的活性材料、隔离膜充分浸润透电解液，该过程无污染产生。</w:t>
            </w:r>
          </w:p>
          <w:p w14:paraId="0E520ABB">
            <w:pPr>
              <w:bidi w:val="0"/>
              <w:rPr>
                <w:rFonts w:hint="eastAsia"/>
                <w:color w:val="auto"/>
                <w:u w:val="none" w:color="auto"/>
                <w:lang w:val="en-US" w:eastAsia="zh-CN"/>
              </w:rPr>
            </w:pPr>
            <w:r>
              <w:rPr>
                <w:rFonts w:hint="eastAsia"/>
                <w:color w:val="auto"/>
                <w:u w:val="none" w:color="auto"/>
                <w:lang w:val="en-US" w:eastAsia="zh-CN"/>
              </w:rPr>
              <w:t>对电池内阻、电压、尺寸及重量等进行检测，根据测试结果对电池进行分选。检测工序会有少量不合格品废电池产生，挑出电芯内部存在微短路缺陷的短路、低电压电芯，保障电池性能。</w:t>
            </w:r>
          </w:p>
          <w:p w14:paraId="5EEBFFC1">
            <w:pPr>
              <w:bidi w:val="0"/>
              <w:rPr>
                <w:color w:val="auto"/>
                <w:u w:val="none" w:color="auto"/>
              </w:rPr>
            </w:pPr>
            <w:r>
              <w:rPr>
                <w:rFonts w:hint="eastAsia"/>
                <w:color w:val="auto"/>
                <w:u w:val="none" w:color="auto"/>
                <w:lang w:val="en-US" w:eastAsia="zh-CN"/>
              </w:rPr>
              <w:t>（7）检测</w:t>
            </w:r>
          </w:p>
          <w:p w14:paraId="5804C340">
            <w:pPr>
              <w:bidi w:val="0"/>
              <w:rPr>
                <w:rFonts w:hint="eastAsia"/>
                <w:color w:val="auto"/>
                <w:u w:val="none" w:color="auto"/>
                <w:lang w:val="en-US" w:eastAsia="zh-CN"/>
              </w:rPr>
            </w:pPr>
            <w:r>
              <w:rPr>
                <w:rFonts w:hint="eastAsia"/>
                <w:color w:val="auto"/>
                <w:u w:val="none" w:color="auto"/>
                <w:lang w:val="en-US" w:eastAsia="zh-CN"/>
              </w:rPr>
              <w:t>对电池的外观、电压、内阻等指标进行检测，检测过程可能产生不合格电池。</w:t>
            </w:r>
          </w:p>
          <w:p w14:paraId="79218A1C">
            <w:pPr>
              <w:bidi w:val="0"/>
              <w:rPr>
                <w:rFonts w:hint="eastAsia"/>
                <w:color w:val="auto"/>
                <w:u w:val="none" w:color="auto"/>
                <w:lang w:val="en-US" w:eastAsia="zh-CN"/>
              </w:rPr>
            </w:pPr>
            <w:r>
              <w:rPr>
                <w:rFonts w:hint="eastAsia"/>
                <w:color w:val="auto"/>
                <w:u w:val="none" w:color="auto"/>
                <w:lang w:val="en-US" w:eastAsia="zh-CN"/>
              </w:rPr>
              <w:t>（8）喷码</w:t>
            </w:r>
          </w:p>
          <w:p w14:paraId="270E1D27">
            <w:pPr>
              <w:bidi w:val="0"/>
              <w:rPr>
                <w:rFonts w:hint="eastAsia"/>
                <w:color w:val="auto"/>
                <w:u w:val="none" w:color="auto"/>
                <w:lang w:val="en-US" w:eastAsia="zh-CN"/>
              </w:rPr>
            </w:pPr>
            <w:r>
              <w:rPr>
                <w:rFonts w:hint="eastAsia"/>
                <w:color w:val="auto"/>
                <w:u w:val="none" w:color="auto"/>
                <w:lang w:val="en-US" w:eastAsia="zh-CN"/>
              </w:rPr>
              <w:t>项目使用油墨喷码机对表面喷印信息码，油墨挥发会产生有机废气。</w:t>
            </w:r>
          </w:p>
          <w:p w14:paraId="7CAFAFE8">
            <w:pPr>
              <w:bidi w:val="0"/>
              <w:rPr>
                <w:rFonts w:hint="eastAsia"/>
                <w:color w:val="auto"/>
                <w:u w:val="none" w:color="auto"/>
                <w:lang w:val="en-US" w:eastAsia="zh-CN"/>
              </w:rPr>
            </w:pPr>
            <w:r>
              <w:rPr>
                <w:rFonts w:hint="eastAsia"/>
                <w:color w:val="auto"/>
                <w:u w:val="none" w:color="auto"/>
                <w:lang w:val="en-US" w:eastAsia="zh-CN"/>
              </w:rPr>
              <w:t>（9）包装出货</w:t>
            </w:r>
          </w:p>
          <w:p w14:paraId="2B154E2A">
            <w:pPr>
              <w:bidi w:val="0"/>
              <w:rPr>
                <w:rFonts w:hint="eastAsia"/>
                <w:color w:val="auto"/>
                <w:u w:val="none" w:color="auto"/>
                <w:lang w:val="en-US" w:eastAsia="zh-CN"/>
              </w:rPr>
            </w:pPr>
            <w:r>
              <w:rPr>
                <w:rFonts w:hint="eastAsia"/>
                <w:color w:val="auto"/>
                <w:u w:val="none" w:color="auto"/>
                <w:lang w:val="en-US" w:eastAsia="zh-CN"/>
              </w:rPr>
              <w:t>根据不同系列产品的要求，进行相应的组装，然后将成品进行打包后储存于仓库中。</w:t>
            </w:r>
          </w:p>
          <w:p w14:paraId="4D315853">
            <w:pPr>
              <w:bidi w:val="0"/>
              <w:rPr>
                <w:rFonts w:hint="eastAsia"/>
                <w:b/>
                <w:bCs/>
                <w:color w:val="auto"/>
                <w:u w:val="none" w:color="auto"/>
                <w:lang w:val="en-US" w:eastAsia="zh-CN"/>
              </w:rPr>
            </w:pPr>
            <w:r>
              <w:rPr>
                <w:rFonts w:hint="eastAsia"/>
                <w:b/>
                <w:bCs/>
                <w:color w:val="auto"/>
                <w:u w:val="none" w:color="auto"/>
                <w:lang w:val="en-US" w:eastAsia="zh-CN"/>
              </w:rPr>
              <w:t>铝（钢）壳锂离子电池生产工艺如下：</w:t>
            </w:r>
          </w:p>
          <w:p w14:paraId="5A2DAAED">
            <w:pPr>
              <w:pStyle w:val="2"/>
              <w:ind w:left="0" w:leftChars="0" w:firstLine="0" w:firstLineChars="0"/>
              <w:rPr>
                <w:rFonts w:hint="default"/>
                <w:color w:val="auto"/>
                <w:u w:val="none" w:color="auto"/>
                <w:lang w:val="en-US" w:eastAsia="zh-CN"/>
              </w:rPr>
            </w:pPr>
            <w:r>
              <w:rPr>
                <w:rFonts w:hint="default"/>
                <w:color w:val="auto"/>
                <w:u w:val="none" w:color="auto"/>
                <w:lang w:val="en-US" w:eastAsia="zh-CN"/>
              </w:rPr>
              <w:drawing>
                <wp:inline distT="0" distB="0" distL="114300" distR="114300">
                  <wp:extent cx="5314315" cy="6557010"/>
                  <wp:effectExtent l="0" t="0" r="0" b="0"/>
                  <wp:docPr id="3" name="ECB019B1-382A-4266-B25C-5B523AA43C14-2" descr="C:/Users/admin/AppData/Local/Temp/wps.zixhbx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2" descr="C:/Users/admin/AppData/Local/Temp/wps.zixhbxwps"/>
                          <pic:cNvPicPr>
                            <a:picLocks noChangeAspect="1"/>
                          </pic:cNvPicPr>
                        </pic:nvPicPr>
                        <pic:blipFill>
                          <a:blip r:embed="rId12"/>
                          <a:stretch>
                            <a:fillRect/>
                          </a:stretch>
                        </pic:blipFill>
                        <pic:spPr>
                          <a:xfrm>
                            <a:off x="0" y="0"/>
                            <a:ext cx="5314315" cy="6557010"/>
                          </a:xfrm>
                          <a:prstGeom prst="rect">
                            <a:avLst/>
                          </a:prstGeom>
                        </pic:spPr>
                      </pic:pic>
                    </a:graphicData>
                  </a:graphic>
                </wp:inline>
              </w:drawing>
            </w:r>
          </w:p>
          <w:p w14:paraId="67A6EE4E">
            <w:pPr>
              <w:pStyle w:val="81"/>
              <w:spacing w:line="360" w:lineRule="auto"/>
              <w:ind w:left="0" w:leftChars="0" w:firstLine="0" w:firstLineChars="0"/>
              <w:jc w:val="center"/>
              <w:rPr>
                <w:rFonts w:hAnsi="宋体" w:eastAsia="宋体"/>
                <w:b/>
                <w:color w:val="auto"/>
                <w:sz w:val="24"/>
                <w:szCs w:val="24"/>
                <w:u w:val="none" w:color="auto"/>
              </w:rPr>
            </w:pPr>
            <w:r>
              <w:rPr>
                <w:rFonts w:hAnsi="宋体" w:eastAsia="宋体"/>
                <w:b/>
                <w:color w:val="auto"/>
                <w:sz w:val="24"/>
                <w:szCs w:val="24"/>
                <w:u w:val="none" w:color="auto"/>
              </w:rPr>
              <w:t>图</w:t>
            </w:r>
            <w:r>
              <w:rPr>
                <w:rFonts w:hint="eastAsia" w:hAnsi="宋体" w:eastAsia="宋体"/>
                <w:b/>
                <w:color w:val="auto"/>
                <w:sz w:val="24"/>
                <w:szCs w:val="24"/>
                <w:u w:val="none" w:color="auto"/>
              </w:rPr>
              <w:t>2-</w:t>
            </w:r>
            <w:r>
              <w:rPr>
                <w:rFonts w:hint="eastAsia" w:eastAsia="宋体"/>
                <w:b/>
                <w:color w:val="auto"/>
                <w:sz w:val="24"/>
                <w:szCs w:val="24"/>
                <w:u w:val="none" w:color="auto"/>
                <w:lang w:val="en-US" w:eastAsia="zh-CN"/>
              </w:rPr>
              <w:t>2</w:t>
            </w:r>
            <w:r>
              <w:rPr>
                <w:rFonts w:hint="eastAsia" w:eastAsia="宋体"/>
                <w:b/>
                <w:color w:val="auto"/>
                <w:sz w:val="24"/>
                <w:szCs w:val="24"/>
                <w:u w:val="none" w:color="auto"/>
                <w:lang w:eastAsia="zh-CN"/>
              </w:rPr>
              <w:t>铝（钢）壳</w:t>
            </w:r>
            <w:r>
              <w:rPr>
                <w:rFonts w:hint="eastAsia" w:eastAsia="宋体"/>
                <w:b/>
                <w:color w:val="auto"/>
                <w:sz w:val="24"/>
                <w:szCs w:val="24"/>
                <w:u w:val="none" w:color="auto"/>
                <w:lang w:val="en-US" w:eastAsia="zh-CN"/>
              </w:rPr>
              <w:t>锂离子电池生产</w:t>
            </w:r>
            <w:r>
              <w:rPr>
                <w:rFonts w:hAnsi="宋体" w:eastAsia="宋体"/>
                <w:b/>
                <w:color w:val="auto"/>
                <w:sz w:val="24"/>
                <w:szCs w:val="24"/>
                <w:u w:val="none" w:color="auto"/>
              </w:rPr>
              <w:t>工艺</w:t>
            </w:r>
            <w:r>
              <w:rPr>
                <w:rFonts w:hint="eastAsia" w:hAnsi="宋体" w:eastAsia="宋体"/>
                <w:b/>
                <w:color w:val="auto"/>
                <w:sz w:val="24"/>
                <w:szCs w:val="24"/>
                <w:u w:val="none" w:color="auto"/>
              </w:rPr>
              <w:t>流程</w:t>
            </w:r>
            <w:r>
              <w:rPr>
                <w:rFonts w:hAnsi="宋体" w:eastAsia="宋体"/>
                <w:b/>
                <w:color w:val="auto"/>
                <w:sz w:val="24"/>
                <w:szCs w:val="24"/>
                <w:u w:val="none" w:color="auto"/>
              </w:rPr>
              <w:t>及产污节点图</w:t>
            </w:r>
          </w:p>
          <w:p w14:paraId="78B6309C">
            <w:pPr>
              <w:ind w:firstLine="482"/>
              <w:rPr>
                <w:b/>
                <w:bCs/>
                <w:color w:val="auto"/>
                <w:u w:val="none" w:color="auto"/>
              </w:rPr>
            </w:pPr>
            <w:r>
              <w:rPr>
                <w:rFonts w:hint="eastAsia" w:hAnsi="宋体"/>
                <w:b/>
                <w:bCs/>
                <w:color w:val="auto"/>
                <w:u w:val="none" w:color="auto"/>
                <w:lang w:eastAsia="zh-CN"/>
              </w:rPr>
              <w:t>主要</w:t>
            </w:r>
            <w:r>
              <w:rPr>
                <w:rFonts w:hAnsi="宋体"/>
                <w:b/>
                <w:bCs/>
                <w:color w:val="auto"/>
                <w:u w:val="none" w:color="auto"/>
              </w:rPr>
              <w:t>工艺流程说明：</w:t>
            </w:r>
          </w:p>
          <w:p w14:paraId="2E83A3A3">
            <w:pPr>
              <w:spacing w:line="360" w:lineRule="auto"/>
              <w:ind w:firstLine="480" w:firstLineChars="200"/>
              <w:rPr>
                <w:rFonts w:hint="eastAsia" w:eastAsia="宋体"/>
                <w:color w:val="auto"/>
                <w:sz w:val="24"/>
                <w:szCs w:val="24"/>
                <w:u w:val="none" w:color="auto"/>
                <w:lang w:eastAsia="zh-CN"/>
              </w:rPr>
            </w:pPr>
            <w:r>
              <w:rPr>
                <w:rFonts w:hint="eastAsia"/>
                <w:color w:val="auto"/>
                <w:u w:val="none" w:color="auto"/>
                <w:lang w:val="en-US" w:eastAsia="zh-CN"/>
              </w:rPr>
              <w:t>1、</w:t>
            </w:r>
            <w:r>
              <w:rPr>
                <w:rFonts w:hint="eastAsia"/>
                <w:color w:val="auto"/>
                <w:u w:val="none" w:color="auto"/>
              </w:rPr>
              <w:t>正负极</w:t>
            </w:r>
            <w:r>
              <w:rPr>
                <w:rFonts w:hint="eastAsia"/>
                <w:color w:val="auto"/>
                <w:u w:val="none" w:color="auto"/>
                <w:lang w:val="en-US" w:eastAsia="zh-CN"/>
              </w:rPr>
              <w:t>配料</w:t>
            </w:r>
            <w:r>
              <w:rPr>
                <w:rFonts w:hint="eastAsia"/>
                <w:color w:val="auto"/>
                <w:u w:val="none" w:color="auto"/>
                <w:lang w:eastAsia="zh-CN"/>
              </w:rPr>
              <w:t>、</w:t>
            </w:r>
            <w:r>
              <w:rPr>
                <w:color w:val="auto"/>
                <w:sz w:val="24"/>
                <w:szCs w:val="24"/>
                <w:u w:val="none" w:color="auto"/>
              </w:rPr>
              <w:t>涂布</w:t>
            </w:r>
            <w:r>
              <w:rPr>
                <w:rFonts w:hint="eastAsia"/>
                <w:color w:val="auto"/>
                <w:sz w:val="24"/>
                <w:szCs w:val="24"/>
                <w:u w:val="none" w:color="auto"/>
                <w:lang w:val="en-US" w:eastAsia="zh-CN"/>
              </w:rPr>
              <w:t>烘干、压片</w:t>
            </w:r>
            <w:r>
              <w:rPr>
                <w:rFonts w:hint="eastAsia"/>
                <w:color w:val="auto"/>
                <w:sz w:val="24"/>
                <w:szCs w:val="24"/>
                <w:u w:val="none" w:color="auto"/>
                <w:lang w:eastAsia="zh-CN"/>
              </w:rPr>
              <w:t>、分条、制片、</w:t>
            </w:r>
            <w:r>
              <w:rPr>
                <w:rFonts w:hint="default"/>
                <w:color w:val="auto"/>
                <w:u w:val="none" w:color="auto"/>
                <w:lang w:val="en-US" w:eastAsia="zh-CN"/>
              </w:rPr>
              <w:t>卷绕</w:t>
            </w:r>
            <w:r>
              <w:rPr>
                <w:rFonts w:hint="eastAsia"/>
                <w:color w:val="auto"/>
                <w:sz w:val="24"/>
                <w:szCs w:val="24"/>
                <w:u w:val="none" w:color="auto"/>
                <w:lang w:eastAsia="zh-CN"/>
              </w:rPr>
              <w:t>等工艺与聚合物锂电池是一致的。</w:t>
            </w:r>
          </w:p>
          <w:p w14:paraId="6F4805AB">
            <w:pPr>
              <w:bidi w:val="0"/>
              <w:rPr>
                <w:rFonts w:hint="eastAsia"/>
                <w:color w:val="auto"/>
                <w:u w:val="none" w:color="auto"/>
                <w:lang w:val="en-US" w:eastAsia="zh-CN"/>
              </w:rPr>
            </w:pPr>
            <w:r>
              <w:rPr>
                <w:rFonts w:hint="eastAsia"/>
                <w:color w:val="auto"/>
                <w:u w:val="none" w:color="auto"/>
                <w:lang w:val="en-US" w:eastAsia="zh-CN"/>
              </w:rPr>
              <w:t>2、</w:t>
            </w:r>
            <w:r>
              <w:rPr>
                <w:rFonts w:hint="default"/>
                <w:color w:val="auto"/>
                <w:u w:val="none" w:color="auto"/>
                <w:lang w:val="en-US" w:eastAsia="zh-CN"/>
              </w:rPr>
              <w:t>电池组合工序</w:t>
            </w:r>
          </w:p>
          <w:p w14:paraId="1A9B18C1">
            <w:pPr>
              <w:bidi w:val="0"/>
              <w:rPr>
                <w:rFonts w:hint="default"/>
                <w:color w:val="auto"/>
                <w:u w:val="none" w:color="auto"/>
                <w:lang w:val="en-US" w:eastAsia="zh-CN"/>
              </w:rPr>
            </w:pPr>
            <w:r>
              <w:rPr>
                <w:rFonts w:hint="eastAsia"/>
                <w:color w:val="auto"/>
                <w:u w:val="none" w:color="auto"/>
                <w:lang w:val="en-US" w:eastAsia="zh-CN"/>
              </w:rPr>
              <w:t>（1）压芯、包底胶</w:t>
            </w:r>
          </w:p>
          <w:p w14:paraId="71686ABF">
            <w:pPr>
              <w:bidi w:val="0"/>
              <w:rPr>
                <w:rFonts w:hint="default"/>
                <w:color w:val="auto"/>
                <w:u w:val="none" w:color="auto"/>
                <w:lang w:val="en-US" w:eastAsia="zh-CN"/>
              </w:rPr>
            </w:pPr>
            <w:r>
              <w:rPr>
                <w:rFonts w:hint="eastAsia"/>
                <w:color w:val="auto"/>
                <w:u w:val="none" w:color="auto"/>
                <w:lang w:val="en-US" w:eastAsia="zh-CN"/>
              </w:rPr>
              <w:t>对卷芯进行压芯、短路测试，检测电池芯内部是否存在短路现象，不合格卷芯进行返修，质量合格的卷芯</w:t>
            </w:r>
            <w:r>
              <w:rPr>
                <w:rFonts w:hint="default"/>
                <w:color w:val="auto"/>
                <w:u w:val="none" w:color="auto"/>
                <w:lang w:val="en-US" w:eastAsia="zh-CN"/>
              </w:rPr>
              <w:t>利用铝塑膜进行</w:t>
            </w:r>
            <w:r>
              <w:rPr>
                <w:rFonts w:hint="eastAsia"/>
                <w:color w:val="auto"/>
                <w:u w:val="none" w:color="auto"/>
                <w:lang w:val="en-US" w:eastAsia="zh-CN"/>
              </w:rPr>
              <w:t>冲膜</w:t>
            </w:r>
            <w:r>
              <w:rPr>
                <w:rFonts w:hint="default"/>
                <w:color w:val="auto"/>
                <w:u w:val="none" w:color="auto"/>
                <w:lang w:val="en-US" w:eastAsia="zh-CN"/>
              </w:rPr>
              <w:t>制壳。将卷绕好的电芯放入壳中，同时在正/负两极拉直，可避免极耳弯折压入卷芯中，导致短路。将入壳后的电芯将顶面和侧面利用</w:t>
            </w:r>
            <w:r>
              <w:rPr>
                <w:rFonts w:hint="eastAsia"/>
                <w:color w:val="auto"/>
                <w:u w:val="none" w:color="auto"/>
                <w:lang w:val="en-US" w:eastAsia="zh-CN"/>
              </w:rPr>
              <w:t>全</w:t>
            </w:r>
            <w:r>
              <w:rPr>
                <w:rFonts w:hint="default"/>
                <w:color w:val="auto"/>
                <w:u w:val="none" w:color="auto"/>
                <w:lang w:val="en-US" w:eastAsia="zh-CN"/>
              </w:rPr>
              <w:t>自动</w:t>
            </w:r>
            <w:r>
              <w:rPr>
                <w:rFonts w:hint="eastAsia"/>
                <w:color w:val="auto"/>
                <w:u w:val="none" w:color="auto"/>
                <w:lang w:val="en-US" w:eastAsia="zh-CN"/>
              </w:rPr>
              <w:t>顶侧</w:t>
            </w:r>
            <w:r>
              <w:rPr>
                <w:rFonts w:hint="default"/>
                <w:color w:val="auto"/>
                <w:u w:val="none" w:color="auto"/>
                <w:lang w:val="en-US" w:eastAsia="zh-CN"/>
              </w:rPr>
              <w:t>封机进行顶侧封。</w:t>
            </w:r>
          </w:p>
          <w:p w14:paraId="4B62612F">
            <w:pPr>
              <w:pStyle w:val="2"/>
              <w:rPr>
                <w:rFonts w:hint="eastAsia"/>
                <w:color w:val="auto"/>
                <w:u w:val="none" w:color="auto"/>
                <w:lang w:val="en-US" w:eastAsia="zh-CN"/>
              </w:rPr>
            </w:pPr>
            <w:r>
              <w:rPr>
                <w:rFonts w:hint="eastAsia"/>
                <w:color w:val="auto"/>
                <w:u w:val="none" w:color="auto"/>
                <w:lang w:val="en-US" w:eastAsia="zh-CN"/>
              </w:rPr>
              <w:t>（2）上隔圈、贴顶胶</w:t>
            </w:r>
          </w:p>
          <w:p w14:paraId="14D302C9">
            <w:pPr>
              <w:pStyle w:val="2"/>
              <w:rPr>
                <w:rFonts w:hint="default"/>
                <w:color w:val="auto"/>
                <w:u w:val="none" w:color="auto"/>
                <w:lang w:val="en-US" w:eastAsia="zh-CN"/>
              </w:rPr>
            </w:pPr>
            <w:r>
              <w:rPr>
                <w:rFonts w:hint="default"/>
                <w:color w:val="auto"/>
                <w:u w:val="none" w:color="auto"/>
                <w:lang w:val="en-US" w:eastAsia="zh-CN"/>
              </w:rPr>
              <w:t>用于固定和保护组合卷芯。可以将卷芯进行叠加并保持相对位置，防止卷芯在电池内部晃动、移位，避免正负极之间的短路等问题，同时也能在一定程度上起到缓冲和绝缘的作用</w:t>
            </w:r>
            <w:r>
              <w:rPr>
                <w:rFonts w:hint="eastAsia"/>
                <w:color w:val="auto"/>
                <w:u w:val="none" w:color="auto"/>
                <w:lang w:val="en-US" w:eastAsia="zh-CN"/>
              </w:rPr>
              <w:t>。</w:t>
            </w:r>
          </w:p>
          <w:p w14:paraId="32BCEAA8">
            <w:pPr>
              <w:pStyle w:val="2"/>
              <w:rPr>
                <w:rFonts w:hint="default"/>
                <w:color w:val="auto"/>
                <w:u w:val="none" w:color="auto"/>
                <w:lang w:val="en-US" w:eastAsia="zh-CN"/>
              </w:rPr>
            </w:pPr>
            <w:r>
              <w:rPr>
                <w:rFonts w:hint="eastAsia"/>
                <w:color w:val="auto"/>
                <w:u w:val="none" w:color="auto"/>
                <w:lang w:val="en-US" w:eastAsia="zh-CN"/>
              </w:rPr>
              <w:t>（3）入壳</w:t>
            </w:r>
          </w:p>
          <w:p w14:paraId="3AF49A51">
            <w:pPr>
              <w:pStyle w:val="2"/>
              <w:rPr>
                <w:rFonts w:hint="default"/>
                <w:color w:val="auto"/>
                <w:u w:val="none" w:color="auto"/>
                <w:lang w:val="en-US" w:eastAsia="zh-CN"/>
              </w:rPr>
            </w:pPr>
            <w:r>
              <w:rPr>
                <w:rFonts w:hint="default"/>
                <w:color w:val="auto"/>
                <w:u w:val="none" w:color="auto"/>
                <w:lang w:val="en-US" w:eastAsia="zh-CN"/>
              </w:rPr>
              <w:t>将组装好的电池放入壳体中，使用卡扣或绝缘支架等固定措施，确保电池在使用过程中不会晃动或移位，保证电池与壳体之间的相对位置固定，避免因振动、碰撞等导致电池与壳体摩擦或短路。</w:t>
            </w:r>
          </w:p>
          <w:p w14:paraId="2863BDDF">
            <w:pPr>
              <w:pStyle w:val="2"/>
              <w:rPr>
                <w:rFonts w:hint="default"/>
                <w:color w:val="auto"/>
                <w:u w:val="none" w:color="auto"/>
                <w:lang w:val="en-US" w:eastAsia="zh-CN"/>
              </w:rPr>
            </w:pPr>
            <w:r>
              <w:rPr>
                <w:rFonts w:hint="eastAsia"/>
                <w:color w:val="auto"/>
                <w:u w:val="none" w:color="auto"/>
                <w:lang w:val="en-US" w:eastAsia="zh-CN"/>
              </w:rPr>
              <w:t>（4）真空烘烤</w:t>
            </w:r>
          </w:p>
          <w:p w14:paraId="76BE6FFB">
            <w:pPr>
              <w:pStyle w:val="2"/>
              <w:rPr>
                <w:rFonts w:hint="default"/>
                <w:color w:val="auto"/>
                <w:u w:val="none" w:color="auto"/>
                <w:lang w:val="en-US" w:eastAsia="zh-CN"/>
              </w:rPr>
            </w:pPr>
            <w:r>
              <w:rPr>
                <w:rFonts w:hint="default"/>
                <w:color w:val="auto"/>
                <w:u w:val="none" w:color="auto"/>
                <w:lang w:val="en-US" w:eastAsia="zh-CN"/>
              </w:rPr>
              <w:t>通过加热、抽真空的方式将卷芯内的水分去除。</w:t>
            </w:r>
          </w:p>
          <w:p w14:paraId="58451B5C">
            <w:pPr>
              <w:bidi w:val="0"/>
              <w:rPr>
                <w:rFonts w:hint="default"/>
                <w:color w:val="auto"/>
                <w:u w:val="none" w:color="auto"/>
                <w:lang w:val="en-US" w:eastAsia="zh-CN"/>
              </w:rPr>
            </w:pPr>
            <w:r>
              <w:rPr>
                <w:rFonts w:hint="eastAsia"/>
                <w:color w:val="auto"/>
                <w:u w:val="none" w:color="auto"/>
                <w:lang w:val="en-US" w:eastAsia="zh-CN"/>
              </w:rPr>
              <w:t>（5）注液</w:t>
            </w:r>
          </w:p>
          <w:p w14:paraId="5473EBCB">
            <w:pPr>
              <w:bidi w:val="0"/>
              <w:rPr>
                <w:rFonts w:hint="default"/>
                <w:color w:val="auto"/>
                <w:u w:val="none" w:color="auto"/>
                <w:lang w:val="en-US" w:eastAsia="zh-CN"/>
              </w:rPr>
            </w:pPr>
            <w:r>
              <w:rPr>
                <w:rFonts w:hint="default"/>
                <w:color w:val="auto"/>
                <w:u w:val="none" w:color="auto"/>
                <w:lang w:val="en-US" w:eastAsia="zh-CN"/>
              </w:rPr>
              <w:t>将烘干好的电芯放入密封的注液箱中进行注液，项目电解液成分中的LiPF6潮解性强，易溶于水，还溶于低浓度甲醇、乙醇、丙酮、碳酸酯类等有机溶剂，接触空中的水汽会导致分解。由于项目电解液过程均在密闭且控制湿度的条件下进行，且工作温度设计为25℃、湿度低于0.5%的超级干燥且处于真空的环境中，用自动注液机按照工艺要求精确的将所需电解液加注到电芯中。将烘干好的电芯放入密封的注液箱中进行注液，在常温常压下电解液灌注方式为通过全密闭的管道注入电芯，在密封的注液手套箱中操作，注液过程有少量电解液有机废气排放。</w:t>
            </w:r>
          </w:p>
          <w:p w14:paraId="56F0C5DC">
            <w:pPr>
              <w:bidi w:val="0"/>
              <w:rPr>
                <w:rFonts w:hint="default"/>
                <w:color w:val="auto"/>
                <w:u w:val="none" w:color="auto"/>
                <w:lang w:val="en-US" w:eastAsia="zh-CN"/>
              </w:rPr>
            </w:pPr>
            <w:r>
              <w:rPr>
                <w:rFonts w:hint="eastAsia"/>
                <w:color w:val="auto"/>
                <w:u w:val="none" w:color="auto"/>
                <w:lang w:val="en-US" w:eastAsia="zh-CN"/>
              </w:rPr>
              <w:t>（6）高温老化</w:t>
            </w:r>
          </w:p>
          <w:p w14:paraId="142C2936">
            <w:pPr>
              <w:bidi w:val="0"/>
              <w:rPr>
                <w:rFonts w:hint="eastAsia"/>
                <w:color w:val="auto"/>
                <w:u w:val="none" w:color="auto"/>
                <w:lang w:val="en-US" w:eastAsia="zh-CN"/>
              </w:rPr>
            </w:pPr>
            <w:r>
              <w:rPr>
                <w:rFonts w:hint="eastAsia"/>
                <w:color w:val="auto"/>
                <w:u w:val="none" w:color="auto"/>
                <w:lang w:val="en-US" w:eastAsia="zh-CN"/>
              </w:rPr>
              <w:t>电芯在分容柜上经充放电约6小时、第一次充电是为了将成时未充满电的电芯充满电，放电是指充满电的电芯自动放完电，分容柜根据放电量的多少自动记录下各电芯的容量，然后根据容量大小的不同将电芯区分开，从而达到分容的目的，最后一次充电再将各电芯充电至出货电压。根据测试结果对电池进行分选。不合格电池定期交给有资质的单位合理安全处置。</w:t>
            </w:r>
          </w:p>
          <w:p w14:paraId="6C6DD0BB">
            <w:pPr>
              <w:bidi w:val="0"/>
              <w:rPr>
                <w:rFonts w:hint="eastAsia"/>
                <w:color w:val="auto"/>
                <w:u w:val="none" w:color="auto"/>
                <w:lang w:val="en-US" w:eastAsia="zh-CN"/>
              </w:rPr>
            </w:pPr>
            <w:r>
              <w:rPr>
                <w:rFonts w:hint="eastAsia"/>
                <w:color w:val="auto"/>
                <w:u w:val="none" w:color="auto"/>
                <w:lang w:val="en-US" w:eastAsia="zh-CN"/>
              </w:rPr>
              <w:t>老化是电池首次充放电后的静置，化成后的电芯转入温度约18~22℃湿度在小于10%RH的环境中静置3天，目的是使电芯内部正负极片上的活性材料、隔离膜充分浸润透电解液，该过程无污染产生。</w:t>
            </w:r>
          </w:p>
          <w:p w14:paraId="18598D8C">
            <w:pPr>
              <w:bidi w:val="0"/>
              <w:rPr>
                <w:rFonts w:hint="eastAsia"/>
                <w:color w:val="auto"/>
                <w:u w:val="none" w:color="auto"/>
                <w:lang w:val="en-US" w:eastAsia="zh-CN"/>
              </w:rPr>
            </w:pPr>
            <w:r>
              <w:rPr>
                <w:rFonts w:hint="eastAsia"/>
                <w:color w:val="auto"/>
                <w:u w:val="none" w:color="auto"/>
                <w:lang w:val="en-US" w:eastAsia="zh-CN"/>
              </w:rPr>
              <w:t>对电池内阻、电压、尺寸及重量等进行检测，根据测试结果对电池进行分选。检测工序会有少量不合格品废电池产生，挑出电芯内部存在微短路缺陷的短路、低电压电芯，保障电池性能。</w:t>
            </w:r>
          </w:p>
          <w:p w14:paraId="5C8D80A8">
            <w:pPr>
              <w:bidi w:val="0"/>
              <w:rPr>
                <w:rFonts w:hint="default"/>
                <w:color w:val="auto"/>
                <w:u w:val="none" w:color="auto"/>
                <w:lang w:val="en-US" w:eastAsia="zh-CN"/>
              </w:rPr>
            </w:pPr>
            <w:r>
              <w:rPr>
                <w:rFonts w:hint="eastAsia"/>
                <w:color w:val="auto"/>
                <w:u w:val="none" w:color="auto"/>
                <w:lang w:val="en-US" w:eastAsia="zh-CN"/>
              </w:rPr>
              <w:t>（7）静置、化成</w:t>
            </w:r>
          </w:p>
          <w:p w14:paraId="6883FCBC">
            <w:pPr>
              <w:bidi w:val="0"/>
              <w:rPr>
                <w:rFonts w:hint="eastAsia"/>
                <w:color w:val="auto"/>
                <w:u w:val="none" w:color="auto"/>
                <w:lang w:val="en-US" w:eastAsia="zh-CN"/>
              </w:rPr>
            </w:pPr>
            <w:r>
              <w:rPr>
                <w:rFonts w:hint="eastAsia"/>
                <w:color w:val="auto"/>
                <w:u w:val="none" w:color="auto"/>
                <w:lang w:val="en-US" w:eastAsia="zh-CN"/>
              </w:rPr>
              <w:t>通过长时间静置使电解液充分浸润极片。化成是在高温压力化成柜内对注液完毕的电池进行充电等激活检测，将电极材料激活，使正、负极电极片上聚合物与电解液相互渗透。此过程使用闭口化成方式，因此化成工序没有废电解液及电解液挥发废气产生，化成时间约为3-4小时。</w:t>
            </w:r>
          </w:p>
          <w:p w14:paraId="0C18E218">
            <w:pPr>
              <w:bidi w:val="0"/>
              <w:rPr>
                <w:rFonts w:hint="eastAsia"/>
                <w:color w:val="auto"/>
                <w:u w:val="none" w:color="auto"/>
                <w:lang w:val="en-US" w:eastAsia="zh-CN"/>
              </w:rPr>
            </w:pPr>
            <w:r>
              <w:rPr>
                <w:rFonts w:hint="eastAsia"/>
                <w:color w:val="auto"/>
                <w:u w:val="none" w:color="auto"/>
                <w:lang w:val="en-US" w:eastAsia="zh-CN"/>
              </w:rPr>
              <w:t>（8）挤压封口</w:t>
            </w:r>
          </w:p>
          <w:p w14:paraId="74B12B48">
            <w:pPr>
              <w:bidi w:val="0"/>
              <w:rPr>
                <w:rFonts w:hint="eastAsia"/>
                <w:color w:val="auto"/>
                <w:u w:val="none" w:color="auto"/>
                <w:lang w:val="en-US" w:eastAsia="zh-CN"/>
              </w:rPr>
            </w:pPr>
            <w:r>
              <w:rPr>
                <w:rFonts w:hint="eastAsia"/>
                <w:color w:val="auto"/>
                <w:u w:val="none" w:color="auto"/>
                <w:lang w:val="en-US" w:eastAsia="zh-CN"/>
              </w:rPr>
              <w:t>化成完成后的电芯通过全自动切折烫一体机加工封装，对封装后的电芯进行折边烫边成型。</w:t>
            </w:r>
          </w:p>
          <w:p w14:paraId="5688E007">
            <w:pPr>
              <w:bidi w:val="0"/>
              <w:rPr>
                <w:rFonts w:hint="eastAsia"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（9）清洗</w:t>
            </w:r>
          </w:p>
          <w:p w14:paraId="53D333E3">
            <w:pPr>
              <w:bidi w:val="0"/>
              <w:rPr>
                <w:rFonts w:hint="eastAsia"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对电池外壳进行清洗并烘干水分，</w:t>
            </w:r>
            <w:r>
              <w:rPr>
                <w:rFonts w:hint="eastAsia" w:cs="Times New Roman"/>
                <w:color w:val="auto"/>
                <w:u w:val="none" w:color="auto"/>
                <w:lang w:val="en-US" w:eastAsia="zh-CN"/>
              </w:rPr>
              <w:t>便于下一步喷除锈油；</w:t>
            </w:r>
            <w:r>
              <w:rPr>
                <w:rFonts w:hint="eastAsia" w:ascii="Times New Roman" w:hAnsi="Times New Roman" w:eastAsia="宋体" w:cs="Times New Roman"/>
                <w:color w:val="auto"/>
                <w:u w:val="none" w:color="auto"/>
                <w:lang w:val="en-US" w:eastAsia="zh-CN"/>
              </w:rPr>
              <w:t>电芯外</w:t>
            </w:r>
            <w:r>
              <w:rPr>
                <w:rFonts w:hint="eastAsia" w:cs="Times New Roman"/>
                <w:color w:val="auto"/>
                <w:u w:val="none" w:color="auto"/>
                <w:lang w:val="en-US" w:eastAsia="zh-CN"/>
              </w:rPr>
              <w:t>铝（</w:t>
            </w:r>
            <w:r>
              <w:rPr>
                <w:rFonts w:hint="eastAsia" w:ascii="Times New Roman" w:hAnsi="Times New Roman" w:eastAsia="宋体" w:cs="Times New Roman"/>
                <w:color w:val="auto"/>
                <w:u w:val="none" w:color="auto"/>
                <w:lang w:val="en-US" w:eastAsia="zh-CN"/>
              </w:rPr>
              <w:t>钢</w:t>
            </w:r>
            <w:r>
              <w:rPr>
                <w:rFonts w:hint="eastAsia" w:cs="Times New Roman"/>
                <w:color w:val="auto"/>
                <w:u w:val="none" w:color="auto"/>
                <w:lang w:val="en-US" w:eastAsia="zh-CN"/>
              </w:rPr>
              <w:t>）</w:t>
            </w:r>
            <w:r>
              <w:rPr>
                <w:rFonts w:hint="eastAsia" w:ascii="Times New Roman" w:hAnsi="Times New Roman" w:eastAsia="宋体" w:cs="Times New Roman"/>
                <w:color w:val="auto"/>
                <w:u w:val="none" w:color="auto"/>
                <w:lang w:val="en-US" w:eastAsia="zh-CN"/>
              </w:rPr>
              <w:t>壳均为外购的新产品，仅在存放过程外部沾染少量灰尘，清洗无需使用清洗剂。</w:t>
            </w:r>
          </w:p>
          <w:p w14:paraId="5BA8D312">
            <w:pPr>
              <w:bidi w:val="0"/>
              <w:rPr>
                <w:rFonts w:hint="eastAsia" w:cs="Times New Roman"/>
                <w:color w:val="auto"/>
                <w:u w:val="none" w:color="auto"/>
                <w:lang w:val="en-US" w:eastAsia="zh-CN"/>
              </w:rPr>
            </w:pPr>
            <w:r>
              <w:rPr>
                <w:rFonts w:hint="eastAsia" w:cs="Times New Roman"/>
                <w:color w:val="auto"/>
                <w:u w:val="none" w:color="auto"/>
                <w:lang w:val="en-US" w:eastAsia="zh-CN"/>
              </w:rPr>
              <w:t>（10）喷除锈油</w:t>
            </w:r>
          </w:p>
          <w:p w14:paraId="662BC59C">
            <w:pPr>
              <w:bidi w:val="0"/>
              <w:rPr>
                <w:rFonts w:hint="eastAsia"/>
                <w:color w:val="auto"/>
                <w:u w:val="none" w:color="auto"/>
                <w:lang w:eastAsia="zh-CN"/>
              </w:rPr>
            </w:pPr>
            <w:r>
              <w:rPr>
                <w:rFonts w:hint="eastAsia"/>
                <w:color w:val="auto"/>
                <w:u w:val="none" w:color="auto"/>
                <w:lang w:eastAsia="zh-CN"/>
              </w:rPr>
              <w:t>钢壳锂电池在表面喷涂一层除锈油并固化，防止电池外壳生锈。</w:t>
            </w:r>
          </w:p>
          <w:p w14:paraId="55307A1E">
            <w:pPr>
              <w:bidi w:val="0"/>
              <w:rPr>
                <w:rFonts w:hint="eastAsia"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（1</w:t>
            </w:r>
            <w:r>
              <w:rPr>
                <w:rFonts w:hint="eastAsia" w:cs="Times New Roman"/>
                <w:color w:val="auto"/>
                <w:u w:val="none" w:color="auto"/>
                <w:lang w:val="en-US" w:eastAsia="zh-CN"/>
              </w:rPr>
              <w:t>1</w:t>
            </w:r>
            <w:r>
              <w:rPr>
                <w:rFonts w:hint="eastAsia" w:ascii="Times New Roman" w:hAnsi="Times New Roman" w:eastAsia="宋体" w:cs="Times New Roman"/>
                <w:color w:val="auto"/>
                <w:u w:val="none" w:color="auto"/>
                <w:lang w:val="en-US" w:eastAsia="zh-CN"/>
              </w:rPr>
              <w:t>）</w:t>
            </w:r>
            <w:r>
              <w:rPr>
                <w:rFonts w:hint="eastAsia" w:cs="Times New Roman"/>
                <w:color w:val="auto"/>
                <w:u w:val="none" w:color="auto"/>
                <w:lang w:val="en-US" w:eastAsia="zh-CN"/>
              </w:rPr>
              <w:t>检测</w:t>
            </w:r>
          </w:p>
          <w:p w14:paraId="7565E8F9">
            <w:pPr>
              <w:bidi w:val="0"/>
              <w:rPr>
                <w:rFonts w:hint="eastAsia" w:ascii="Times New Roman" w:hAnsi="Times New Roman" w:eastAsia="宋体" w:cs="Times New Roman"/>
                <w:color w:val="auto"/>
                <w:u w:val="none" w:color="auto"/>
                <w:lang w:val="en-US" w:eastAsia="zh-CN"/>
              </w:rPr>
            </w:pPr>
            <w:r>
              <w:rPr>
                <w:rFonts w:hint="eastAsia"/>
                <w:color w:val="auto"/>
                <w:u w:val="none" w:color="auto"/>
                <w:lang w:val="en-US" w:eastAsia="zh-CN"/>
              </w:rPr>
              <w:t>对电池的外观、电压、内阻等指标进行检测，检测过程可能产生不合格电池</w:t>
            </w:r>
            <w:r>
              <w:rPr>
                <w:rFonts w:hint="eastAsia" w:ascii="Times New Roman" w:hAnsi="Times New Roman" w:eastAsia="宋体" w:cs="Times New Roman"/>
                <w:color w:val="auto"/>
                <w:u w:val="none" w:color="auto"/>
                <w:lang w:val="en-US" w:eastAsia="zh-CN"/>
              </w:rPr>
              <w:t>。</w:t>
            </w:r>
          </w:p>
          <w:p w14:paraId="487ADCB0">
            <w:pPr>
              <w:bidi w:val="0"/>
              <w:rPr>
                <w:rFonts w:hint="eastAsia"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（1</w:t>
            </w:r>
            <w:r>
              <w:rPr>
                <w:rFonts w:hint="eastAsia" w:cs="Times New Roman"/>
                <w:color w:val="auto"/>
                <w:u w:val="none" w:color="auto"/>
                <w:lang w:val="en-US" w:eastAsia="zh-CN"/>
              </w:rPr>
              <w:t>2</w:t>
            </w:r>
            <w:r>
              <w:rPr>
                <w:rFonts w:hint="eastAsia" w:ascii="Times New Roman" w:hAnsi="Times New Roman" w:eastAsia="宋体" w:cs="Times New Roman"/>
                <w:color w:val="auto"/>
                <w:u w:val="none" w:color="auto"/>
                <w:lang w:val="en-US" w:eastAsia="zh-CN"/>
              </w:rPr>
              <w:t>）喷码</w:t>
            </w:r>
          </w:p>
          <w:p w14:paraId="59F055B7">
            <w:pPr>
              <w:bidi w:val="0"/>
              <w:rPr>
                <w:rFonts w:hint="eastAsia"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项目使用喷码机对表面喷印信息码。喷码过程会产生少量喷码有机废气。</w:t>
            </w:r>
          </w:p>
          <w:p w14:paraId="77506394">
            <w:pPr>
              <w:bidi w:val="0"/>
              <w:rPr>
                <w:rFonts w:hint="eastAsia"/>
                <w:color w:val="auto"/>
                <w:u w:val="none" w:color="auto"/>
                <w:lang w:val="en-US" w:eastAsia="zh-CN"/>
              </w:rPr>
            </w:pPr>
            <w:r>
              <w:rPr>
                <w:rFonts w:hint="eastAsia"/>
                <w:color w:val="auto"/>
                <w:u w:val="none" w:color="auto"/>
                <w:lang w:val="en-US" w:eastAsia="zh-CN"/>
              </w:rPr>
              <w:t>（13）包装出货</w:t>
            </w:r>
          </w:p>
          <w:p w14:paraId="0F55EB7C">
            <w:pPr>
              <w:bidi w:val="0"/>
              <w:rPr>
                <w:color w:val="auto"/>
                <w:u w:val="none" w:color="auto"/>
              </w:rPr>
            </w:pPr>
            <w:r>
              <w:rPr>
                <w:rFonts w:hint="eastAsia"/>
                <w:color w:val="auto"/>
                <w:u w:val="none" w:color="auto"/>
                <w:lang w:val="en-US" w:eastAsia="zh-CN"/>
              </w:rPr>
              <w:t>根据不同系列产品的要求，进行相应的配组、组装，然后将成品进行打包后储存于仓库中。</w:t>
            </w:r>
          </w:p>
          <w:p w14:paraId="6B643A87">
            <w:pPr>
              <w:bidi w:val="0"/>
              <w:rPr>
                <w:rFonts w:hint="eastAsia"/>
                <w:color w:val="auto"/>
                <w:u w:val="none" w:color="auto"/>
                <w:lang w:eastAsia="zh-CN"/>
              </w:rPr>
            </w:pPr>
            <w:r>
              <w:rPr>
                <w:rFonts w:hint="eastAsia"/>
                <w:color w:val="auto"/>
                <w:u w:val="none" w:color="auto"/>
                <w:lang w:eastAsia="zh-CN"/>
              </w:rPr>
              <w:t>（三）产排污汇总</w:t>
            </w:r>
          </w:p>
          <w:p w14:paraId="1DEDCE09">
            <w:pPr>
              <w:bidi w:val="0"/>
              <w:rPr>
                <w:rFonts w:hint="eastAsia"/>
                <w:color w:val="auto"/>
                <w:u w:val="none" w:color="auto"/>
                <w:lang w:eastAsia="zh-CN"/>
              </w:rPr>
            </w:pPr>
            <w:r>
              <w:rPr>
                <w:rFonts w:hint="eastAsia"/>
                <w:color w:val="auto"/>
                <w:u w:val="none" w:color="auto"/>
                <w:lang w:eastAsia="zh-CN"/>
              </w:rPr>
              <w:t>项目聚合物锂离子电池与铝（钢壳）电池在生产配料、涂布烘干、制片、注液等主要工艺是一致，仅在产品的组装等加工等环节有细分的区别，因此主要产排污环节基本是一致的，具体如下：</w:t>
            </w:r>
          </w:p>
          <w:p w14:paraId="67406E5F">
            <w:pPr>
              <w:spacing w:line="240" w:lineRule="auto"/>
              <w:ind w:firstLine="422"/>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eastAsia="zh-CN"/>
              </w:rPr>
              <w:t>表</w:t>
            </w:r>
            <w:r>
              <w:rPr>
                <w:rFonts w:hint="default" w:ascii="Times New Roman" w:hAnsi="Times New Roman" w:eastAsia="宋体" w:cs="Times New Roman"/>
                <w:b/>
                <w:bCs/>
                <w:color w:val="auto"/>
                <w:sz w:val="21"/>
                <w:szCs w:val="21"/>
                <w:u w:val="none" w:color="auto"/>
                <w:lang w:val="en-US" w:eastAsia="zh-CN"/>
              </w:rPr>
              <w:t>2-5</w:t>
            </w:r>
            <w:r>
              <w:rPr>
                <w:rFonts w:hint="default" w:ascii="Times New Roman" w:hAnsi="Times New Roman" w:eastAsia="宋体" w:cs="Times New Roman"/>
                <w:b/>
                <w:bCs/>
                <w:color w:val="auto"/>
                <w:sz w:val="21"/>
                <w:szCs w:val="21"/>
                <w:u w:val="none" w:color="auto"/>
                <w:lang w:eastAsia="zh-CN"/>
              </w:rPr>
              <w:t>聚合物锂电池与铝（钢壳）</w:t>
            </w:r>
            <w:r>
              <w:rPr>
                <w:rFonts w:hint="eastAsia" w:ascii="Times New Roman" w:hAnsi="Times New Roman" w:eastAsia="宋体" w:cs="Times New Roman"/>
                <w:b/>
                <w:bCs/>
                <w:color w:val="auto"/>
                <w:sz w:val="21"/>
                <w:szCs w:val="21"/>
                <w:u w:val="none" w:color="auto"/>
                <w:lang w:eastAsia="zh-CN"/>
              </w:rPr>
              <w:t>锂</w:t>
            </w:r>
            <w:r>
              <w:rPr>
                <w:rFonts w:hint="default" w:ascii="Times New Roman" w:hAnsi="Times New Roman" w:eastAsia="宋体" w:cs="Times New Roman"/>
                <w:b/>
                <w:bCs/>
                <w:color w:val="auto"/>
                <w:sz w:val="21"/>
                <w:szCs w:val="21"/>
                <w:u w:val="none" w:color="auto"/>
                <w:lang w:eastAsia="zh-CN"/>
              </w:rPr>
              <w:t>电池产排污汇表</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2091"/>
              <w:gridCol w:w="1752"/>
              <w:gridCol w:w="1916"/>
              <w:gridCol w:w="1763"/>
            </w:tblGrid>
            <w:tr w14:paraId="6CBB2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vMerge w:val="restart"/>
                  <w:tcBorders>
                    <w:top w:val="single" w:color="auto" w:sz="4" w:space="0"/>
                    <w:left w:val="single" w:color="auto" w:sz="4" w:space="0"/>
                    <w:bottom w:val="single" w:color="auto" w:sz="4" w:space="0"/>
                    <w:right w:val="single" w:color="auto" w:sz="4" w:space="0"/>
                  </w:tcBorders>
                  <w:noWrap w:val="0"/>
                  <w:vAlign w:val="center"/>
                </w:tcPr>
                <w:p w14:paraId="435F0CFE">
                  <w:pPr>
                    <w:pStyle w:val="91"/>
                    <w:spacing w:line="240" w:lineRule="auto"/>
                    <w:ind w:firstLine="0" w:firstLineChars="0"/>
                    <w:jc w:val="center"/>
                    <w:rPr>
                      <w:color w:val="auto"/>
                      <w:sz w:val="21"/>
                      <w:u w:val="none" w:color="auto"/>
                    </w:rPr>
                  </w:pPr>
                  <w:r>
                    <w:rPr>
                      <w:color w:val="auto"/>
                      <w:sz w:val="21"/>
                      <w:u w:val="none" w:color="auto"/>
                    </w:rPr>
                    <w:t>序号</w:t>
                  </w:r>
                </w:p>
              </w:tc>
              <w:tc>
                <w:tcPr>
                  <w:tcW w:w="2286" w:type="pct"/>
                  <w:gridSpan w:val="2"/>
                  <w:tcBorders>
                    <w:top w:val="single" w:color="auto" w:sz="4" w:space="0"/>
                    <w:left w:val="nil"/>
                    <w:bottom w:val="single" w:color="auto" w:sz="4" w:space="0"/>
                    <w:right w:val="single" w:color="auto" w:sz="4" w:space="0"/>
                  </w:tcBorders>
                  <w:noWrap w:val="0"/>
                  <w:vAlign w:val="center"/>
                </w:tcPr>
                <w:p w14:paraId="006C1BA3">
                  <w:pPr>
                    <w:pStyle w:val="91"/>
                    <w:spacing w:line="240" w:lineRule="auto"/>
                    <w:ind w:firstLine="0" w:firstLineChars="0"/>
                    <w:jc w:val="center"/>
                    <w:rPr>
                      <w:rFonts w:hint="eastAsia" w:eastAsia="宋体"/>
                      <w:color w:val="auto"/>
                      <w:sz w:val="21"/>
                      <w:u w:val="none" w:color="auto"/>
                      <w:lang w:eastAsia="zh-CN"/>
                    </w:rPr>
                  </w:pPr>
                  <w:r>
                    <w:rPr>
                      <w:rFonts w:hint="eastAsia"/>
                      <w:color w:val="auto"/>
                      <w:sz w:val="21"/>
                      <w:u w:val="none" w:color="auto"/>
                      <w:lang w:eastAsia="zh-CN"/>
                    </w:rPr>
                    <w:t>聚合物锂电池</w:t>
                  </w:r>
                </w:p>
              </w:tc>
              <w:tc>
                <w:tcPr>
                  <w:tcW w:w="2189" w:type="pct"/>
                  <w:gridSpan w:val="2"/>
                  <w:tcBorders>
                    <w:top w:val="single" w:color="auto" w:sz="4" w:space="0"/>
                    <w:left w:val="nil"/>
                    <w:bottom w:val="single" w:color="auto" w:sz="4" w:space="0"/>
                    <w:right w:val="single" w:color="000000" w:sz="4" w:space="0"/>
                  </w:tcBorders>
                  <w:noWrap w:val="0"/>
                  <w:vAlign w:val="center"/>
                </w:tcPr>
                <w:p w14:paraId="7A333141">
                  <w:pPr>
                    <w:pStyle w:val="91"/>
                    <w:spacing w:line="240" w:lineRule="auto"/>
                    <w:ind w:firstLine="0" w:firstLineChars="0"/>
                    <w:jc w:val="center"/>
                    <w:rPr>
                      <w:rFonts w:hint="eastAsia" w:eastAsia="宋体"/>
                      <w:color w:val="auto"/>
                      <w:sz w:val="21"/>
                      <w:u w:val="none" w:color="auto"/>
                      <w:lang w:eastAsia="zh-CN"/>
                    </w:rPr>
                  </w:pPr>
                  <w:r>
                    <w:rPr>
                      <w:rFonts w:hint="eastAsia"/>
                      <w:color w:val="auto"/>
                      <w:sz w:val="21"/>
                      <w:u w:val="none" w:color="auto"/>
                      <w:lang w:eastAsia="zh-CN"/>
                    </w:rPr>
                    <w:t>铝（钢）壳锂电池</w:t>
                  </w:r>
                </w:p>
              </w:tc>
            </w:tr>
            <w:tr w14:paraId="55982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vMerge w:val="continue"/>
                  <w:tcBorders>
                    <w:top w:val="single" w:color="auto" w:sz="4" w:space="0"/>
                    <w:left w:val="single" w:color="auto" w:sz="4" w:space="0"/>
                    <w:bottom w:val="single" w:color="auto" w:sz="4" w:space="0"/>
                    <w:right w:val="single" w:color="auto" w:sz="4" w:space="0"/>
                  </w:tcBorders>
                  <w:noWrap w:val="0"/>
                  <w:vAlign w:val="center"/>
                </w:tcPr>
                <w:p w14:paraId="3198658D">
                  <w:pPr>
                    <w:pStyle w:val="91"/>
                    <w:spacing w:line="240" w:lineRule="auto"/>
                    <w:ind w:firstLine="0" w:firstLineChars="0"/>
                    <w:jc w:val="center"/>
                    <w:rPr>
                      <w:color w:val="auto"/>
                      <w:sz w:val="21"/>
                      <w:u w:val="none" w:color="auto"/>
                    </w:rPr>
                  </w:pPr>
                </w:p>
              </w:tc>
              <w:tc>
                <w:tcPr>
                  <w:tcW w:w="1244" w:type="pct"/>
                  <w:tcBorders>
                    <w:top w:val="single" w:color="auto" w:sz="4" w:space="0"/>
                    <w:left w:val="nil"/>
                    <w:bottom w:val="single" w:color="auto" w:sz="4" w:space="0"/>
                    <w:right w:val="single" w:color="auto" w:sz="4" w:space="0"/>
                  </w:tcBorders>
                  <w:noWrap w:val="0"/>
                  <w:vAlign w:val="center"/>
                </w:tcPr>
                <w:p w14:paraId="18FABE6E">
                  <w:pPr>
                    <w:pStyle w:val="15"/>
                    <w:spacing w:after="0" w:line="300" w:lineRule="exact"/>
                    <w:ind w:left="0" w:leftChars="0" w:firstLine="0" w:firstLineChars="0"/>
                    <w:jc w:val="center"/>
                    <w:rPr>
                      <w:color w:val="auto"/>
                      <w:sz w:val="21"/>
                      <w:u w:val="none" w:color="auto"/>
                    </w:rPr>
                  </w:pPr>
                  <w:r>
                    <w:rPr>
                      <w:color w:val="auto"/>
                      <w:kern w:val="0"/>
                      <w:sz w:val="21"/>
                      <w:szCs w:val="21"/>
                      <w:u w:val="none" w:color="auto"/>
                      <w:lang w:bidi="ar"/>
                    </w:rPr>
                    <w:t>产生环节</w:t>
                  </w:r>
                </w:p>
              </w:tc>
              <w:tc>
                <w:tcPr>
                  <w:tcW w:w="1042" w:type="pct"/>
                  <w:tcBorders>
                    <w:top w:val="single" w:color="auto" w:sz="4" w:space="0"/>
                    <w:left w:val="nil"/>
                    <w:bottom w:val="single" w:color="auto" w:sz="4" w:space="0"/>
                    <w:right w:val="single" w:color="auto" w:sz="4" w:space="0"/>
                  </w:tcBorders>
                  <w:noWrap w:val="0"/>
                  <w:vAlign w:val="center"/>
                </w:tcPr>
                <w:p w14:paraId="00D03A63">
                  <w:pPr>
                    <w:pStyle w:val="15"/>
                    <w:spacing w:after="0" w:line="300" w:lineRule="exact"/>
                    <w:ind w:left="0" w:leftChars="0" w:firstLine="0" w:firstLineChars="0"/>
                    <w:jc w:val="center"/>
                    <w:rPr>
                      <w:rFonts w:hint="eastAsia" w:eastAsia="宋体"/>
                      <w:color w:val="auto"/>
                      <w:sz w:val="21"/>
                      <w:u w:val="none" w:color="auto"/>
                      <w:lang w:eastAsia="zh-CN"/>
                    </w:rPr>
                  </w:pPr>
                  <w:r>
                    <w:rPr>
                      <w:color w:val="auto"/>
                      <w:kern w:val="0"/>
                      <w:sz w:val="21"/>
                      <w:szCs w:val="21"/>
                      <w:u w:val="none" w:color="auto"/>
                      <w:lang w:bidi="ar"/>
                    </w:rPr>
                    <w:t>污染</w:t>
                  </w:r>
                  <w:r>
                    <w:rPr>
                      <w:rFonts w:hint="eastAsia"/>
                      <w:color w:val="auto"/>
                      <w:kern w:val="0"/>
                      <w:sz w:val="21"/>
                      <w:szCs w:val="21"/>
                      <w:u w:val="none" w:color="auto"/>
                      <w:lang w:eastAsia="zh-CN" w:bidi="ar"/>
                    </w:rPr>
                    <w:t>物</w:t>
                  </w:r>
                </w:p>
              </w:tc>
              <w:tc>
                <w:tcPr>
                  <w:tcW w:w="1140" w:type="pct"/>
                  <w:tcBorders>
                    <w:top w:val="single" w:color="auto" w:sz="4" w:space="0"/>
                    <w:left w:val="nil"/>
                    <w:bottom w:val="single" w:color="auto" w:sz="4" w:space="0"/>
                    <w:right w:val="single" w:color="auto" w:sz="4" w:space="0"/>
                  </w:tcBorders>
                  <w:shd w:val="clear" w:color="auto" w:fill="auto"/>
                  <w:noWrap w:val="0"/>
                  <w:vAlign w:val="center"/>
                </w:tcPr>
                <w:p w14:paraId="4C0D3C05">
                  <w:pPr>
                    <w:pStyle w:val="15"/>
                    <w:spacing w:after="0" w:line="300" w:lineRule="exact"/>
                    <w:ind w:left="0" w:leftChars="0" w:firstLine="0" w:firstLineChars="0"/>
                    <w:jc w:val="center"/>
                    <w:rPr>
                      <w:rFonts w:ascii="Times New Roman" w:hAnsi="Times New Roman" w:eastAsia="宋体" w:cs="Times New Roman"/>
                      <w:color w:val="auto"/>
                      <w:kern w:val="2"/>
                      <w:sz w:val="21"/>
                      <w:szCs w:val="24"/>
                      <w:u w:val="none" w:color="auto"/>
                      <w:lang w:val="en-US" w:eastAsia="zh-CN" w:bidi="ar-SA"/>
                    </w:rPr>
                  </w:pPr>
                  <w:r>
                    <w:rPr>
                      <w:color w:val="auto"/>
                      <w:kern w:val="0"/>
                      <w:sz w:val="21"/>
                      <w:szCs w:val="21"/>
                      <w:u w:val="none" w:color="auto"/>
                      <w:lang w:bidi="ar"/>
                    </w:rPr>
                    <w:t>产生环节</w:t>
                  </w:r>
                </w:p>
              </w:tc>
              <w:tc>
                <w:tcPr>
                  <w:tcW w:w="1049" w:type="pct"/>
                  <w:tcBorders>
                    <w:top w:val="single" w:color="auto" w:sz="4" w:space="0"/>
                    <w:left w:val="nil"/>
                    <w:bottom w:val="single" w:color="auto" w:sz="4" w:space="0"/>
                    <w:right w:val="single" w:color="auto" w:sz="4" w:space="0"/>
                  </w:tcBorders>
                  <w:shd w:val="clear" w:color="auto" w:fill="auto"/>
                  <w:noWrap w:val="0"/>
                  <w:vAlign w:val="center"/>
                </w:tcPr>
                <w:p w14:paraId="3FE2605D">
                  <w:pPr>
                    <w:pStyle w:val="15"/>
                    <w:spacing w:after="0" w:line="300" w:lineRule="exact"/>
                    <w:ind w:left="0" w:leftChars="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color w:val="auto"/>
                      <w:kern w:val="0"/>
                      <w:sz w:val="21"/>
                      <w:szCs w:val="21"/>
                      <w:u w:val="none" w:color="auto"/>
                      <w:lang w:bidi="ar"/>
                    </w:rPr>
                    <w:t>污染</w:t>
                  </w:r>
                  <w:r>
                    <w:rPr>
                      <w:rFonts w:hint="eastAsia"/>
                      <w:color w:val="auto"/>
                      <w:kern w:val="0"/>
                      <w:sz w:val="21"/>
                      <w:szCs w:val="21"/>
                      <w:u w:val="none" w:color="auto"/>
                      <w:lang w:eastAsia="zh-CN" w:bidi="ar"/>
                    </w:rPr>
                    <w:t>物</w:t>
                  </w:r>
                </w:p>
              </w:tc>
            </w:tr>
            <w:tr w14:paraId="603B1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tcBorders>
                    <w:top w:val="single" w:color="auto" w:sz="4" w:space="0"/>
                    <w:left w:val="single" w:color="auto" w:sz="4" w:space="0"/>
                    <w:bottom w:val="single" w:color="auto" w:sz="4" w:space="0"/>
                    <w:right w:val="single" w:color="auto" w:sz="4" w:space="0"/>
                  </w:tcBorders>
                  <w:noWrap w:val="0"/>
                  <w:vAlign w:val="center"/>
                </w:tcPr>
                <w:p w14:paraId="463B4FD1">
                  <w:pPr>
                    <w:pStyle w:val="91"/>
                    <w:spacing w:line="240" w:lineRule="auto"/>
                    <w:ind w:firstLine="0" w:firstLineChars="0"/>
                    <w:jc w:val="center"/>
                    <w:rPr>
                      <w:color w:val="auto"/>
                      <w:sz w:val="21"/>
                      <w:u w:val="none" w:color="auto"/>
                    </w:rPr>
                  </w:pPr>
                  <w:r>
                    <w:rPr>
                      <w:color w:val="auto"/>
                      <w:sz w:val="21"/>
                      <w:u w:val="none" w:color="auto"/>
                    </w:rPr>
                    <w:t>1</w:t>
                  </w:r>
                </w:p>
              </w:tc>
              <w:tc>
                <w:tcPr>
                  <w:tcW w:w="1244" w:type="pct"/>
                  <w:tcBorders>
                    <w:top w:val="single" w:color="auto" w:sz="4" w:space="0"/>
                    <w:left w:val="nil"/>
                    <w:bottom w:val="single" w:color="auto" w:sz="4" w:space="0"/>
                    <w:right w:val="single" w:color="auto" w:sz="4" w:space="0"/>
                  </w:tcBorders>
                  <w:noWrap w:val="0"/>
                  <w:vAlign w:val="center"/>
                </w:tcPr>
                <w:p w14:paraId="352656B4">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配料</w:t>
                  </w:r>
                </w:p>
              </w:tc>
              <w:tc>
                <w:tcPr>
                  <w:tcW w:w="1042" w:type="pct"/>
                  <w:tcBorders>
                    <w:top w:val="single" w:color="auto" w:sz="4" w:space="0"/>
                    <w:left w:val="nil"/>
                    <w:bottom w:val="single" w:color="auto" w:sz="4" w:space="0"/>
                    <w:right w:val="single" w:color="auto" w:sz="4" w:space="0"/>
                  </w:tcBorders>
                  <w:noWrap w:val="0"/>
                  <w:vAlign w:val="center"/>
                </w:tcPr>
                <w:p w14:paraId="7C072670">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颗粒物</w:t>
                  </w:r>
                </w:p>
              </w:tc>
              <w:tc>
                <w:tcPr>
                  <w:tcW w:w="1140" w:type="pct"/>
                  <w:tcBorders>
                    <w:top w:val="single" w:color="auto" w:sz="4" w:space="0"/>
                    <w:left w:val="nil"/>
                    <w:bottom w:val="single" w:color="auto" w:sz="4" w:space="0"/>
                    <w:right w:val="single" w:color="auto" w:sz="4" w:space="0"/>
                  </w:tcBorders>
                  <w:shd w:val="clear" w:color="auto" w:fill="auto"/>
                  <w:noWrap w:val="0"/>
                  <w:vAlign w:val="center"/>
                </w:tcPr>
                <w:p w14:paraId="5F8F8517">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配料</w:t>
                  </w:r>
                </w:p>
              </w:tc>
              <w:tc>
                <w:tcPr>
                  <w:tcW w:w="1049" w:type="pct"/>
                  <w:tcBorders>
                    <w:top w:val="single" w:color="auto" w:sz="4" w:space="0"/>
                    <w:left w:val="nil"/>
                    <w:bottom w:val="single" w:color="auto" w:sz="4" w:space="0"/>
                    <w:right w:val="single" w:color="auto" w:sz="4" w:space="0"/>
                  </w:tcBorders>
                  <w:noWrap w:val="0"/>
                  <w:vAlign w:val="center"/>
                </w:tcPr>
                <w:p w14:paraId="0F77D9DB">
                  <w:pPr>
                    <w:spacing w:line="240" w:lineRule="auto"/>
                    <w:ind w:left="0" w:leftChars="0" w:firstLine="0" w:firstLineChars="0"/>
                    <w:jc w:val="center"/>
                    <w:rPr>
                      <w:rFonts w:hint="default" w:eastAsia="宋体"/>
                      <w:color w:val="auto"/>
                      <w:sz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bidi="ar-SA"/>
                    </w:rPr>
                    <w:t>颗粒物</w:t>
                  </w:r>
                </w:p>
              </w:tc>
            </w:tr>
            <w:tr w14:paraId="099BE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tcBorders>
                    <w:top w:val="single" w:color="auto" w:sz="4" w:space="0"/>
                    <w:left w:val="single" w:color="auto" w:sz="4" w:space="0"/>
                    <w:bottom w:val="single" w:color="auto" w:sz="4" w:space="0"/>
                    <w:right w:val="single" w:color="auto" w:sz="4" w:space="0"/>
                  </w:tcBorders>
                  <w:noWrap w:val="0"/>
                  <w:vAlign w:val="center"/>
                </w:tcPr>
                <w:p w14:paraId="24C089BA">
                  <w:pPr>
                    <w:pStyle w:val="91"/>
                    <w:spacing w:line="240" w:lineRule="auto"/>
                    <w:ind w:firstLine="0" w:firstLineChars="0"/>
                    <w:jc w:val="center"/>
                    <w:rPr>
                      <w:color w:val="auto"/>
                      <w:sz w:val="21"/>
                      <w:u w:val="none" w:color="auto"/>
                    </w:rPr>
                  </w:pPr>
                  <w:r>
                    <w:rPr>
                      <w:color w:val="auto"/>
                      <w:sz w:val="21"/>
                      <w:u w:val="none" w:color="auto"/>
                    </w:rPr>
                    <w:t>2</w:t>
                  </w:r>
                </w:p>
              </w:tc>
              <w:tc>
                <w:tcPr>
                  <w:tcW w:w="1244" w:type="pct"/>
                  <w:tcBorders>
                    <w:top w:val="single" w:color="auto" w:sz="4" w:space="0"/>
                    <w:left w:val="nil"/>
                    <w:bottom w:val="single" w:color="auto" w:sz="4" w:space="0"/>
                    <w:right w:val="single" w:color="auto" w:sz="4" w:space="0"/>
                  </w:tcBorders>
                  <w:noWrap w:val="0"/>
                  <w:vAlign w:val="center"/>
                </w:tcPr>
                <w:p w14:paraId="75EDE346">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涂布烘干</w:t>
                  </w:r>
                </w:p>
              </w:tc>
              <w:tc>
                <w:tcPr>
                  <w:tcW w:w="1042" w:type="pct"/>
                  <w:tcBorders>
                    <w:top w:val="single" w:color="auto" w:sz="4" w:space="0"/>
                    <w:left w:val="nil"/>
                    <w:bottom w:val="single" w:color="auto" w:sz="4" w:space="0"/>
                    <w:right w:val="single" w:color="auto" w:sz="4" w:space="0"/>
                  </w:tcBorders>
                  <w:noWrap w:val="0"/>
                  <w:vAlign w:val="center"/>
                </w:tcPr>
                <w:p w14:paraId="5604756C">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有机废气</w:t>
                  </w:r>
                </w:p>
              </w:tc>
              <w:tc>
                <w:tcPr>
                  <w:tcW w:w="1140" w:type="pct"/>
                  <w:tcBorders>
                    <w:top w:val="single" w:color="auto" w:sz="4" w:space="0"/>
                    <w:left w:val="nil"/>
                    <w:bottom w:val="single" w:color="auto" w:sz="4" w:space="0"/>
                    <w:right w:val="single" w:color="auto" w:sz="4" w:space="0"/>
                  </w:tcBorders>
                  <w:shd w:val="clear" w:color="auto" w:fill="auto"/>
                  <w:noWrap w:val="0"/>
                  <w:vAlign w:val="center"/>
                </w:tcPr>
                <w:p w14:paraId="52F9095D">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涂布烘干</w:t>
                  </w:r>
                </w:p>
              </w:tc>
              <w:tc>
                <w:tcPr>
                  <w:tcW w:w="1049" w:type="pct"/>
                  <w:tcBorders>
                    <w:top w:val="single" w:color="auto" w:sz="4" w:space="0"/>
                    <w:left w:val="nil"/>
                    <w:bottom w:val="single" w:color="auto" w:sz="4" w:space="0"/>
                    <w:right w:val="single" w:color="auto" w:sz="4" w:space="0"/>
                  </w:tcBorders>
                  <w:noWrap w:val="0"/>
                  <w:vAlign w:val="center"/>
                </w:tcPr>
                <w:p w14:paraId="6076987D">
                  <w:pPr>
                    <w:spacing w:line="240" w:lineRule="auto"/>
                    <w:ind w:left="0" w:leftChars="0" w:firstLine="0" w:firstLineChars="0"/>
                    <w:jc w:val="center"/>
                    <w:rPr>
                      <w:rFonts w:hint="default" w:eastAsia="宋体"/>
                      <w:color w:val="auto"/>
                      <w:sz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bidi="ar-SA"/>
                    </w:rPr>
                    <w:t>有机废气</w:t>
                  </w:r>
                </w:p>
              </w:tc>
            </w:tr>
            <w:tr w14:paraId="13738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tcBorders>
                    <w:top w:val="single" w:color="auto" w:sz="4" w:space="0"/>
                    <w:left w:val="single" w:color="auto" w:sz="4" w:space="0"/>
                    <w:bottom w:val="single" w:color="auto" w:sz="4" w:space="0"/>
                    <w:right w:val="single" w:color="auto" w:sz="4" w:space="0"/>
                  </w:tcBorders>
                  <w:noWrap w:val="0"/>
                  <w:vAlign w:val="center"/>
                </w:tcPr>
                <w:p w14:paraId="01CB0871">
                  <w:pPr>
                    <w:pStyle w:val="91"/>
                    <w:spacing w:line="240" w:lineRule="auto"/>
                    <w:ind w:firstLine="0" w:firstLineChars="0"/>
                    <w:jc w:val="center"/>
                    <w:rPr>
                      <w:color w:val="auto"/>
                      <w:sz w:val="21"/>
                      <w:u w:val="none" w:color="auto"/>
                    </w:rPr>
                  </w:pPr>
                  <w:r>
                    <w:rPr>
                      <w:color w:val="auto"/>
                      <w:sz w:val="21"/>
                      <w:u w:val="none" w:color="auto"/>
                    </w:rPr>
                    <w:t>3</w:t>
                  </w:r>
                </w:p>
              </w:tc>
              <w:tc>
                <w:tcPr>
                  <w:tcW w:w="1244" w:type="pct"/>
                  <w:tcBorders>
                    <w:top w:val="single" w:color="auto" w:sz="4" w:space="0"/>
                    <w:left w:val="nil"/>
                    <w:bottom w:val="single" w:color="auto" w:sz="4" w:space="0"/>
                    <w:right w:val="single" w:color="auto" w:sz="4" w:space="0"/>
                  </w:tcBorders>
                  <w:noWrap w:val="0"/>
                  <w:vAlign w:val="center"/>
                </w:tcPr>
                <w:p w14:paraId="0F8B3F6E">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辊压、分条、制片</w:t>
                  </w:r>
                </w:p>
              </w:tc>
              <w:tc>
                <w:tcPr>
                  <w:tcW w:w="1042" w:type="pct"/>
                  <w:tcBorders>
                    <w:top w:val="single" w:color="auto" w:sz="4" w:space="0"/>
                    <w:left w:val="nil"/>
                    <w:bottom w:val="single" w:color="auto" w:sz="4" w:space="0"/>
                    <w:right w:val="single" w:color="auto" w:sz="4" w:space="0"/>
                  </w:tcBorders>
                  <w:noWrap w:val="0"/>
                  <w:vAlign w:val="center"/>
                </w:tcPr>
                <w:p w14:paraId="7A50433B">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噪声、边角料</w:t>
                  </w:r>
                </w:p>
              </w:tc>
              <w:tc>
                <w:tcPr>
                  <w:tcW w:w="1140" w:type="pct"/>
                  <w:tcBorders>
                    <w:top w:val="single" w:color="auto" w:sz="4" w:space="0"/>
                    <w:left w:val="nil"/>
                    <w:bottom w:val="single" w:color="auto" w:sz="4" w:space="0"/>
                    <w:right w:val="single" w:color="auto" w:sz="4" w:space="0"/>
                  </w:tcBorders>
                  <w:shd w:val="clear" w:color="auto" w:fill="auto"/>
                  <w:noWrap w:val="0"/>
                  <w:vAlign w:val="center"/>
                </w:tcPr>
                <w:p w14:paraId="7415692F">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辊压、分条、制片</w:t>
                  </w:r>
                </w:p>
              </w:tc>
              <w:tc>
                <w:tcPr>
                  <w:tcW w:w="1049" w:type="pct"/>
                  <w:tcBorders>
                    <w:top w:val="single" w:color="auto" w:sz="4" w:space="0"/>
                    <w:left w:val="nil"/>
                    <w:bottom w:val="single" w:color="auto" w:sz="4" w:space="0"/>
                    <w:right w:val="single" w:color="auto" w:sz="4" w:space="0"/>
                  </w:tcBorders>
                  <w:noWrap w:val="0"/>
                  <w:vAlign w:val="center"/>
                </w:tcPr>
                <w:p w14:paraId="096E3174">
                  <w:pPr>
                    <w:spacing w:line="240" w:lineRule="auto"/>
                    <w:ind w:left="0" w:leftChars="0" w:firstLine="0" w:firstLineChars="0"/>
                    <w:jc w:val="center"/>
                    <w:rPr>
                      <w:rFonts w:ascii="Times New Roman" w:hAnsi="Times New Roman" w:eastAsia="宋体" w:cs="Times New Roman"/>
                      <w:color w:val="auto"/>
                      <w:sz w:val="21"/>
                      <w:u w:val="none" w:color="auto"/>
                    </w:rPr>
                  </w:pPr>
                  <w:r>
                    <w:rPr>
                      <w:rFonts w:hint="eastAsia" w:ascii="Times New Roman" w:hAnsi="Times New Roman" w:eastAsia="宋体" w:cs="Times New Roman"/>
                      <w:color w:val="auto"/>
                      <w:kern w:val="2"/>
                      <w:sz w:val="21"/>
                      <w:szCs w:val="21"/>
                      <w:u w:val="none" w:color="auto"/>
                      <w:lang w:val="en-US" w:eastAsia="zh-CN" w:bidi="ar-SA"/>
                    </w:rPr>
                    <w:t>噪声、边角料</w:t>
                  </w:r>
                </w:p>
              </w:tc>
            </w:tr>
            <w:tr w14:paraId="45553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tcBorders>
                    <w:top w:val="single" w:color="auto" w:sz="4" w:space="0"/>
                    <w:left w:val="single" w:color="auto" w:sz="4" w:space="0"/>
                    <w:bottom w:val="single" w:color="auto" w:sz="4" w:space="0"/>
                    <w:right w:val="single" w:color="auto" w:sz="4" w:space="0"/>
                  </w:tcBorders>
                  <w:noWrap w:val="0"/>
                  <w:vAlign w:val="center"/>
                </w:tcPr>
                <w:p w14:paraId="7BC0BF30">
                  <w:pPr>
                    <w:pStyle w:val="91"/>
                    <w:spacing w:line="240" w:lineRule="auto"/>
                    <w:ind w:firstLine="0" w:firstLineChars="0"/>
                    <w:jc w:val="center"/>
                    <w:rPr>
                      <w:color w:val="auto"/>
                      <w:sz w:val="21"/>
                      <w:u w:val="none" w:color="auto"/>
                    </w:rPr>
                  </w:pPr>
                  <w:r>
                    <w:rPr>
                      <w:color w:val="auto"/>
                      <w:sz w:val="21"/>
                      <w:u w:val="none" w:color="auto"/>
                    </w:rPr>
                    <w:t>4</w:t>
                  </w:r>
                </w:p>
              </w:tc>
              <w:tc>
                <w:tcPr>
                  <w:tcW w:w="1244" w:type="pct"/>
                  <w:tcBorders>
                    <w:top w:val="single" w:color="auto" w:sz="4" w:space="0"/>
                    <w:left w:val="nil"/>
                    <w:bottom w:val="single" w:color="auto" w:sz="4" w:space="0"/>
                    <w:right w:val="single" w:color="auto" w:sz="4" w:space="0"/>
                  </w:tcBorders>
                  <w:noWrap w:val="0"/>
                  <w:vAlign w:val="center"/>
                </w:tcPr>
                <w:p w14:paraId="438AD29F">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注液</w:t>
                  </w:r>
                </w:p>
              </w:tc>
              <w:tc>
                <w:tcPr>
                  <w:tcW w:w="1042" w:type="pct"/>
                  <w:tcBorders>
                    <w:top w:val="single" w:color="auto" w:sz="4" w:space="0"/>
                    <w:left w:val="nil"/>
                    <w:bottom w:val="single" w:color="auto" w:sz="4" w:space="0"/>
                    <w:right w:val="single" w:color="auto" w:sz="4" w:space="0"/>
                  </w:tcBorders>
                  <w:noWrap w:val="0"/>
                  <w:vAlign w:val="center"/>
                </w:tcPr>
                <w:p w14:paraId="04DE453C">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有机废气</w:t>
                  </w:r>
                </w:p>
              </w:tc>
              <w:tc>
                <w:tcPr>
                  <w:tcW w:w="1140" w:type="pct"/>
                  <w:tcBorders>
                    <w:top w:val="single" w:color="auto" w:sz="4" w:space="0"/>
                    <w:left w:val="nil"/>
                    <w:bottom w:val="single" w:color="auto" w:sz="4" w:space="0"/>
                    <w:right w:val="single" w:color="auto" w:sz="4" w:space="0"/>
                  </w:tcBorders>
                  <w:shd w:val="clear" w:color="auto" w:fill="auto"/>
                  <w:noWrap w:val="0"/>
                  <w:vAlign w:val="center"/>
                </w:tcPr>
                <w:p w14:paraId="2495DAE6">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注液</w:t>
                  </w:r>
                </w:p>
              </w:tc>
              <w:tc>
                <w:tcPr>
                  <w:tcW w:w="1049" w:type="pct"/>
                  <w:tcBorders>
                    <w:top w:val="single" w:color="auto" w:sz="4" w:space="0"/>
                    <w:left w:val="nil"/>
                    <w:bottom w:val="single" w:color="auto" w:sz="4" w:space="0"/>
                    <w:right w:val="single" w:color="auto" w:sz="4" w:space="0"/>
                  </w:tcBorders>
                  <w:noWrap w:val="0"/>
                  <w:vAlign w:val="center"/>
                </w:tcPr>
                <w:p w14:paraId="433D4BD8">
                  <w:pPr>
                    <w:spacing w:line="240" w:lineRule="auto"/>
                    <w:ind w:left="0" w:leftChars="0" w:firstLine="0" w:firstLineChars="0"/>
                    <w:jc w:val="center"/>
                    <w:rPr>
                      <w:rFonts w:ascii="Times New Roman" w:hAnsi="Times New Roman" w:eastAsia="宋体" w:cs="Times New Roman"/>
                      <w:color w:val="auto"/>
                      <w:sz w:val="21"/>
                      <w:u w:val="none" w:color="auto"/>
                    </w:rPr>
                  </w:pPr>
                  <w:r>
                    <w:rPr>
                      <w:rFonts w:hint="eastAsia" w:ascii="Times New Roman" w:hAnsi="Times New Roman" w:eastAsia="宋体" w:cs="Times New Roman"/>
                      <w:color w:val="auto"/>
                      <w:kern w:val="2"/>
                      <w:sz w:val="21"/>
                      <w:szCs w:val="21"/>
                      <w:u w:val="none" w:color="auto"/>
                      <w:lang w:val="en-US" w:eastAsia="zh-CN" w:bidi="ar-SA"/>
                    </w:rPr>
                    <w:t>有机废气</w:t>
                  </w:r>
                </w:p>
              </w:tc>
            </w:tr>
            <w:tr w14:paraId="2D033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tcBorders>
                    <w:top w:val="single" w:color="auto" w:sz="4" w:space="0"/>
                    <w:left w:val="single" w:color="auto" w:sz="4" w:space="0"/>
                    <w:bottom w:val="single" w:color="auto" w:sz="4" w:space="0"/>
                    <w:right w:val="single" w:color="auto" w:sz="4" w:space="0"/>
                  </w:tcBorders>
                  <w:noWrap w:val="0"/>
                  <w:vAlign w:val="center"/>
                </w:tcPr>
                <w:p w14:paraId="78664332">
                  <w:pPr>
                    <w:pStyle w:val="91"/>
                    <w:spacing w:line="240" w:lineRule="auto"/>
                    <w:ind w:firstLine="0" w:firstLineChars="0"/>
                    <w:jc w:val="center"/>
                    <w:rPr>
                      <w:color w:val="auto"/>
                      <w:sz w:val="21"/>
                      <w:u w:val="none" w:color="auto"/>
                    </w:rPr>
                  </w:pPr>
                  <w:r>
                    <w:rPr>
                      <w:color w:val="auto"/>
                      <w:sz w:val="21"/>
                      <w:u w:val="none" w:color="auto"/>
                    </w:rPr>
                    <w:t>5</w:t>
                  </w:r>
                </w:p>
              </w:tc>
              <w:tc>
                <w:tcPr>
                  <w:tcW w:w="1244" w:type="pct"/>
                  <w:tcBorders>
                    <w:top w:val="single" w:color="auto" w:sz="4" w:space="0"/>
                    <w:left w:val="nil"/>
                    <w:bottom w:val="single" w:color="auto" w:sz="4" w:space="0"/>
                    <w:right w:val="single" w:color="auto" w:sz="4" w:space="0"/>
                  </w:tcBorders>
                  <w:noWrap w:val="0"/>
                  <w:vAlign w:val="center"/>
                </w:tcPr>
                <w:p w14:paraId="2C34AC42">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喷码</w:t>
                  </w:r>
                </w:p>
              </w:tc>
              <w:tc>
                <w:tcPr>
                  <w:tcW w:w="1042" w:type="pct"/>
                  <w:tcBorders>
                    <w:top w:val="single" w:color="auto" w:sz="4" w:space="0"/>
                    <w:left w:val="nil"/>
                    <w:bottom w:val="single" w:color="auto" w:sz="4" w:space="0"/>
                    <w:right w:val="single" w:color="auto" w:sz="4" w:space="0"/>
                  </w:tcBorders>
                  <w:noWrap w:val="0"/>
                  <w:vAlign w:val="center"/>
                </w:tcPr>
                <w:p w14:paraId="3FC1F73E">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有机废气</w:t>
                  </w:r>
                </w:p>
              </w:tc>
              <w:tc>
                <w:tcPr>
                  <w:tcW w:w="1140" w:type="pct"/>
                  <w:tcBorders>
                    <w:top w:val="single" w:color="auto" w:sz="4" w:space="0"/>
                    <w:left w:val="nil"/>
                    <w:bottom w:val="single" w:color="auto" w:sz="4" w:space="0"/>
                    <w:right w:val="single" w:color="auto" w:sz="4" w:space="0"/>
                  </w:tcBorders>
                  <w:shd w:val="clear" w:color="auto" w:fill="auto"/>
                  <w:noWrap w:val="0"/>
                  <w:vAlign w:val="center"/>
                </w:tcPr>
                <w:p w14:paraId="7598F740">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喷码</w:t>
                  </w:r>
                </w:p>
              </w:tc>
              <w:tc>
                <w:tcPr>
                  <w:tcW w:w="1049" w:type="pct"/>
                  <w:tcBorders>
                    <w:top w:val="single" w:color="auto" w:sz="4" w:space="0"/>
                    <w:left w:val="nil"/>
                    <w:bottom w:val="single" w:color="auto" w:sz="4" w:space="0"/>
                    <w:right w:val="single" w:color="auto" w:sz="4" w:space="0"/>
                  </w:tcBorders>
                  <w:noWrap w:val="0"/>
                  <w:vAlign w:val="center"/>
                </w:tcPr>
                <w:p w14:paraId="5294BC50">
                  <w:pPr>
                    <w:spacing w:line="240" w:lineRule="auto"/>
                    <w:ind w:left="0" w:leftChars="0" w:firstLine="0" w:firstLineChars="0"/>
                    <w:jc w:val="center"/>
                    <w:rPr>
                      <w:rFonts w:ascii="Times New Roman" w:hAnsi="Times New Roman" w:eastAsia="宋体" w:cs="Times New Roman"/>
                      <w:color w:val="auto"/>
                      <w:sz w:val="21"/>
                      <w:u w:val="none" w:color="auto"/>
                    </w:rPr>
                  </w:pPr>
                  <w:r>
                    <w:rPr>
                      <w:rFonts w:hint="eastAsia" w:ascii="Times New Roman" w:hAnsi="Times New Roman" w:eastAsia="宋体" w:cs="Times New Roman"/>
                      <w:color w:val="auto"/>
                      <w:kern w:val="2"/>
                      <w:sz w:val="21"/>
                      <w:szCs w:val="21"/>
                      <w:u w:val="none" w:color="auto"/>
                      <w:lang w:val="en-US" w:eastAsia="zh-CN" w:bidi="ar-SA"/>
                    </w:rPr>
                    <w:t>有机废气</w:t>
                  </w:r>
                </w:p>
              </w:tc>
            </w:tr>
            <w:tr w14:paraId="2EA6B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tcBorders>
                    <w:top w:val="single" w:color="auto" w:sz="4" w:space="0"/>
                    <w:left w:val="single" w:color="auto" w:sz="4" w:space="0"/>
                    <w:bottom w:val="single" w:color="auto" w:sz="4" w:space="0"/>
                    <w:right w:val="single" w:color="auto" w:sz="4" w:space="0"/>
                  </w:tcBorders>
                  <w:noWrap w:val="0"/>
                  <w:vAlign w:val="center"/>
                </w:tcPr>
                <w:p w14:paraId="030009C2">
                  <w:pPr>
                    <w:pStyle w:val="91"/>
                    <w:spacing w:line="240" w:lineRule="auto"/>
                    <w:ind w:firstLine="0" w:firstLineChars="0"/>
                    <w:jc w:val="center"/>
                    <w:rPr>
                      <w:color w:val="auto"/>
                      <w:sz w:val="21"/>
                      <w:u w:val="none" w:color="auto"/>
                    </w:rPr>
                  </w:pPr>
                  <w:r>
                    <w:rPr>
                      <w:color w:val="auto"/>
                      <w:sz w:val="21"/>
                      <w:u w:val="none" w:color="auto"/>
                    </w:rPr>
                    <w:t>6</w:t>
                  </w:r>
                </w:p>
              </w:tc>
              <w:tc>
                <w:tcPr>
                  <w:tcW w:w="1244" w:type="pct"/>
                  <w:tcBorders>
                    <w:top w:val="single" w:color="auto" w:sz="4" w:space="0"/>
                    <w:left w:val="nil"/>
                    <w:bottom w:val="single" w:color="auto" w:sz="4" w:space="0"/>
                    <w:right w:val="single" w:color="auto" w:sz="4" w:space="0"/>
                  </w:tcBorders>
                  <w:noWrap w:val="0"/>
                  <w:vAlign w:val="center"/>
                </w:tcPr>
                <w:p w14:paraId="7D7486C4">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各检测工序</w:t>
                  </w:r>
                </w:p>
              </w:tc>
              <w:tc>
                <w:tcPr>
                  <w:tcW w:w="1042" w:type="pct"/>
                  <w:tcBorders>
                    <w:top w:val="single" w:color="auto" w:sz="4" w:space="0"/>
                    <w:left w:val="nil"/>
                    <w:bottom w:val="single" w:color="auto" w:sz="4" w:space="0"/>
                    <w:right w:val="single" w:color="auto" w:sz="4" w:space="0"/>
                  </w:tcBorders>
                  <w:noWrap w:val="0"/>
                  <w:vAlign w:val="center"/>
                </w:tcPr>
                <w:p w14:paraId="5B8BD17B">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不合格电池</w:t>
                  </w:r>
                </w:p>
              </w:tc>
              <w:tc>
                <w:tcPr>
                  <w:tcW w:w="1140" w:type="pct"/>
                  <w:tcBorders>
                    <w:top w:val="single" w:color="auto" w:sz="4" w:space="0"/>
                    <w:left w:val="nil"/>
                    <w:bottom w:val="single" w:color="auto" w:sz="4" w:space="0"/>
                    <w:right w:val="single" w:color="auto" w:sz="4" w:space="0"/>
                  </w:tcBorders>
                  <w:shd w:val="clear" w:color="auto" w:fill="auto"/>
                  <w:noWrap w:val="0"/>
                  <w:vAlign w:val="center"/>
                </w:tcPr>
                <w:p w14:paraId="510E29FF">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电池</w:t>
                  </w:r>
                  <w:r>
                    <w:rPr>
                      <w:rFonts w:hint="eastAsia" w:cs="Times New Roman"/>
                      <w:color w:val="auto"/>
                      <w:kern w:val="2"/>
                      <w:sz w:val="21"/>
                      <w:szCs w:val="21"/>
                      <w:u w:val="none" w:color="auto"/>
                      <w:lang w:val="en-US" w:eastAsia="zh-CN" w:bidi="ar-SA"/>
                    </w:rPr>
                    <w:t>外壳</w:t>
                  </w:r>
                  <w:r>
                    <w:rPr>
                      <w:rFonts w:hint="eastAsia" w:ascii="Times New Roman" w:hAnsi="Times New Roman" w:eastAsia="宋体" w:cs="Times New Roman"/>
                      <w:color w:val="auto"/>
                      <w:kern w:val="2"/>
                      <w:sz w:val="21"/>
                      <w:szCs w:val="21"/>
                      <w:u w:val="none" w:color="auto"/>
                      <w:lang w:val="en-US" w:eastAsia="zh-CN" w:bidi="ar-SA"/>
                    </w:rPr>
                    <w:t>清洗</w:t>
                  </w:r>
                </w:p>
              </w:tc>
              <w:tc>
                <w:tcPr>
                  <w:tcW w:w="1049" w:type="pct"/>
                  <w:tcBorders>
                    <w:top w:val="single" w:color="auto" w:sz="4" w:space="0"/>
                    <w:left w:val="nil"/>
                    <w:bottom w:val="single" w:color="auto" w:sz="4" w:space="0"/>
                    <w:right w:val="single" w:color="auto" w:sz="4" w:space="0"/>
                  </w:tcBorders>
                  <w:noWrap w:val="0"/>
                  <w:vAlign w:val="center"/>
                </w:tcPr>
                <w:p w14:paraId="4EEDB7A0">
                  <w:pPr>
                    <w:spacing w:line="240" w:lineRule="auto"/>
                    <w:ind w:left="0" w:leftChars="0" w:firstLine="0" w:firstLineChars="0"/>
                    <w:jc w:val="center"/>
                    <w:rPr>
                      <w:rFonts w:hint="eastAsia" w:ascii="Times New Roman" w:hAnsi="Times New Roman" w:eastAsia="宋体" w:cs="Times New Roman"/>
                      <w:color w:val="auto"/>
                      <w:sz w:val="21"/>
                      <w:u w:val="none" w:color="auto"/>
                      <w:lang w:eastAsia="zh-CN"/>
                    </w:rPr>
                  </w:pPr>
                  <w:r>
                    <w:rPr>
                      <w:rFonts w:hint="eastAsia" w:ascii="Times New Roman" w:hAnsi="Times New Roman" w:eastAsia="宋体" w:cs="Times New Roman"/>
                      <w:color w:val="auto"/>
                      <w:sz w:val="21"/>
                      <w:u w:val="none" w:color="auto"/>
                      <w:lang w:eastAsia="zh-CN"/>
                    </w:rPr>
                    <w:t>清净下水排水</w:t>
                  </w:r>
                </w:p>
              </w:tc>
            </w:tr>
            <w:tr w14:paraId="0452B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tcBorders>
                    <w:top w:val="single" w:color="auto" w:sz="4" w:space="0"/>
                    <w:left w:val="single" w:color="auto" w:sz="4" w:space="0"/>
                    <w:bottom w:val="single" w:color="auto" w:sz="4" w:space="0"/>
                    <w:right w:val="single" w:color="auto" w:sz="4" w:space="0"/>
                  </w:tcBorders>
                  <w:noWrap w:val="0"/>
                  <w:vAlign w:val="center"/>
                </w:tcPr>
                <w:p w14:paraId="065471CF">
                  <w:pPr>
                    <w:pStyle w:val="91"/>
                    <w:spacing w:line="240" w:lineRule="auto"/>
                    <w:ind w:firstLine="0" w:firstLineChars="0"/>
                    <w:jc w:val="center"/>
                    <w:rPr>
                      <w:color w:val="auto"/>
                      <w:sz w:val="21"/>
                      <w:u w:val="none" w:color="auto"/>
                    </w:rPr>
                  </w:pPr>
                  <w:r>
                    <w:rPr>
                      <w:rFonts w:hint="eastAsia"/>
                      <w:color w:val="auto"/>
                      <w:sz w:val="21"/>
                      <w:u w:val="none" w:color="auto"/>
                      <w:lang w:val="en-US" w:eastAsia="zh-CN"/>
                    </w:rPr>
                    <w:t>7</w:t>
                  </w:r>
                </w:p>
              </w:tc>
              <w:tc>
                <w:tcPr>
                  <w:tcW w:w="1244" w:type="pct"/>
                  <w:tcBorders>
                    <w:top w:val="single" w:color="auto" w:sz="4" w:space="0"/>
                    <w:left w:val="nil"/>
                    <w:bottom w:val="single" w:color="auto" w:sz="4" w:space="0"/>
                    <w:right w:val="single" w:color="auto" w:sz="4" w:space="0"/>
                  </w:tcBorders>
                  <w:noWrap w:val="0"/>
                  <w:vAlign w:val="center"/>
                </w:tcPr>
                <w:p w14:paraId="112537AD">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制纯水</w:t>
                  </w:r>
                </w:p>
              </w:tc>
              <w:tc>
                <w:tcPr>
                  <w:tcW w:w="1042" w:type="pct"/>
                  <w:tcBorders>
                    <w:top w:val="single" w:color="auto" w:sz="4" w:space="0"/>
                    <w:left w:val="nil"/>
                    <w:bottom w:val="single" w:color="auto" w:sz="4" w:space="0"/>
                    <w:right w:val="single" w:color="auto" w:sz="4" w:space="0"/>
                  </w:tcBorders>
                  <w:noWrap w:val="0"/>
                  <w:vAlign w:val="center"/>
                </w:tcPr>
                <w:p w14:paraId="3F7FA3F4">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浓水</w:t>
                  </w:r>
                </w:p>
              </w:tc>
              <w:tc>
                <w:tcPr>
                  <w:tcW w:w="1140" w:type="pct"/>
                  <w:tcBorders>
                    <w:top w:val="single" w:color="auto" w:sz="4" w:space="0"/>
                    <w:left w:val="nil"/>
                    <w:bottom w:val="single" w:color="auto" w:sz="4" w:space="0"/>
                    <w:right w:val="single" w:color="auto" w:sz="4" w:space="0"/>
                  </w:tcBorders>
                  <w:shd w:val="clear" w:color="auto" w:fill="auto"/>
                  <w:noWrap w:val="0"/>
                  <w:vAlign w:val="center"/>
                </w:tcPr>
                <w:p w14:paraId="2F52934C">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制纯水</w:t>
                  </w:r>
                </w:p>
              </w:tc>
              <w:tc>
                <w:tcPr>
                  <w:tcW w:w="1049" w:type="pct"/>
                  <w:tcBorders>
                    <w:top w:val="single" w:color="auto" w:sz="4" w:space="0"/>
                    <w:left w:val="nil"/>
                    <w:bottom w:val="single" w:color="auto" w:sz="4" w:space="0"/>
                    <w:right w:val="single" w:color="auto" w:sz="4" w:space="0"/>
                  </w:tcBorders>
                  <w:shd w:val="clear" w:color="auto" w:fill="auto"/>
                  <w:noWrap w:val="0"/>
                  <w:vAlign w:val="center"/>
                </w:tcPr>
                <w:p w14:paraId="14D27D2A">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浓水</w:t>
                  </w:r>
                </w:p>
              </w:tc>
            </w:tr>
            <w:tr w14:paraId="2EF7D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tcBorders>
                    <w:top w:val="single" w:color="auto" w:sz="4" w:space="0"/>
                    <w:left w:val="single" w:color="auto" w:sz="4" w:space="0"/>
                    <w:bottom w:val="single" w:color="auto" w:sz="4" w:space="0"/>
                    <w:right w:val="single" w:color="auto" w:sz="4" w:space="0"/>
                  </w:tcBorders>
                  <w:noWrap w:val="0"/>
                  <w:vAlign w:val="center"/>
                </w:tcPr>
                <w:p w14:paraId="19A079C4">
                  <w:pPr>
                    <w:pStyle w:val="91"/>
                    <w:spacing w:line="240" w:lineRule="auto"/>
                    <w:ind w:firstLine="0" w:firstLineChars="0"/>
                    <w:jc w:val="center"/>
                    <w:rPr>
                      <w:rFonts w:hint="default" w:eastAsia="宋体"/>
                      <w:color w:val="auto"/>
                      <w:sz w:val="21"/>
                      <w:u w:val="none" w:color="auto"/>
                      <w:lang w:val="en-US" w:eastAsia="zh-CN"/>
                    </w:rPr>
                  </w:pPr>
                  <w:r>
                    <w:rPr>
                      <w:rFonts w:hint="eastAsia"/>
                      <w:color w:val="auto"/>
                      <w:sz w:val="21"/>
                      <w:u w:val="none" w:color="auto"/>
                      <w:lang w:val="en-US" w:eastAsia="zh-CN"/>
                    </w:rPr>
                    <w:t>8</w:t>
                  </w:r>
                </w:p>
              </w:tc>
              <w:tc>
                <w:tcPr>
                  <w:tcW w:w="1244" w:type="pct"/>
                  <w:tcBorders>
                    <w:top w:val="single" w:color="auto" w:sz="4" w:space="0"/>
                    <w:left w:val="nil"/>
                    <w:bottom w:val="single" w:color="auto" w:sz="4" w:space="0"/>
                    <w:right w:val="single" w:color="auto" w:sz="4" w:space="0"/>
                  </w:tcBorders>
                  <w:noWrap w:val="0"/>
                  <w:vAlign w:val="center"/>
                </w:tcPr>
                <w:p w14:paraId="5BB744A0">
                  <w:pPr>
                    <w:spacing w:line="240" w:lineRule="auto"/>
                    <w:ind w:left="0" w:leftChars="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w:t>
                  </w:r>
                </w:p>
              </w:tc>
              <w:tc>
                <w:tcPr>
                  <w:tcW w:w="1042" w:type="pct"/>
                  <w:tcBorders>
                    <w:top w:val="single" w:color="auto" w:sz="4" w:space="0"/>
                    <w:left w:val="nil"/>
                    <w:bottom w:val="single" w:color="auto" w:sz="4" w:space="0"/>
                    <w:right w:val="single" w:color="auto" w:sz="4" w:space="0"/>
                  </w:tcBorders>
                  <w:noWrap w:val="0"/>
                  <w:vAlign w:val="center"/>
                </w:tcPr>
                <w:p w14:paraId="5374208A">
                  <w:pPr>
                    <w:spacing w:line="240" w:lineRule="auto"/>
                    <w:ind w:left="0" w:leftChars="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w:t>
                  </w:r>
                </w:p>
              </w:tc>
              <w:tc>
                <w:tcPr>
                  <w:tcW w:w="1140" w:type="pct"/>
                  <w:tcBorders>
                    <w:top w:val="single" w:color="auto" w:sz="4" w:space="0"/>
                    <w:left w:val="nil"/>
                    <w:bottom w:val="single" w:color="auto" w:sz="4" w:space="0"/>
                    <w:right w:val="single" w:color="auto" w:sz="4" w:space="0"/>
                  </w:tcBorders>
                  <w:shd w:val="clear" w:color="auto" w:fill="auto"/>
                  <w:noWrap w:val="0"/>
                  <w:vAlign w:val="center"/>
                </w:tcPr>
                <w:p w14:paraId="1717699A">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各检测工序</w:t>
                  </w:r>
                </w:p>
              </w:tc>
              <w:tc>
                <w:tcPr>
                  <w:tcW w:w="1049" w:type="pct"/>
                  <w:tcBorders>
                    <w:top w:val="single" w:color="auto" w:sz="4" w:space="0"/>
                    <w:left w:val="nil"/>
                    <w:bottom w:val="single" w:color="auto" w:sz="4" w:space="0"/>
                    <w:right w:val="single" w:color="auto" w:sz="4" w:space="0"/>
                  </w:tcBorders>
                  <w:shd w:val="clear" w:color="auto" w:fill="auto"/>
                  <w:noWrap w:val="0"/>
                  <w:vAlign w:val="center"/>
                </w:tcPr>
                <w:p w14:paraId="3BDFCF73">
                  <w:pPr>
                    <w:spacing w:line="240" w:lineRule="auto"/>
                    <w:ind w:left="0" w:leftChars="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不合格电池</w:t>
                  </w:r>
                </w:p>
              </w:tc>
            </w:tr>
          </w:tbl>
          <w:p w14:paraId="0AE738D2">
            <w:pPr>
              <w:ind w:firstLine="482"/>
              <w:rPr>
                <w:rFonts w:hint="eastAsia"/>
                <w:b/>
                <w:bCs/>
                <w:color w:val="auto"/>
                <w:u w:val="none" w:color="auto"/>
              </w:rPr>
            </w:pPr>
            <w:r>
              <w:rPr>
                <w:rFonts w:hint="eastAsia"/>
                <w:b/>
                <w:bCs/>
                <w:color w:val="auto"/>
                <w:u w:val="none" w:color="auto"/>
              </w:rPr>
              <w:t>（</w:t>
            </w:r>
            <w:r>
              <w:rPr>
                <w:rFonts w:hint="eastAsia"/>
                <w:b/>
                <w:bCs/>
                <w:color w:val="auto"/>
                <w:u w:val="none" w:color="auto"/>
                <w:lang w:eastAsia="zh-CN"/>
              </w:rPr>
              <w:t>四</w:t>
            </w:r>
            <w:r>
              <w:rPr>
                <w:rFonts w:hint="eastAsia"/>
                <w:b/>
                <w:bCs/>
                <w:color w:val="auto"/>
                <w:u w:val="none" w:color="auto"/>
              </w:rPr>
              <w:t>）</w:t>
            </w:r>
            <w:r>
              <w:rPr>
                <w:b/>
                <w:bCs/>
                <w:color w:val="auto"/>
                <w:u w:val="none" w:color="auto"/>
              </w:rPr>
              <w:t>物料平衡</w:t>
            </w:r>
          </w:p>
          <w:p w14:paraId="471FB52D">
            <w:pPr>
              <w:ind w:firstLine="480"/>
              <w:rPr>
                <w:rFonts w:hint="eastAsia" w:ascii="宋体" w:hAnsi="宋体"/>
                <w:color w:val="auto"/>
                <w:u w:val="none" w:color="auto"/>
              </w:rPr>
            </w:pPr>
            <w:r>
              <w:rPr>
                <w:color w:val="auto"/>
                <w:u w:val="none" w:color="auto"/>
              </w:rPr>
              <w:t>本项目所有的原料均经搅拌</w:t>
            </w:r>
            <w:r>
              <w:rPr>
                <w:rFonts w:hint="eastAsia"/>
                <w:color w:val="auto"/>
                <w:u w:val="none" w:color="auto"/>
                <w:lang w:eastAsia="zh-CN"/>
              </w:rPr>
              <w:t>、涂布烘干等</w:t>
            </w:r>
            <w:r>
              <w:rPr>
                <w:color w:val="auto"/>
                <w:u w:val="none" w:color="auto"/>
              </w:rPr>
              <w:t>工艺，根据项目技术方提供的数据，结合物质的理化性质分析。项目具体生产物料</w:t>
            </w:r>
            <w:r>
              <w:rPr>
                <w:rFonts w:hint="eastAsia" w:ascii="宋体" w:hAnsi="宋体"/>
                <w:color w:val="auto"/>
                <w:u w:val="none" w:color="auto"/>
              </w:rPr>
              <w:t>平衡如表</w:t>
            </w:r>
            <w:r>
              <w:rPr>
                <w:rFonts w:hint="eastAsia"/>
                <w:color w:val="auto"/>
                <w:u w:val="none" w:color="auto"/>
              </w:rPr>
              <w:t>2-</w:t>
            </w:r>
            <w:r>
              <w:rPr>
                <w:rFonts w:hint="eastAsia"/>
                <w:color w:val="auto"/>
                <w:u w:val="none" w:color="auto"/>
                <w:lang w:val="en-US" w:eastAsia="zh-CN"/>
              </w:rPr>
              <w:t>6</w:t>
            </w:r>
            <w:r>
              <w:rPr>
                <w:rFonts w:hint="eastAsia" w:ascii="宋体" w:hAnsi="宋体"/>
                <w:color w:val="auto"/>
                <w:u w:val="none" w:color="auto"/>
              </w:rPr>
              <w:t>所示。</w:t>
            </w:r>
          </w:p>
          <w:p w14:paraId="148D7542">
            <w:pPr>
              <w:spacing w:line="240" w:lineRule="auto"/>
              <w:ind w:firstLine="422"/>
              <w:jc w:val="center"/>
              <w:rPr>
                <w:rFonts w:hint="eastAsia" w:ascii="宋体" w:hAnsi="宋体"/>
                <w:b/>
                <w:bCs/>
                <w:color w:val="auto"/>
                <w:sz w:val="21"/>
                <w:szCs w:val="21"/>
                <w:u w:val="none" w:color="auto"/>
              </w:rPr>
            </w:pPr>
            <w:r>
              <w:rPr>
                <w:rFonts w:hint="eastAsia" w:ascii="宋体" w:hAnsi="宋体"/>
                <w:b/>
                <w:bCs/>
                <w:color w:val="auto"/>
                <w:sz w:val="21"/>
                <w:szCs w:val="21"/>
                <w:u w:val="none" w:color="auto"/>
              </w:rPr>
              <w:t>表</w:t>
            </w:r>
            <w:r>
              <w:rPr>
                <w:rFonts w:hint="eastAsia"/>
                <w:b/>
                <w:bCs/>
                <w:color w:val="auto"/>
                <w:sz w:val="21"/>
                <w:szCs w:val="21"/>
                <w:u w:val="none" w:color="auto"/>
              </w:rPr>
              <w:t>2-</w:t>
            </w:r>
            <w:r>
              <w:rPr>
                <w:rFonts w:hint="eastAsia"/>
                <w:b/>
                <w:bCs/>
                <w:color w:val="auto"/>
                <w:sz w:val="21"/>
                <w:szCs w:val="21"/>
                <w:u w:val="none" w:color="auto"/>
                <w:lang w:val="en-US" w:eastAsia="zh-CN"/>
              </w:rPr>
              <w:t>6</w:t>
            </w:r>
            <w:r>
              <w:rPr>
                <w:rFonts w:hint="eastAsia"/>
                <w:b/>
                <w:bCs/>
                <w:color w:val="auto"/>
                <w:sz w:val="21"/>
                <w:szCs w:val="21"/>
                <w:u w:val="none" w:color="auto"/>
              </w:rPr>
              <w:t xml:space="preserve">  </w:t>
            </w:r>
            <w:r>
              <w:rPr>
                <w:rFonts w:hint="eastAsia" w:ascii="宋体" w:hAnsi="宋体"/>
                <w:b/>
                <w:bCs/>
                <w:color w:val="auto"/>
                <w:sz w:val="21"/>
                <w:szCs w:val="21"/>
                <w:u w:val="none" w:color="auto"/>
              </w:rPr>
              <w:t>项目生产工艺物料平衡表</w:t>
            </w:r>
          </w:p>
          <w:tbl>
            <w:tblPr>
              <w:tblStyle w:val="28"/>
              <w:tblW w:w="84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2237"/>
              <w:gridCol w:w="1106"/>
              <w:gridCol w:w="2208"/>
              <w:gridCol w:w="995"/>
              <w:gridCol w:w="1132"/>
            </w:tblGrid>
            <w:tr w14:paraId="492F7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restart"/>
                  <w:tcBorders>
                    <w:top w:val="single" w:color="auto" w:sz="4" w:space="0"/>
                    <w:left w:val="single" w:color="auto" w:sz="4" w:space="0"/>
                    <w:bottom w:val="single" w:color="auto" w:sz="4" w:space="0"/>
                    <w:right w:val="single" w:color="auto" w:sz="4" w:space="0"/>
                  </w:tcBorders>
                  <w:noWrap w:val="0"/>
                  <w:vAlign w:val="center"/>
                </w:tcPr>
                <w:p w14:paraId="44187564">
                  <w:pPr>
                    <w:pStyle w:val="91"/>
                    <w:spacing w:line="240" w:lineRule="auto"/>
                    <w:ind w:firstLine="0" w:firstLineChars="0"/>
                    <w:jc w:val="center"/>
                    <w:rPr>
                      <w:color w:val="auto"/>
                      <w:sz w:val="21"/>
                      <w:u w:val="none" w:color="auto"/>
                    </w:rPr>
                  </w:pPr>
                  <w:r>
                    <w:rPr>
                      <w:color w:val="auto"/>
                      <w:sz w:val="21"/>
                      <w:u w:val="none" w:color="auto"/>
                    </w:rPr>
                    <w:t>序号</w:t>
                  </w:r>
                </w:p>
              </w:tc>
              <w:tc>
                <w:tcPr>
                  <w:tcW w:w="3343" w:type="dxa"/>
                  <w:gridSpan w:val="2"/>
                  <w:tcBorders>
                    <w:top w:val="single" w:color="auto" w:sz="4" w:space="0"/>
                    <w:left w:val="nil"/>
                    <w:bottom w:val="single" w:color="auto" w:sz="4" w:space="0"/>
                    <w:right w:val="single" w:color="auto" w:sz="4" w:space="0"/>
                  </w:tcBorders>
                  <w:noWrap w:val="0"/>
                  <w:vAlign w:val="center"/>
                </w:tcPr>
                <w:p w14:paraId="32375135">
                  <w:pPr>
                    <w:pStyle w:val="91"/>
                    <w:spacing w:line="240" w:lineRule="auto"/>
                    <w:ind w:firstLine="0" w:firstLineChars="0"/>
                    <w:jc w:val="center"/>
                    <w:rPr>
                      <w:color w:val="auto"/>
                      <w:sz w:val="21"/>
                      <w:u w:val="none" w:color="auto"/>
                    </w:rPr>
                  </w:pPr>
                  <w:r>
                    <w:rPr>
                      <w:color w:val="auto"/>
                      <w:sz w:val="21"/>
                      <w:u w:val="none" w:color="auto"/>
                    </w:rPr>
                    <w:t>投入（t/a）</w:t>
                  </w:r>
                </w:p>
              </w:tc>
              <w:tc>
                <w:tcPr>
                  <w:tcW w:w="4335" w:type="dxa"/>
                  <w:gridSpan w:val="3"/>
                  <w:tcBorders>
                    <w:top w:val="single" w:color="auto" w:sz="4" w:space="0"/>
                    <w:left w:val="nil"/>
                    <w:bottom w:val="single" w:color="auto" w:sz="4" w:space="0"/>
                    <w:right w:val="single" w:color="auto" w:sz="4" w:space="0"/>
                  </w:tcBorders>
                  <w:noWrap w:val="0"/>
                  <w:vAlign w:val="center"/>
                </w:tcPr>
                <w:p w14:paraId="323E7197">
                  <w:pPr>
                    <w:pStyle w:val="91"/>
                    <w:spacing w:line="240" w:lineRule="auto"/>
                    <w:ind w:firstLine="0" w:firstLineChars="0"/>
                    <w:jc w:val="center"/>
                    <w:rPr>
                      <w:color w:val="auto"/>
                      <w:sz w:val="21"/>
                      <w:u w:val="none" w:color="auto"/>
                    </w:rPr>
                  </w:pPr>
                  <w:r>
                    <w:rPr>
                      <w:color w:val="auto"/>
                      <w:sz w:val="21"/>
                      <w:u w:val="none" w:color="auto"/>
                    </w:rPr>
                    <w:t>产出（t/a）</w:t>
                  </w:r>
                </w:p>
              </w:tc>
            </w:tr>
            <w:tr w14:paraId="34E36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continue"/>
                  <w:tcBorders>
                    <w:top w:val="single" w:color="auto" w:sz="4" w:space="0"/>
                    <w:left w:val="single" w:color="auto" w:sz="4" w:space="0"/>
                    <w:bottom w:val="single" w:color="auto" w:sz="4" w:space="0"/>
                    <w:right w:val="single" w:color="auto" w:sz="4" w:space="0"/>
                  </w:tcBorders>
                  <w:noWrap w:val="0"/>
                  <w:vAlign w:val="center"/>
                </w:tcPr>
                <w:p w14:paraId="03CDC041">
                  <w:pPr>
                    <w:pStyle w:val="91"/>
                    <w:spacing w:line="240" w:lineRule="auto"/>
                    <w:ind w:firstLine="0" w:firstLineChars="0"/>
                    <w:jc w:val="center"/>
                    <w:rPr>
                      <w:color w:val="auto"/>
                      <w:sz w:val="21"/>
                      <w:u w:val="none" w:color="auto"/>
                    </w:rPr>
                  </w:pPr>
                </w:p>
              </w:tc>
              <w:tc>
                <w:tcPr>
                  <w:tcW w:w="2237" w:type="dxa"/>
                  <w:tcBorders>
                    <w:top w:val="single" w:color="auto" w:sz="4" w:space="0"/>
                    <w:left w:val="nil"/>
                    <w:bottom w:val="single" w:color="auto" w:sz="4" w:space="0"/>
                    <w:right w:val="single" w:color="auto" w:sz="4" w:space="0"/>
                  </w:tcBorders>
                  <w:noWrap w:val="0"/>
                  <w:vAlign w:val="center"/>
                </w:tcPr>
                <w:p w14:paraId="23DE887D">
                  <w:pPr>
                    <w:pStyle w:val="91"/>
                    <w:spacing w:line="240" w:lineRule="auto"/>
                    <w:ind w:firstLine="0" w:firstLineChars="0"/>
                    <w:jc w:val="center"/>
                    <w:rPr>
                      <w:color w:val="auto"/>
                      <w:sz w:val="21"/>
                      <w:u w:val="none" w:color="auto"/>
                    </w:rPr>
                  </w:pPr>
                  <w:r>
                    <w:rPr>
                      <w:color w:val="auto"/>
                      <w:sz w:val="21"/>
                      <w:u w:val="none" w:color="auto"/>
                    </w:rPr>
                    <w:t>名称</w:t>
                  </w:r>
                </w:p>
              </w:tc>
              <w:tc>
                <w:tcPr>
                  <w:tcW w:w="1106" w:type="dxa"/>
                  <w:tcBorders>
                    <w:top w:val="single" w:color="auto" w:sz="4" w:space="0"/>
                    <w:left w:val="nil"/>
                    <w:bottom w:val="single" w:color="auto" w:sz="4" w:space="0"/>
                    <w:right w:val="single" w:color="auto" w:sz="4" w:space="0"/>
                  </w:tcBorders>
                  <w:noWrap w:val="0"/>
                  <w:vAlign w:val="center"/>
                </w:tcPr>
                <w:p w14:paraId="5A4EC9E5">
                  <w:pPr>
                    <w:pStyle w:val="91"/>
                    <w:spacing w:line="240" w:lineRule="auto"/>
                    <w:ind w:firstLine="0" w:firstLineChars="0"/>
                    <w:jc w:val="center"/>
                    <w:rPr>
                      <w:color w:val="auto"/>
                      <w:sz w:val="21"/>
                      <w:u w:val="none" w:color="auto"/>
                    </w:rPr>
                  </w:pPr>
                  <w:r>
                    <w:rPr>
                      <w:color w:val="auto"/>
                      <w:sz w:val="21"/>
                      <w:u w:val="none" w:color="auto"/>
                    </w:rPr>
                    <w:t>数量</w:t>
                  </w:r>
                </w:p>
              </w:tc>
              <w:tc>
                <w:tcPr>
                  <w:tcW w:w="2208" w:type="dxa"/>
                  <w:tcBorders>
                    <w:top w:val="single" w:color="auto" w:sz="4" w:space="0"/>
                    <w:left w:val="nil"/>
                    <w:bottom w:val="single" w:color="auto" w:sz="4" w:space="0"/>
                    <w:right w:val="single" w:color="auto" w:sz="4" w:space="0"/>
                  </w:tcBorders>
                  <w:noWrap w:val="0"/>
                  <w:vAlign w:val="center"/>
                </w:tcPr>
                <w:p w14:paraId="0D91C9FE">
                  <w:pPr>
                    <w:pStyle w:val="91"/>
                    <w:spacing w:line="240" w:lineRule="auto"/>
                    <w:ind w:firstLine="0" w:firstLineChars="0"/>
                    <w:jc w:val="center"/>
                    <w:rPr>
                      <w:color w:val="auto"/>
                      <w:sz w:val="21"/>
                      <w:u w:val="none" w:color="auto"/>
                    </w:rPr>
                  </w:pPr>
                  <w:r>
                    <w:rPr>
                      <w:color w:val="auto"/>
                      <w:sz w:val="21"/>
                      <w:u w:val="none" w:color="auto"/>
                    </w:rPr>
                    <w:t>名称</w:t>
                  </w:r>
                </w:p>
              </w:tc>
              <w:tc>
                <w:tcPr>
                  <w:tcW w:w="995" w:type="dxa"/>
                  <w:tcBorders>
                    <w:top w:val="single" w:color="auto" w:sz="4" w:space="0"/>
                    <w:left w:val="nil"/>
                    <w:bottom w:val="single" w:color="auto" w:sz="4" w:space="0"/>
                    <w:right w:val="single" w:color="auto" w:sz="4" w:space="0"/>
                  </w:tcBorders>
                  <w:noWrap w:val="0"/>
                  <w:vAlign w:val="center"/>
                </w:tcPr>
                <w:p w14:paraId="2E91F22E">
                  <w:pPr>
                    <w:pStyle w:val="91"/>
                    <w:spacing w:line="240" w:lineRule="auto"/>
                    <w:ind w:firstLine="0" w:firstLineChars="0"/>
                    <w:jc w:val="center"/>
                    <w:rPr>
                      <w:color w:val="auto"/>
                      <w:sz w:val="21"/>
                      <w:u w:val="none" w:color="auto"/>
                    </w:rPr>
                  </w:pPr>
                  <w:r>
                    <w:rPr>
                      <w:color w:val="auto"/>
                      <w:sz w:val="21"/>
                      <w:u w:val="none" w:color="auto"/>
                    </w:rPr>
                    <w:t>数量</w:t>
                  </w:r>
                </w:p>
              </w:tc>
              <w:tc>
                <w:tcPr>
                  <w:tcW w:w="1132" w:type="dxa"/>
                  <w:tcBorders>
                    <w:top w:val="single" w:color="auto" w:sz="4" w:space="0"/>
                    <w:left w:val="nil"/>
                    <w:bottom w:val="single" w:color="auto" w:sz="4" w:space="0"/>
                    <w:right w:val="single" w:color="auto" w:sz="4" w:space="0"/>
                  </w:tcBorders>
                  <w:noWrap w:val="0"/>
                  <w:vAlign w:val="center"/>
                </w:tcPr>
                <w:p w14:paraId="4F9F5AD5">
                  <w:pPr>
                    <w:pStyle w:val="91"/>
                    <w:spacing w:line="240" w:lineRule="auto"/>
                    <w:ind w:firstLine="0" w:firstLineChars="0"/>
                    <w:jc w:val="center"/>
                    <w:rPr>
                      <w:color w:val="auto"/>
                      <w:sz w:val="21"/>
                      <w:u w:val="none" w:color="auto"/>
                    </w:rPr>
                  </w:pPr>
                  <w:r>
                    <w:rPr>
                      <w:color w:val="auto"/>
                      <w:sz w:val="21"/>
                      <w:u w:val="none" w:color="auto"/>
                    </w:rPr>
                    <w:t>备注</w:t>
                  </w:r>
                </w:p>
              </w:tc>
            </w:tr>
            <w:tr w14:paraId="097AC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Borders>
                    <w:top w:val="single" w:color="auto" w:sz="4" w:space="0"/>
                    <w:left w:val="single" w:color="auto" w:sz="4" w:space="0"/>
                    <w:bottom w:val="single" w:color="auto" w:sz="4" w:space="0"/>
                    <w:right w:val="single" w:color="auto" w:sz="4" w:space="0"/>
                  </w:tcBorders>
                  <w:noWrap w:val="0"/>
                  <w:vAlign w:val="center"/>
                </w:tcPr>
                <w:p w14:paraId="4311CC46">
                  <w:pPr>
                    <w:pStyle w:val="91"/>
                    <w:spacing w:line="240" w:lineRule="auto"/>
                    <w:ind w:firstLine="0" w:firstLineChars="0"/>
                    <w:jc w:val="center"/>
                    <w:rPr>
                      <w:color w:val="auto"/>
                      <w:sz w:val="21"/>
                      <w:u w:val="none" w:color="auto"/>
                    </w:rPr>
                  </w:pPr>
                </w:p>
              </w:tc>
              <w:tc>
                <w:tcPr>
                  <w:tcW w:w="2237" w:type="dxa"/>
                  <w:tcBorders>
                    <w:top w:val="single" w:color="auto" w:sz="4" w:space="0"/>
                    <w:left w:val="nil"/>
                    <w:bottom w:val="single" w:color="auto" w:sz="4" w:space="0"/>
                    <w:right w:val="single" w:color="auto" w:sz="4" w:space="0"/>
                  </w:tcBorders>
                  <w:noWrap w:val="0"/>
                  <w:vAlign w:val="center"/>
                </w:tcPr>
                <w:p w14:paraId="307392DF">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eastAsia="宋体" w:cs="Times New Roman"/>
                      <w:color w:val="auto"/>
                      <w:kern w:val="2"/>
                      <w:sz w:val="21"/>
                      <w:szCs w:val="21"/>
                      <w:u w:val="none" w:color="auto"/>
                      <w:lang w:val="en-US" w:eastAsia="zh-CN" w:bidi="ar-SA"/>
                    </w:rPr>
                    <w:t>钴酸锂</w:t>
                  </w:r>
                </w:p>
              </w:tc>
              <w:tc>
                <w:tcPr>
                  <w:tcW w:w="1106" w:type="dxa"/>
                  <w:tcBorders>
                    <w:top w:val="single" w:color="auto" w:sz="4" w:space="0"/>
                    <w:left w:val="nil"/>
                    <w:bottom w:val="single" w:color="auto" w:sz="4" w:space="0"/>
                    <w:right w:val="single" w:color="auto" w:sz="4" w:space="0"/>
                  </w:tcBorders>
                  <w:noWrap w:val="0"/>
                  <w:vAlign w:val="center"/>
                </w:tcPr>
                <w:p w14:paraId="4BD308F5">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11</w:t>
                  </w:r>
                </w:p>
              </w:tc>
              <w:tc>
                <w:tcPr>
                  <w:tcW w:w="2208" w:type="dxa"/>
                  <w:tcBorders>
                    <w:top w:val="single" w:color="auto" w:sz="4" w:space="0"/>
                    <w:left w:val="nil"/>
                    <w:bottom w:val="single" w:color="auto" w:sz="4" w:space="0"/>
                    <w:right w:val="single" w:color="auto" w:sz="4" w:space="0"/>
                  </w:tcBorders>
                  <w:shd w:val="clear" w:color="auto" w:fill="auto"/>
                  <w:noWrap w:val="0"/>
                  <w:vAlign w:val="center"/>
                </w:tcPr>
                <w:p w14:paraId="28D7AE1F">
                  <w:pPr>
                    <w:pStyle w:val="91"/>
                    <w:spacing w:line="240" w:lineRule="auto"/>
                    <w:ind w:firstLine="0" w:firstLineChars="0"/>
                    <w:jc w:val="center"/>
                    <w:rPr>
                      <w:rFonts w:ascii="Times New Roman" w:hAnsi="Times New Roman" w:eastAsia="宋体" w:cs="Times New Roman"/>
                      <w:color w:val="auto"/>
                      <w:kern w:val="0"/>
                      <w:sz w:val="21"/>
                      <w:szCs w:val="21"/>
                      <w:u w:val="none" w:color="auto"/>
                      <w:lang w:val="en-US" w:eastAsia="zh-CN" w:bidi="ar-SA"/>
                    </w:rPr>
                  </w:pPr>
                  <w:r>
                    <w:rPr>
                      <w:color w:val="auto"/>
                      <w:sz w:val="21"/>
                      <w:u w:val="none" w:color="auto"/>
                    </w:rPr>
                    <w:t>锂电池</w:t>
                  </w:r>
                </w:p>
              </w:tc>
              <w:tc>
                <w:tcPr>
                  <w:tcW w:w="995" w:type="dxa"/>
                  <w:tcBorders>
                    <w:top w:val="single" w:color="auto" w:sz="4" w:space="0"/>
                    <w:left w:val="nil"/>
                    <w:bottom w:val="single" w:color="auto" w:sz="4" w:space="0"/>
                    <w:right w:val="single" w:color="auto" w:sz="4" w:space="0"/>
                  </w:tcBorders>
                  <w:shd w:val="clear" w:color="auto" w:fill="auto"/>
                  <w:noWrap w:val="0"/>
                  <w:vAlign w:val="center"/>
                </w:tcPr>
                <w:p w14:paraId="3CB71B39">
                  <w:pPr>
                    <w:pStyle w:val="91"/>
                    <w:spacing w:line="240" w:lineRule="auto"/>
                    <w:ind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eastAsia="宋体" w:cs="Times New Roman"/>
                      <w:color w:val="auto"/>
                      <w:kern w:val="0"/>
                      <w:sz w:val="21"/>
                      <w:szCs w:val="21"/>
                      <w:u w:val="none" w:color="auto"/>
                      <w:lang w:val="en-US" w:eastAsia="zh-CN" w:bidi="ar-SA"/>
                    </w:rPr>
                    <w:t>42</w:t>
                  </w:r>
                  <w:r>
                    <w:rPr>
                      <w:rFonts w:hint="eastAsia" w:cs="Times New Roman"/>
                      <w:color w:val="auto"/>
                      <w:kern w:val="0"/>
                      <w:sz w:val="21"/>
                      <w:szCs w:val="21"/>
                      <w:u w:val="none" w:color="auto"/>
                      <w:lang w:val="en-US" w:eastAsia="zh-CN" w:bidi="ar-SA"/>
                    </w:rPr>
                    <w:t>7</w:t>
                  </w:r>
                  <w:r>
                    <w:rPr>
                      <w:rFonts w:hint="eastAsia" w:eastAsia="宋体" w:cs="Times New Roman"/>
                      <w:color w:val="auto"/>
                      <w:kern w:val="0"/>
                      <w:sz w:val="21"/>
                      <w:szCs w:val="21"/>
                      <w:u w:val="none" w:color="auto"/>
                      <w:lang w:val="en-US" w:eastAsia="zh-CN" w:bidi="ar-SA"/>
                    </w:rPr>
                    <w:t>.444</w:t>
                  </w:r>
                </w:p>
              </w:tc>
              <w:tc>
                <w:tcPr>
                  <w:tcW w:w="1132" w:type="dxa"/>
                  <w:tcBorders>
                    <w:top w:val="single" w:color="auto" w:sz="4" w:space="0"/>
                    <w:left w:val="nil"/>
                    <w:bottom w:val="single" w:color="auto" w:sz="4" w:space="0"/>
                    <w:right w:val="single" w:color="auto" w:sz="4" w:space="0"/>
                  </w:tcBorders>
                  <w:shd w:val="clear" w:color="auto" w:fill="auto"/>
                  <w:noWrap w:val="0"/>
                  <w:vAlign w:val="center"/>
                </w:tcPr>
                <w:p w14:paraId="469BE98D">
                  <w:pPr>
                    <w:pStyle w:val="91"/>
                    <w:spacing w:line="240" w:lineRule="auto"/>
                    <w:ind w:firstLine="0" w:firstLineChars="0"/>
                    <w:jc w:val="center"/>
                    <w:rPr>
                      <w:rFonts w:ascii="Times New Roman" w:hAnsi="Times New Roman" w:eastAsia="宋体" w:cs="Times New Roman"/>
                      <w:color w:val="auto"/>
                      <w:kern w:val="0"/>
                      <w:sz w:val="21"/>
                      <w:szCs w:val="21"/>
                      <w:u w:val="none" w:color="auto"/>
                      <w:lang w:val="en-US" w:eastAsia="zh-CN" w:bidi="ar-SA"/>
                    </w:rPr>
                  </w:pPr>
                  <w:r>
                    <w:rPr>
                      <w:color w:val="auto"/>
                      <w:sz w:val="21"/>
                      <w:u w:val="none" w:color="auto"/>
                    </w:rPr>
                    <w:t>产品</w:t>
                  </w:r>
                </w:p>
              </w:tc>
            </w:tr>
            <w:tr w14:paraId="26029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003B0F7">
                  <w:pPr>
                    <w:pStyle w:val="91"/>
                    <w:spacing w:line="240" w:lineRule="auto"/>
                    <w:ind w:firstLine="0" w:firstLineChars="0"/>
                    <w:jc w:val="center"/>
                    <w:rPr>
                      <w:rFonts w:ascii="Times New Roman" w:hAnsi="Times New Roman" w:eastAsia="宋体" w:cs="Times New Roman"/>
                      <w:color w:val="auto"/>
                      <w:kern w:val="0"/>
                      <w:sz w:val="21"/>
                      <w:szCs w:val="21"/>
                      <w:u w:val="none" w:color="auto"/>
                      <w:lang w:val="en-US" w:eastAsia="zh-CN" w:bidi="ar-SA"/>
                    </w:rPr>
                  </w:pPr>
                  <w:r>
                    <w:rPr>
                      <w:color w:val="auto"/>
                      <w:sz w:val="21"/>
                      <w:u w:val="none" w:color="auto"/>
                    </w:rPr>
                    <w:t>1</w:t>
                  </w:r>
                </w:p>
              </w:tc>
              <w:tc>
                <w:tcPr>
                  <w:tcW w:w="2237" w:type="dxa"/>
                  <w:tcBorders>
                    <w:top w:val="single" w:color="auto" w:sz="4" w:space="0"/>
                    <w:left w:val="nil"/>
                    <w:bottom w:val="single" w:color="auto" w:sz="4" w:space="0"/>
                    <w:right w:val="single" w:color="auto" w:sz="4" w:space="0"/>
                  </w:tcBorders>
                  <w:shd w:val="clear" w:color="auto" w:fill="auto"/>
                  <w:noWrap w:val="0"/>
                  <w:vAlign w:val="center"/>
                </w:tcPr>
                <w:p w14:paraId="401FAC91">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rPr>
                    <w:t>镍钴锰酸锂</w:t>
                  </w:r>
                </w:p>
              </w:tc>
              <w:tc>
                <w:tcPr>
                  <w:tcW w:w="1106" w:type="dxa"/>
                  <w:tcBorders>
                    <w:top w:val="single" w:color="auto" w:sz="4" w:space="0"/>
                    <w:left w:val="nil"/>
                    <w:bottom w:val="single" w:color="auto" w:sz="4" w:space="0"/>
                    <w:right w:val="single" w:color="auto" w:sz="4" w:space="0"/>
                  </w:tcBorders>
                  <w:shd w:val="clear" w:color="auto" w:fill="auto"/>
                  <w:noWrap w:val="0"/>
                  <w:vAlign w:val="center"/>
                </w:tcPr>
                <w:p w14:paraId="7EC79DD5">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42</w:t>
                  </w:r>
                </w:p>
              </w:tc>
              <w:tc>
                <w:tcPr>
                  <w:tcW w:w="2208" w:type="dxa"/>
                  <w:tcBorders>
                    <w:top w:val="single" w:color="auto" w:sz="4" w:space="0"/>
                    <w:left w:val="nil"/>
                    <w:bottom w:val="single" w:color="auto" w:sz="4" w:space="0"/>
                    <w:right w:val="single" w:color="auto" w:sz="4" w:space="0"/>
                  </w:tcBorders>
                  <w:shd w:val="clear" w:color="auto" w:fill="auto"/>
                  <w:noWrap w:val="0"/>
                  <w:vAlign w:val="center"/>
                </w:tcPr>
                <w:p w14:paraId="4CED4215">
                  <w:pPr>
                    <w:pStyle w:val="91"/>
                    <w:spacing w:line="240" w:lineRule="auto"/>
                    <w:ind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color w:val="auto"/>
                      <w:sz w:val="21"/>
                      <w:u w:val="none" w:color="auto"/>
                      <w:lang w:eastAsia="zh-CN"/>
                    </w:rPr>
                    <w:t>挥发性有机废气</w:t>
                  </w:r>
                </w:p>
              </w:tc>
              <w:tc>
                <w:tcPr>
                  <w:tcW w:w="995" w:type="dxa"/>
                  <w:tcBorders>
                    <w:top w:val="single" w:color="auto" w:sz="4" w:space="0"/>
                    <w:left w:val="nil"/>
                    <w:bottom w:val="single" w:color="auto" w:sz="4" w:space="0"/>
                    <w:right w:val="single" w:color="auto" w:sz="4" w:space="0"/>
                  </w:tcBorders>
                  <w:shd w:val="clear" w:color="auto" w:fill="auto"/>
                  <w:noWrap w:val="0"/>
                  <w:vAlign w:val="center"/>
                </w:tcPr>
                <w:p w14:paraId="0E67D5C0">
                  <w:pPr>
                    <w:pStyle w:val="91"/>
                    <w:spacing w:line="240" w:lineRule="auto"/>
                    <w:ind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eastAsia="宋体"/>
                      <w:color w:val="auto"/>
                      <w:sz w:val="21"/>
                      <w:u w:val="none" w:color="auto"/>
                      <w:lang w:val="en-US" w:eastAsia="zh-CN"/>
                    </w:rPr>
                    <w:t>1.33</w:t>
                  </w:r>
                </w:p>
              </w:tc>
              <w:tc>
                <w:tcPr>
                  <w:tcW w:w="1132" w:type="dxa"/>
                  <w:tcBorders>
                    <w:top w:val="single" w:color="auto" w:sz="4" w:space="0"/>
                    <w:left w:val="nil"/>
                    <w:bottom w:val="single" w:color="auto" w:sz="4" w:space="0"/>
                    <w:right w:val="single" w:color="auto" w:sz="4" w:space="0"/>
                  </w:tcBorders>
                  <w:shd w:val="clear" w:color="auto" w:fill="auto"/>
                  <w:noWrap w:val="0"/>
                  <w:vAlign w:val="center"/>
                </w:tcPr>
                <w:p w14:paraId="0B5384AA">
                  <w:pPr>
                    <w:pStyle w:val="91"/>
                    <w:spacing w:line="240" w:lineRule="auto"/>
                    <w:ind w:firstLine="0" w:firstLineChars="0"/>
                    <w:jc w:val="center"/>
                    <w:rPr>
                      <w:rFonts w:ascii="Times New Roman" w:hAnsi="Times New Roman" w:eastAsia="宋体" w:cs="Times New Roman"/>
                      <w:color w:val="auto"/>
                      <w:kern w:val="0"/>
                      <w:sz w:val="21"/>
                      <w:szCs w:val="21"/>
                      <w:u w:val="none" w:color="auto"/>
                      <w:lang w:val="en-US" w:eastAsia="zh-CN" w:bidi="ar-SA"/>
                    </w:rPr>
                  </w:pPr>
                  <w:r>
                    <w:rPr>
                      <w:color w:val="auto"/>
                      <w:sz w:val="21"/>
                      <w:u w:val="none" w:color="auto"/>
                    </w:rPr>
                    <w:t>废气</w:t>
                  </w:r>
                </w:p>
              </w:tc>
            </w:tr>
            <w:tr w14:paraId="1B8B6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Borders>
                    <w:top w:val="single" w:color="auto" w:sz="4" w:space="0"/>
                    <w:left w:val="single" w:color="auto" w:sz="4" w:space="0"/>
                    <w:bottom w:val="single" w:color="auto" w:sz="4" w:space="0"/>
                    <w:right w:val="single" w:color="auto" w:sz="4" w:space="0"/>
                  </w:tcBorders>
                  <w:noWrap w:val="0"/>
                  <w:vAlign w:val="center"/>
                </w:tcPr>
                <w:p w14:paraId="23D5F4A5">
                  <w:pPr>
                    <w:pStyle w:val="91"/>
                    <w:spacing w:line="240" w:lineRule="auto"/>
                    <w:ind w:firstLine="0" w:firstLineChars="0"/>
                    <w:jc w:val="center"/>
                    <w:rPr>
                      <w:color w:val="auto"/>
                      <w:sz w:val="21"/>
                      <w:u w:val="none" w:color="auto"/>
                    </w:rPr>
                  </w:pPr>
                  <w:r>
                    <w:rPr>
                      <w:color w:val="auto"/>
                      <w:sz w:val="21"/>
                      <w:u w:val="none" w:color="auto"/>
                    </w:rPr>
                    <w:t>2</w:t>
                  </w:r>
                </w:p>
              </w:tc>
              <w:tc>
                <w:tcPr>
                  <w:tcW w:w="2237" w:type="dxa"/>
                  <w:tcBorders>
                    <w:top w:val="single" w:color="auto" w:sz="4" w:space="0"/>
                    <w:left w:val="nil"/>
                    <w:bottom w:val="single" w:color="auto" w:sz="4" w:space="0"/>
                    <w:right w:val="single" w:color="auto" w:sz="4" w:space="0"/>
                  </w:tcBorders>
                  <w:noWrap w:val="0"/>
                  <w:vAlign w:val="center"/>
                </w:tcPr>
                <w:p w14:paraId="4171DCA3">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rPr>
                    <w:t>锰酸锂</w:t>
                  </w:r>
                </w:p>
              </w:tc>
              <w:tc>
                <w:tcPr>
                  <w:tcW w:w="1106" w:type="dxa"/>
                  <w:tcBorders>
                    <w:top w:val="single" w:color="auto" w:sz="4" w:space="0"/>
                    <w:left w:val="nil"/>
                    <w:bottom w:val="single" w:color="auto" w:sz="4" w:space="0"/>
                    <w:right w:val="single" w:color="auto" w:sz="4" w:space="0"/>
                  </w:tcBorders>
                  <w:noWrap w:val="0"/>
                  <w:vAlign w:val="center"/>
                </w:tcPr>
                <w:p w14:paraId="4B208792">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70</w:t>
                  </w:r>
                </w:p>
              </w:tc>
              <w:tc>
                <w:tcPr>
                  <w:tcW w:w="2208" w:type="dxa"/>
                  <w:tcBorders>
                    <w:top w:val="single" w:color="auto" w:sz="4" w:space="0"/>
                    <w:left w:val="nil"/>
                    <w:bottom w:val="single" w:color="auto" w:sz="4" w:space="0"/>
                    <w:right w:val="single" w:color="auto" w:sz="4" w:space="0"/>
                  </w:tcBorders>
                  <w:shd w:val="clear" w:color="auto" w:fill="auto"/>
                  <w:noWrap w:val="0"/>
                  <w:vAlign w:val="center"/>
                </w:tcPr>
                <w:p w14:paraId="2AF9E5B5">
                  <w:pPr>
                    <w:pStyle w:val="91"/>
                    <w:spacing w:line="240" w:lineRule="auto"/>
                    <w:ind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sz w:val="21"/>
                      <w:u w:val="none" w:color="auto"/>
                    </w:rPr>
                    <w:t>不合格电池</w:t>
                  </w:r>
                </w:p>
              </w:tc>
              <w:tc>
                <w:tcPr>
                  <w:tcW w:w="995" w:type="dxa"/>
                  <w:tcBorders>
                    <w:top w:val="single" w:color="auto" w:sz="4" w:space="0"/>
                    <w:left w:val="nil"/>
                    <w:bottom w:val="single" w:color="auto" w:sz="4" w:space="0"/>
                    <w:right w:val="single" w:color="auto" w:sz="4" w:space="0"/>
                  </w:tcBorders>
                  <w:shd w:val="clear" w:color="auto" w:fill="auto"/>
                  <w:noWrap w:val="0"/>
                  <w:vAlign w:val="center"/>
                </w:tcPr>
                <w:p w14:paraId="6B64F7D9">
                  <w:pPr>
                    <w:pStyle w:val="91"/>
                    <w:spacing w:line="240" w:lineRule="auto"/>
                    <w:ind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eastAsia="宋体" w:cs="Times New Roman"/>
                      <w:color w:val="auto"/>
                      <w:sz w:val="21"/>
                      <w:u w:val="none" w:color="auto"/>
                      <w:lang w:val="en-US" w:eastAsia="zh-CN"/>
                    </w:rPr>
                    <w:t>1</w:t>
                  </w:r>
                </w:p>
              </w:tc>
              <w:tc>
                <w:tcPr>
                  <w:tcW w:w="1132" w:type="dxa"/>
                  <w:tcBorders>
                    <w:top w:val="single" w:color="auto" w:sz="4" w:space="0"/>
                    <w:left w:val="nil"/>
                    <w:bottom w:val="single" w:color="auto" w:sz="4" w:space="0"/>
                    <w:right w:val="single" w:color="auto" w:sz="4" w:space="0"/>
                  </w:tcBorders>
                  <w:shd w:val="clear" w:color="auto" w:fill="auto"/>
                  <w:noWrap w:val="0"/>
                  <w:vAlign w:val="center"/>
                </w:tcPr>
                <w:p w14:paraId="5E6D76A1">
                  <w:pPr>
                    <w:pStyle w:val="91"/>
                    <w:spacing w:line="240" w:lineRule="auto"/>
                    <w:ind w:firstLine="0" w:firstLineChars="0"/>
                    <w:jc w:val="center"/>
                    <w:rPr>
                      <w:rFonts w:ascii="Times New Roman" w:hAnsi="Times New Roman" w:eastAsia="宋体" w:cs="Times New Roman"/>
                      <w:color w:val="auto"/>
                      <w:kern w:val="0"/>
                      <w:sz w:val="21"/>
                      <w:szCs w:val="21"/>
                      <w:u w:val="none" w:color="auto"/>
                      <w:lang w:val="en-US" w:eastAsia="zh-CN" w:bidi="ar-SA"/>
                    </w:rPr>
                  </w:pPr>
                  <w:r>
                    <w:rPr>
                      <w:color w:val="auto"/>
                      <w:sz w:val="21"/>
                      <w:u w:val="none" w:color="auto"/>
                    </w:rPr>
                    <w:t>固废</w:t>
                  </w:r>
                </w:p>
              </w:tc>
            </w:tr>
            <w:tr w14:paraId="66165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Borders>
                    <w:top w:val="single" w:color="auto" w:sz="4" w:space="0"/>
                    <w:left w:val="single" w:color="auto" w:sz="4" w:space="0"/>
                    <w:bottom w:val="single" w:color="auto" w:sz="4" w:space="0"/>
                    <w:right w:val="single" w:color="auto" w:sz="4" w:space="0"/>
                  </w:tcBorders>
                  <w:noWrap w:val="0"/>
                  <w:vAlign w:val="center"/>
                </w:tcPr>
                <w:p w14:paraId="1EC1DB38">
                  <w:pPr>
                    <w:pStyle w:val="91"/>
                    <w:spacing w:line="240" w:lineRule="auto"/>
                    <w:ind w:firstLine="0" w:firstLineChars="0"/>
                    <w:jc w:val="center"/>
                    <w:rPr>
                      <w:color w:val="auto"/>
                      <w:sz w:val="21"/>
                      <w:u w:val="none" w:color="auto"/>
                    </w:rPr>
                  </w:pPr>
                  <w:r>
                    <w:rPr>
                      <w:color w:val="auto"/>
                      <w:sz w:val="21"/>
                      <w:u w:val="none" w:color="auto"/>
                    </w:rPr>
                    <w:t>3</w:t>
                  </w:r>
                </w:p>
              </w:tc>
              <w:tc>
                <w:tcPr>
                  <w:tcW w:w="2237" w:type="dxa"/>
                  <w:tcBorders>
                    <w:top w:val="single" w:color="auto" w:sz="4" w:space="0"/>
                    <w:left w:val="nil"/>
                    <w:bottom w:val="single" w:color="auto" w:sz="4" w:space="0"/>
                    <w:right w:val="single" w:color="auto" w:sz="4" w:space="0"/>
                  </w:tcBorders>
                  <w:noWrap w:val="0"/>
                  <w:vAlign w:val="center"/>
                </w:tcPr>
                <w:p w14:paraId="38374033">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rPr>
                    <w:t>铜箔</w:t>
                  </w:r>
                </w:p>
              </w:tc>
              <w:tc>
                <w:tcPr>
                  <w:tcW w:w="1106" w:type="dxa"/>
                  <w:tcBorders>
                    <w:top w:val="single" w:color="auto" w:sz="4" w:space="0"/>
                    <w:left w:val="nil"/>
                    <w:bottom w:val="single" w:color="auto" w:sz="4" w:space="0"/>
                    <w:right w:val="single" w:color="auto" w:sz="4" w:space="0"/>
                  </w:tcBorders>
                  <w:noWrap w:val="0"/>
                  <w:vAlign w:val="center"/>
                </w:tcPr>
                <w:p w14:paraId="0576C285">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13</w:t>
                  </w:r>
                </w:p>
              </w:tc>
              <w:tc>
                <w:tcPr>
                  <w:tcW w:w="2208" w:type="dxa"/>
                  <w:tcBorders>
                    <w:top w:val="single" w:color="auto" w:sz="4" w:space="0"/>
                    <w:left w:val="nil"/>
                    <w:bottom w:val="single" w:color="auto" w:sz="4" w:space="0"/>
                    <w:right w:val="single" w:color="auto" w:sz="4" w:space="0"/>
                  </w:tcBorders>
                  <w:shd w:val="clear" w:color="auto" w:fill="auto"/>
                  <w:noWrap w:val="0"/>
                  <w:vAlign w:val="center"/>
                </w:tcPr>
                <w:p w14:paraId="251617BD">
                  <w:pPr>
                    <w:pStyle w:val="91"/>
                    <w:spacing w:line="240" w:lineRule="auto"/>
                    <w:ind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sz w:val="21"/>
                      <w:u w:val="none" w:color="auto"/>
                    </w:rPr>
                    <w:t>边角料</w:t>
                  </w:r>
                </w:p>
              </w:tc>
              <w:tc>
                <w:tcPr>
                  <w:tcW w:w="995" w:type="dxa"/>
                  <w:tcBorders>
                    <w:top w:val="single" w:color="auto" w:sz="4" w:space="0"/>
                    <w:left w:val="nil"/>
                    <w:bottom w:val="single" w:color="auto" w:sz="4" w:space="0"/>
                    <w:right w:val="single" w:color="auto" w:sz="4" w:space="0"/>
                  </w:tcBorders>
                  <w:shd w:val="clear" w:color="auto" w:fill="auto"/>
                  <w:noWrap w:val="0"/>
                  <w:vAlign w:val="center"/>
                </w:tcPr>
                <w:p w14:paraId="3F22F775">
                  <w:pPr>
                    <w:pStyle w:val="91"/>
                    <w:spacing w:line="240" w:lineRule="auto"/>
                    <w:ind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eastAsia="宋体" w:cs="Times New Roman"/>
                      <w:color w:val="auto"/>
                      <w:sz w:val="21"/>
                      <w:u w:val="none" w:color="auto"/>
                      <w:lang w:val="en-US" w:eastAsia="zh-CN"/>
                    </w:rPr>
                    <w:t>0.5</w:t>
                  </w:r>
                </w:p>
              </w:tc>
              <w:tc>
                <w:tcPr>
                  <w:tcW w:w="1132" w:type="dxa"/>
                  <w:tcBorders>
                    <w:top w:val="single" w:color="auto" w:sz="4" w:space="0"/>
                    <w:left w:val="nil"/>
                    <w:bottom w:val="single" w:color="auto" w:sz="4" w:space="0"/>
                    <w:right w:val="single" w:color="auto" w:sz="4" w:space="0"/>
                  </w:tcBorders>
                  <w:shd w:val="clear" w:color="auto" w:fill="auto"/>
                  <w:noWrap w:val="0"/>
                  <w:vAlign w:val="center"/>
                </w:tcPr>
                <w:p w14:paraId="1F6A5649">
                  <w:pPr>
                    <w:pStyle w:val="91"/>
                    <w:spacing w:line="240" w:lineRule="auto"/>
                    <w:ind w:firstLine="0" w:firstLineChars="0"/>
                    <w:jc w:val="center"/>
                    <w:rPr>
                      <w:rFonts w:ascii="Times New Roman" w:hAnsi="Times New Roman" w:eastAsia="宋体" w:cs="Times New Roman"/>
                      <w:color w:val="auto"/>
                      <w:kern w:val="0"/>
                      <w:sz w:val="21"/>
                      <w:szCs w:val="21"/>
                      <w:u w:val="none" w:color="auto"/>
                      <w:lang w:val="en-US" w:eastAsia="zh-CN" w:bidi="ar-SA"/>
                    </w:rPr>
                  </w:pPr>
                  <w:r>
                    <w:rPr>
                      <w:color w:val="auto"/>
                      <w:sz w:val="21"/>
                      <w:u w:val="none" w:color="auto"/>
                    </w:rPr>
                    <w:t>固废</w:t>
                  </w:r>
                </w:p>
              </w:tc>
            </w:tr>
            <w:tr w14:paraId="79228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Borders>
                    <w:top w:val="single" w:color="auto" w:sz="4" w:space="0"/>
                    <w:left w:val="single" w:color="auto" w:sz="4" w:space="0"/>
                    <w:bottom w:val="single" w:color="auto" w:sz="4" w:space="0"/>
                    <w:right w:val="single" w:color="auto" w:sz="4" w:space="0"/>
                  </w:tcBorders>
                  <w:noWrap w:val="0"/>
                  <w:vAlign w:val="center"/>
                </w:tcPr>
                <w:p w14:paraId="424B8C41">
                  <w:pPr>
                    <w:pStyle w:val="91"/>
                    <w:spacing w:line="240" w:lineRule="auto"/>
                    <w:ind w:firstLine="0" w:firstLineChars="0"/>
                    <w:jc w:val="center"/>
                    <w:rPr>
                      <w:color w:val="auto"/>
                      <w:sz w:val="21"/>
                      <w:u w:val="none" w:color="auto"/>
                    </w:rPr>
                  </w:pPr>
                  <w:r>
                    <w:rPr>
                      <w:color w:val="auto"/>
                      <w:sz w:val="21"/>
                      <w:u w:val="none" w:color="auto"/>
                    </w:rPr>
                    <w:t>4</w:t>
                  </w:r>
                </w:p>
              </w:tc>
              <w:tc>
                <w:tcPr>
                  <w:tcW w:w="2237" w:type="dxa"/>
                  <w:tcBorders>
                    <w:top w:val="single" w:color="auto" w:sz="4" w:space="0"/>
                    <w:left w:val="nil"/>
                    <w:bottom w:val="single" w:color="auto" w:sz="4" w:space="0"/>
                    <w:right w:val="single" w:color="auto" w:sz="4" w:space="0"/>
                  </w:tcBorders>
                  <w:noWrap w:val="0"/>
                  <w:vAlign w:val="center"/>
                </w:tcPr>
                <w:p w14:paraId="5075C0A5">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rPr>
                    <w:t>铝箔</w:t>
                  </w:r>
                </w:p>
              </w:tc>
              <w:tc>
                <w:tcPr>
                  <w:tcW w:w="1106" w:type="dxa"/>
                  <w:tcBorders>
                    <w:top w:val="single" w:color="auto" w:sz="4" w:space="0"/>
                    <w:left w:val="nil"/>
                    <w:bottom w:val="single" w:color="auto" w:sz="4" w:space="0"/>
                    <w:right w:val="single" w:color="auto" w:sz="4" w:space="0"/>
                  </w:tcBorders>
                  <w:noWrap w:val="0"/>
                  <w:vAlign w:val="center"/>
                </w:tcPr>
                <w:p w14:paraId="7C01ED21">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8</w:t>
                  </w:r>
                </w:p>
              </w:tc>
              <w:tc>
                <w:tcPr>
                  <w:tcW w:w="2208" w:type="dxa"/>
                  <w:tcBorders>
                    <w:top w:val="single" w:color="auto" w:sz="4" w:space="0"/>
                    <w:left w:val="nil"/>
                    <w:bottom w:val="single" w:color="auto" w:sz="4" w:space="0"/>
                    <w:right w:val="single" w:color="auto" w:sz="4" w:space="0"/>
                  </w:tcBorders>
                  <w:shd w:val="clear" w:color="auto" w:fill="auto"/>
                  <w:noWrap w:val="0"/>
                  <w:vAlign w:val="center"/>
                </w:tcPr>
                <w:p w14:paraId="62F706BA">
                  <w:pPr>
                    <w:pStyle w:val="91"/>
                    <w:spacing w:line="240" w:lineRule="auto"/>
                    <w:ind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sz w:val="21"/>
                      <w:u w:val="none" w:color="auto"/>
                    </w:rPr>
                    <w:t>NMP回收液</w:t>
                  </w:r>
                </w:p>
              </w:tc>
              <w:tc>
                <w:tcPr>
                  <w:tcW w:w="995" w:type="dxa"/>
                  <w:tcBorders>
                    <w:top w:val="single" w:color="auto" w:sz="4" w:space="0"/>
                    <w:left w:val="nil"/>
                    <w:bottom w:val="single" w:color="auto" w:sz="4" w:space="0"/>
                    <w:right w:val="single" w:color="auto" w:sz="4" w:space="0"/>
                  </w:tcBorders>
                  <w:shd w:val="clear" w:color="auto" w:fill="auto"/>
                  <w:noWrap w:val="0"/>
                  <w:vAlign w:val="center"/>
                </w:tcPr>
                <w:p w14:paraId="2FA968CF">
                  <w:pPr>
                    <w:pStyle w:val="91"/>
                    <w:spacing w:line="240" w:lineRule="auto"/>
                    <w:ind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bidi="ar-SA"/>
                    </w:rPr>
                    <w:t>1</w:t>
                  </w:r>
                  <w:r>
                    <w:rPr>
                      <w:rFonts w:hint="eastAsia" w:cs="Times New Roman"/>
                      <w:color w:val="auto"/>
                      <w:kern w:val="0"/>
                      <w:sz w:val="21"/>
                      <w:szCs w:val="21"/>
                      <w:u w:val="none" w:color="auto"/>
                      <w:lang w:val="en-US" w:eastAsia="zh-CN" w:bidi="ar-SA"/>
                    </w:rPr>
                    <w:t>1</w:t>
                  </w:r>
                  <w:r>
                    <w:rPr>
                      <w:rFonts w:hint="eastAsia" w:ascii="Times New Roman" w:hAnsi="Times New Roman" w:eastAsia="宋体" w:cs="Times New Roman"/>
                      <w:color w:val="auto"/>
                      <w:kern w:val="0"/>
                      <w:sz w:val="21"/>
                      <w:szCs w:val="21"/>
                      <w:u w:val="none" w:color="auto"/>
                      <w:lang w:val="en-US" w:eastAsia="zh-CN" w:bidi="ar-SA"/>
                    </w:rPr>
                    <w:t>.674</w:t>
                  </w:r>
                </w:p>
              </w:tc>
              <w:tc>
                <w:tcPr>
                  <w:tcW w:w="1132" w:type="dxa"/>
                  <w:tcBorders>
                    <w:top w:val="single" w:color="auto" w:sz="4" w:space="0"/>
                    <w:left w:val="nil"/>
                    <w:bottom w:val="single" w:color="auto" w:sz="4" w:space="0"/>
                    <w:right w:val="single" w:color="auto" w:sz="4" w:space="0"/>
                  </w:tcBorders>
                  <w:shd w:val="clear" w:color="auto" w:fill="auto"/>
                  <w:noWrap w:val="0"/>
                  <w:vAlign w:val="center"/>
                </w:tcPr>
                <w:p w14:paraId="25E7E612">
                  <w:pPr>
                    <w:pStyle w:val="91"/>
                    <w:spacing w:line="240" w:lineRule="auto"/>
                    <w:ind w:firstLine="0" w:firstLineChars="0"/>
                    <w:jc w:val="center"/>
                    <w:rPr>
                      <w:rFonts w:ascii="Times New Roman" w:hAnsi="Times New Roman" w:eastAsia="宋体" w:cs="Times New Roman"/>
                      <w:color w:val="auto"/>
                      <w:kern w:val="0"/>
                      <w:sz w:val="21"/>
                      <w:szCs w:val="21"/>
                      <w:u w:val="none" w:color="auto"/>
                      <w:lang w:val="en-US" w:eastAsia="zh-CN" w:bidi="ar-SA"/>
                    </w:rPr>
                  </w:pPr>
                  <w:r>
                    <w:rPr>
                      <w:color w:val="auto"/>
                      <w:sz w:val="21"/>
                      <w:u w:val="none" w:color="auto"/>
                    </w:rPr>
                    <w:t>固废</w:t>
                  </w:r>
                </w:p>
              </w:tc>
            </w:tr>
            <w:tr w14:paraId="0F7E9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Borders>
                    <w:top w:val="single" w:color="auto" w:sz="4" w:space="0"/>
                    <w:left w:val="single" w:color="auto" w:sz="4" w:space="0"/>
                    <w:bottom w:val="single" w:color="auto" w:sz="4" w:space="0"/>
                    <w:right w:val="single" w:color="auto" w:sz="4" w:space="0"/>
                  </w:tcBorders>
                  <w:noWrap w:val="0"/>
                  <w:vAlign w:val="center"/>
                </w:tcPr>
                <w:p w14:paraId="47332A48">
                  <w:pPr>
                    <w:pStyle w:val="91"/>
                    <w:spacing w:line="240" w:lineRule="auto"/>
                    <w:ind w:firstLine="0" w:firstLineChars="0"/>
                    <w:jc w:val="center"/>
                    <w:rPr>
                      <w:color w:val="auto"/>
                      <w:sz w:val="21"/>
                      <w:u w:val="none" w:color="auto"/>
                    </w:rPr>
                  </w:pPr>
                  <w:r>
                    <w:rPr>
                      <w:color w:val="auto"/>
                      <w:sz w:val="21"/>
                      <w:u w:val="none" w:color="auto"/>
                    </w:rPr>
                    <w:t>5</w:t>
                  </w:r>
                </w:p>
              </w:tc>
              <w:tc>
                <w:tcPr>
                  <w:tcW w:w="2237" w:type="dxa"/>
                  <w:tcBorders>
                    <w:top w:val="single" w:color="auto" w:sz="4" w:space="0"/>
                    <w:left w:val="nil"/>
                    <w:bottom w:val="single" w:color="auto" w:sz="4" w:space="0"/>
                    <w:right w:val="single" w:color="auto" w:sz="4" w:space="0"/>
                  </w:tcBorders>
                  <w:noWrap w:val="0"/>
                  <w:vAlign w:val="center"/>
                </w:tcPr>
                <w:p w14:paraId="4A34B105">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rPr>
                    <w:t>N-甲基吡咯烷酮(NMP)</w:t>
                  </w:r>
                </w:p>
              </w:tc>
              <w:tc>
                <w:tcPr>
                  <w:tcW w:w="1106" w:type="dxa"/>
                  <w:tcBorders>
                    <w:top w:val="single" w:color="auto" w:sz="4" w:space="0"/>
                    <w:left w:val="nil"/>
                    <w:bottom w:val="single" w:color="auto" w:sz="4" w:space="0"/>
                    <w:right w:val="single" w:color="auto" w:sz="4" w:space="0"/>
                  </w:tcBorders>
                  <w:noWrap w:val="0"/>
                  <w:vAlign w:val="center"/>
                </w:tcPr>
                <w:p w14:paraId="20B20A8E">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13</w:t>
                  </w:r>
                </w:p>
              </w:tc>
              <w:tc>
                <w:tcPr>
                  <w:tcW w:w="2208" w:type="dxa"/>
                  <w:tcBorders>
                    <w:top w:val="single" w:color="auto" w:sz="4" w:space="0"/>
                    <w:left w:val="nil"/>
                    <w:bottom w:val="single" w:color="auto" w:sz="4" w:space="0"/>
                    <w:right w:val="single" w:color="auto" w:sz="4" w:space="0"/>
                  </w:tcBorders>
                  <w:shd w:val="clear" w:color="auto" w:fill="auto"/>
                  <w:noWrap w:val="0"/>
                  <w:vAlign w:val="center"/>
                </w:tcPr>
                <w:p w14:paraId="407C241B">
                  <w:pPr>
                    <w:pStyle w:val="91"/>
                    <w:spacing w:line="240" w:lineRule="auto"/>
                    <w:ind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sz w:val="21"/>
                      <w:u w:val="none" w:color="auto"/>
                    </w:rPr>
                    <w:t>粉尘</w:t>
                  </w:r>
                </w:p>
              </w:tc>
              <w:tc>
                <w:tcPr>
                  <w:tcW w:w="995" w:type="dxa"/>
                  <w:tcBorders>
                    <w:top w:val="single" w:color="auto" w:sz="4" w:space="0"/>
                    <w:left w:val="nil"/>
                    <w:bottom w:val="single" w:color="auto" w:sz="4" w:space="0"/>
                    <w:right w:val="single" w:color="auto" w:sz="4" w:space="0"/>
                  </w:tcBorders>
                  <w:shd w:val="clear" w:color="auto" w:fill="auto"/>
                  <w:noWrap w:val="0"/>
                  <w:vAlign w:val="center"/>
                </w:tcPr>
                <w:p w14:paraId="1B7E15EA">
                  <w:pPr>
                    <w:pStyle w:val="91"/>
                    <w:spacing w:line="240" w:lineRule="auto"/>
                    <w:ind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eastAsia="宋体"/>
                      <w:color w:val="auto"/>
                      <w:sz w:val="21"/>
                      <w:u w:val="none" w:color="auto"/>
                      <w:lang w:val="en-US" w:eastAsia="zh-CN"/>
                    </w:rPr>
                    <w:t>0.162</w:t>
                  </w:r>
                </w:p>
              </w:tc>
              <w:tc>
                <w:tcPr>
                  <w:tcW w:w="1132" w:type="dxa"/>
                  <w:tcBorders>
                    <w:top w:val="single" w:color="auto" w:sz="4" w:space="0"/>
                    <w:left w:val="nil"/>
                    <w:bottom w:val="single" w:color="auto" w:sz="4" w:space="0"/>
                    <w:right w:val="single" w:color="auto" w:sz="4" w:space="0"/>
                  </w:tcBorders>
                  <w:shd w:val="clear" w:color="auto" w:fill="auto"/>
                  <w:noWrap w:val="0"/>
                  <w:vAlign w:val="center"/>
                </w:tcPr>
                <w:p w14:paraId="639C35EF">
                  <w:pPr>
                    <w:pStyle w:val="91"/>
                    <w:spacing w:line="240" w:lineRule="auto"/>
                    <w:ind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color w:val="auto"/>
                      <w:sz w:val="21"/>
                      <w:u w:val="none" w:color="auto"/>
                    </w:rPr>
                    <w:t>固废</w:t>
                  </w:r>
                </w:p>
              </w:tc>
            </w:tr>
            <w:tr w14:paraId="543DA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Borders>
                    <w:top w:val="single" w:color="auto" w:sz="4" w:space="0"/>
                    <w:left w:val="single" w:color="auto" w:sz="4" w:space="0"/>
                    <w:bottom w:val="single" w:color="auto" w:sz="4" w:space="0"/>
                    <w:right w:val="single" w:color="auto" w:sz="4" w:space="0"/>
                  </w:tcBorders>
                  <w:noWrap w:val="0"/>
                  <w:vAlign w:val="center"/>
                </w:tcPr>
                <w:p w14:paraId="64235A87">
                  <w:pPr>
                    <w:pStyle w:val="91"/>
                    <w:spacing w:line="240" w:lineRule="auto"/>
                    <w:ind w:firstLine="0" w:firstLineChars="0"/>
                    <w:jc w:val="center"/>
                    <w:rPr>
                      <w:color w:val="auto"/>
                      <w:sz w:val="21"/>
                      <w:u w:val="none" w:color="auto"/>
                    </w:rPr>
                  </w:pPr>
                  <w:r>
                    <w:rPr>
                      <w:color w:val="auto"/>
                      <w:sz w:val="21"/>
                      <w:u w:val="none" w:color="auto"/>
                    </w:rPr>
                    <w:t>6</w:t>
                  </w:r>
                </w:p>
              </w:tc>
              <w:tc>
                <w:tcPr>
                  <w:tcW w:w="2237" w:type="dxa"/>
                  <w:tcBorders>
                    <w:top w:val="single" w:color="auto" w:sz="4" w:space="0"/>
                    <w:left w:val="nil"/>
                    <w:bottom w:val="single" w:color="auto" w:sz="4" w:space="0"/>
                    <w:right w:val="single" w:color="auto" w:sz="4" w:space="0"/>
                  </w:tcBorders>
                  <w:noWrap w:val="0"/>
                  <w:vAlign w:val="center"/>
                </w:tcPr>
                <w:p w14:paraId="37F7F3EB">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rPr>
                    <w:t>PVDF聚偏氟乙烯</w:t>
                  </w:r>
                </w:p>
              </w:tc>
              <w:tc>
                <w:tcPr>
                  <w:tcW w:w="1106" w:type="dxa"/>
                  <w:tcBorders>
                    <w:top w:val="single" w:color="auto" w:sz="4" w:space="0"/>
                    <w:left w:val="nil"/>
                    <w:bottom w:val="single" w:color="auto" w:sz="4" w:space="0"/>
                    <w:right w:val="single" w:color="auto" w:sz="4" w:space="0"/>
                  </w:tcBorders>
                  <w:noWrap w:val="0"/>
                  <w:vAlign w:val="center"/>
                </w:tcPr>
                <w:p w14:paraId="194D77FB">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1.8</w:t>
                  </w:r>
                </w:p>
              </w:tc>
              <w:tc>
                <w:tcPr>
                  <w:tcW w:w="2208" w:type="dxa"/>
                  <w:tcBorders>
                    <w:top w:val="single" w:color="auto" w:sz="4" w:space="0"/>
                    <w:left w:val="nil"/>
                    <w:bottom w:val="single" w:color="auto" w:sz="4" w:space="0"/>
                    <w:right w:val="single" w:color="auto" w:sz="4" w:space="0"/>
                  </w:tcBorders>
                  <w:shd w:val="clear" w:color="auto" w:fill="auto"/>
                  <w:noWrap w:val="0"/>
                  <w:vAlign w:val="center"/>
                </w:tcPr>
                <w:p w14:paraId="477FEAD7">
                  <w:pPr>
                    <w:pStyle w:val="91"/>
                    <w:spacing w:line="240" w:lineRule="auto"/>
                    <w:ind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sz w:val="21"/>
                      <w:u w:val="none" w:color="auto"/>
                    </w:rPr>
                    <w:t>含电解液的废料</w:t>
                  </w:r>
                </w:p>
              </w:tc>
              <w:tc>
                <w:tcPr>
                  <w:tcW w:w="995" w:type="dxa"/>
                  <w:tcBorders>
                    <w:top w:val="single" w:color="auto" w:sz="4" w:space="0"/>
                    <w:left w:val="nil"/>
                    <w:bottom w:val="single" w:color="auto" w:sz="4" w:space="0"/>
                    <w:right w:val="single" w:color="auto" w:sz="4" w:space="0"/>
                  </w:tcBorders>
                  <w:shd w:val="clear" w:color="auto" w:fill="auto"/>
                  <w:noWrap w:val="0"/>
                  <w:vAlign w:val="center"/>
                </w:tcPr>
                <w:p w14:paraId="63A57BD9">
                  <w:pPr>
                    <w:pStyle w:val="91"/>
                    <w:spacing w:line="240" w:lineRule="auto"/>
                    <w:ind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bidi="ar-SA"/>
                    </w:rPr>
                    <w:t>0.02</w:t>
                  </w:r>
                </w:p>
              </w:tc>
              <w:tc>
                <w:tcPr>
                  <w:tcW w:w="1132" w:type="dxa"/>
                  <w:tcBorders>
                    <w:top w:val="single" w:color="auto" w:sz="4" w:space="0"/>
                    <w:left w:val="nil"/>
                    <w:bottom w:val="single" w:color="auto" w:sz="4" w:space="0"/>
                    <w:right w:val="single" w:color="auto" w:sz="4" w:space="0"/>
                  </w:tcBorders>
                  <w:shd w:val="clear" w:color="auto" w:fill="auto"/>
                  <w:noWrap w:val="0"/>
                  <w:vAlign w:val="center"/>
                </w:tcPr>
                <w:p w14:paraId="06A11136">
                  <w:pPr>
                    <w:pStyle w:val="91"/>
                    <w:spacing w:line="240" w:lineRule="auto"/>
                    <w:ind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color w:val="auto"/>
                      <w:sz w:val="21"/>
                      <w:u w:val="none" w:color="auto"/>
                    </w:rPr>
                    <w:t>固废</w:t>
                  </w:r>
                </w:p>
              </w:tc>
            </w:tr>
            <w:tr w14:paraId="3CF5F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Borders>
                    <w:top w:val="single" w:color="auto" w:sz="4" w:space="0"/>
                    <w:left w:val="single" w:color="auto" w:sz="4" w:space="0"/>
                    <w:bottom w:val="single" w:color="auto" w:sz="4" w:space="0"/>
                    <w:right w:val="single" w:color="auto" w:sz="4" w:space="0"/>
                  </w:tcBorders>
                  <w:noWrap w:val="0"/>
                  <w:vAlign w:val="center"/>
                </w:tcPr>
                <w:p w14:paraId="2882AD61">
                  <w:pPr>
                    <w:pStyle w:val="91"/>
                    <w:spacing w:line="240" w:lineRule="auto"/>
                    <w:ind w:firstLine="0" w:firstLineChars="0"/>
                    <w:jc w:val="center"/>
                    <w:rPr>
                      <w:color w:val="auto"/>
                      <w:sz w:val="21"/>
                      <w:u w:val="none" w:color="auto"/>
                    </w:rPr>
                  </w:pPr>
                  <w:r>
                    <w:rPr>
                      <w:color w:val="auto"/>
                      <w:sz w:val="21"/>
                      <w:u w:val="none" w:color="auto"/>
                    </w:rPr>
                    <w:t>7</w:t>
                  </w:r>
                </w:p>
              </w:tc>
              <w:tc>
                <w:tcPr>
                  <w:tcW w:w="2237" w:type="dxa"/>
                  <w:tcBorders>
                    <w:top w:val="single" w:color="auto" w:sz="4" w:space="0"/>
                    <w:left w:val="nil"/>
                    <w:bottom w:val="single" w:color="auto" w:sz="4" w:space="0"/>
                    <w:right w:val="single" w:color="auto" w:sz="4" w:space="0"/>
                  </w:tcBorders>
                  <w:noWrap w:val="0"/>
                  <w:vAlign w:val="center"/>
                </w:tcPr>
                <w:p w14:paraId="1910928F">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rPr>
                    <w:t>S</w:t>
                  </w:r>
                  <w:r>
                    <w:rPr>
                      <w:rFonts w:hint="eastAsia" w:ascii="Times New Roman" w:hAnsi="Times New Roman" w:eastAsia="宋体" w:cs="Times New Roman"/>
                      <w:color w:val="auto"/>
                      <w:sz w:val="21"/>
                      <w:szCs w:val="21"/>
                      <w:u w:val="none" w:color="auto"/>
                      <w:lang w:val="en-US" w:eastAsia="zh-CN"/>
                    </w:rPr>
                    <w:t>-</w:t>
                  </w:r>
                  <w:r>
                    <w:rPr>
                      <w:rFonts w:hint="eastAsia" w:ascii="Times New Roman" w:hAnsi="Times New Roman" w:eastAsia="宋体" w:cs="Times New Roman"/>
                      <w:color w:val="auto"/>
                      <w:sz w:val="21"/>
                      <w:szCs w:val="21"/>
                      <w:u w:val="none" w:color="auto"/>
                    </w:rPr>
                    <w:t>P导电碳黑</w:t>
                  </w:r>
                </w:p>
              </w:tc>
              <w:tc>
                <w:tcPr>
                  <w:tcW w:w="1106" w:type="dxa"/>
                  <w:tcBorders>
                    <w:top w:val="single" w:color="auto" w:sz="4" w:space="0"/>
                    <w:left w:val="nil"/>
                    <w:bottom w:val="single" w:color="auto" w:sz="4" w:space="0"/>
                    <w:right w:val="single" w:color="auto" w:sz="4" w:space="0"/>
                  </w:tcBorders>
                  <w:noWrap w:val="0"/>
                  <w:vAlign w:val="center"/>
                </w:tcPr>
                <w:p w14:paraId="1F8F93F6">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0.7</w:t>
                  </w:r>
                </w:p>
              </w:tc>
              <w:tc>
                <w:tcPr>
                  <w:tcW w:w="2208" w:type="dxa"/>
                  <w:tcBorders>
                    <w:top w:val="single" w:color="auto" w:sz="4" w:space="0"/>
                    <w:left w:val="nil"/>
                    <w:bottom w:val="single" w:color="auto" w:sz="4" w:space="0"/>
                    <w:right w:val="single" w:color="auto" w:sz="4" w:space="0"/>
                  </w:tcBorders>
                  <w:shd w:val="clear" w:color="auto" w:fill="auto"/>
                  <w:noWrap w:val="0"/>
                  <w:vAlign w:val="center"/>
                </w:tcPr>
                <w:p w14:paraId="130B5665">
                  <w:pPr>
                    <w:pStyle w:val="91"/>
                    <w:spacing w:line="240" w:lineRule="auto"/>
                    <w:ind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color w:val="auto"/>
                      <w:sz w:val="21"/>
                      <w:u w:val="none" w:color="auto"/>
                      <w:lang w:eastAsia="zh-CN"/>
                    </w:rPr>
                    <w:t>水蒸气</w:t>
                  </w:r>
                </w:p>
              </w:tc>
              <w:tc>
                <w:tcPr>
                  <w:tcW w:w="995" w:type="dxa"/>
                  <w:tcBorders>
                    <w:top w:val="single" w:color="auto" w:sz="4" w:space="0"/>
                    <w:left w:val="nil"/>
                    <w:bottom w:val="single" w:color="auto" w:sz="4" w:space="0"/>
                    <w:right w:val="single" w:color="auto" w:sz="4" w:space="0"/>
                  </w:tcBorders>
                  <w:shd w:val="clear" w:color="auto" w:fill="auto"/>
                  <w:noWrap w:val="0"/>
                  <w:vAlign w:val="center"/>
                </w:tcPr>
                <w:p w14:paraId="75C72FC7">
                  <w:pPr>
                    <w:pStyle w:val="91"/>
                    <w:spacing w:line="240" w:lineRule="auto"/>
                    <w:ind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color w:val="auto"/>
                      <w:sz w:val="21"/>
                      <w:u w:val="none" w:color="auto"/>
                      <w:lang w:val="en-US" w:eastAsia="zh-CN"/>
                    </w:rPr>
                    <w:t>100</w:t>
                  </w:r>
                </w:p>
              </w:tc>
              <w:tc>
                <w:tcPr>
                  <w:tcW w:w="1132" w:type="dxa"/>
                  <w:tcBorders>
                    <w:top w:val="single" w:color="auto" w:sz="4" w:space="0"/>
                    <w:left w:val="nil"/>
                    <w:bottom w:val="single" w:color="auto" w:sz="4" w:space="0"/>
                    <w:right w:val="single" w:color="auto" w:sz="4" w:space="0"/>
                  </w:tcBorders>
                  <w:shd w:val="clear" w:color="auto" w:fill="auto"/>
                  <w:noWrap w:val="0"/>
                  <w:vAlign w:val="center"/>
                </w:tcPr>
                <w:p w14:paraId="24DDC933">
                  <w:pPr>
                    <w:pStyle w:val="91"/>
                    <w:spacing w:line="240" w:lineRule="auto"/>
                    <w:ind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color w:val="auto"/>
                      <w:sz w:val="21"/>
                      <w:u w:val="none" w:color="auto"/>
                      <w:lang w:eastAsia="zh-CN"/>
                    </w:rPr>
                    <w:t>水蒸气</w:t>
                  </w:r>
                </w:p>
              </w:tc>
            </w:tr>
            <w:tr w14:paraId="3FF49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Borders>
                    <w:top w:val="single" w:color="auto" w:sz="4" w:space="0"/>
                    <w:left w:val="single" w:color="auto" w:sz="4" w:space="0"/>
                    <w:bottom w:val="single" w:color="auto" w:sz="4" w:space="0"/>
                    <w:right w:val="single" w:color="auto" w:sz="4" w:space="0"/>
                  </w:tcBorders>
                  <w:noWrap w:val="0"/>
                  <w:vAlign w:val="center"/>
                </w:tcPr>
                <w:p w14:paraId="5FFFB534">
                  <w:pPr>
                    <w:pStyle w:val="91"/>
                    <w:spacing w:line="240" w:lineRule="auto"/>
                    <w:ind w:firstLine="0" w:firstLineChars="0"/>
                    <w:jc w:val="center"/>
                    <w:rPr>
                      <w:color w:val="auto"/>
                      <w:sz w:val="21"/>
                      <w:u w:val="none" w:color="auto"/>
                    </w:rPr>
                  </w:pPr>
                  <w:r>
                    <w:rPr>
                      <w:color w:val="auto"/>
                      <w:sz w:val="21"/>
                      <w:u w:val="none" w:color="auto"/>
                    </w:rPr>
                    <w:t>8</w:t>
                  </w:r>
                </w:p>
              </w:tc>
              <w:tc>
                <w:tcPr>
                  <w:tcW w:w="2237" w:type="dxa"/>
                  <w:tcBorders>
                    <w:top w:val="single" w:color="auto" w:sz="4" w:space="0"/>
                    <w:left w:val="nil"/>
                    <w:bottom w:val="single" w:color="auto" w:sz="4" w:space="0"/>
                    <w:right w:val="single" w:color="auto" w:sz="4" w:space="0"/>
                  </w:tcBorders>
                  <w:noWrap w:val="0"/>
                  <w:vAlign w:val="center"/>
                </w:tcPr>
                <w:p w14:paraId="41186E96">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rPr>
                    <w:t>石墨</w:t>
                  </w:r>
                </w:p>
              </w:tc>
              <w:tc>
                <w:tcPr>
                  <w:tcW w:w="1106" w:type="dxa"/>
                  <w:tcBorders>
                    <w:top w:val="single" w:color="auto" w:sz="4" w:space="0"/>
                    <w:left w:val="nil"/>
                    <w:bottom w:val="single" w:color="auto" w:sz="4" w:space="0"/>
                    <w:right w:val="single" w:color="auto" w:sz="4" w:space="0"/>
                  </w:tcBorders>
                  <w:noWrap w:val="0"/>
                  <w:vAlign w:val="center"/>
                </w:tcPr>
                <w:p w14:paraId="7678E45F">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35</w:t>
                  </w:r>
                </w:p>
              </w:tc>
              <w:tc>
                <w:tcPr>
                  <w:tcW w:w="2208" w:type="dxa"/>
                  <w:tcBorders>
                    <w:top w:val="single" w:color="auto" w:sz="4" w:space="0"/>
                    <w:left w:val="nil"/>
                    <w:bottom w:val="single" w:color="auto" w:sz="4" w:space="0"/>
                    <w:right w:val="single" w:color="auto" w:sz="4" w:space="0"/>
                  </w:tcBorders>
                  <w:shd w:val="clear" w:color="auto" w:fill="auto"/>
                  <w:noWrap w:val="0"/>
                  <w:vAlign w:val="center"/>
                </w:tcPr>
                <w:p w14:paraId="4C109054">
                  <w:pPr>
                    <w:pStyle w:val="91"/>
                    <w:spacing w:line="240" w:lineRule="auto"/>
                    <w:ind w:firstLine="0" w:firstLineChars="0"/>
                    <w:jc w:val="center"/>
                    <w:rPr>
                      <w:rFonts w:hint="eastAsia" w:ascii="Times New Roman" w:hAnsi="Times New Roman" w:eastAsia="宋体" w:cs="Times New Roman"/>
                      <w:color w:val="auto"/>
                      <w:kern w:val="0"/>
                      <w:sz w:val="21"/>
                      <w:szCs w:val="21"/>
                      <w:u w:val="none" w:color="auto"/>
                      <w:lang w:val="en-US" w:eastAsia="zh-CN" w:bidi="ar-SA"/>
                    </w:rPr>
                  </w:pPr>
                </w:p>
              </w:tc>
              <w:tc>
                <w:tcPr>
                  <w:tcW w:w="995" w:type="dxa"/>
                  <w:tcBorders>
                    <w:top w:val="single" w:color="auto" w:sz="4" w:space="0"/>
                    <w:left w:val="nil"/>
                    <w:bottom w:val="single" w:color="auto" w:sz="4" w:space="0"/>
                    <w:right w:val="single" w:color="auto" w:sz="4" w:space="0"/>
                  </w:tcBorders>
                  <w:shd w:val="clear" w:color="auto" w:fill="auto"/>
                  <w:noWrap w:val="0"/>
                  <w:vAlign w:val="center"/>
                </w:tcPr>
                <w:p w14:paraId="498D49EE">
                  <w:pPr>
                    <w:pStyle w:val="91"/>
                    <w:spacing w:line="240" w:lineRule="auto"/>
                    <w:ind w:firstLine="0" w:firstLineChars="0"/>
                    <w:jc w:val="center"/>
                    <w:rPr>
                      <w:rFonts w:hint="eastAsia" w:ascii="Times New Roman" w:hAnsi="Times New Roman" w:eastAsia="宋体" w:cs="Times New Roman"/>
                      <w:color w:val="auto"/>
                      <w:kern w:val="0"/>
                      <w:sz w:val="21"/>
                      <w:szCs w:val="21"/>
                      <w:u w:val="none" w:color="auto"/>
                      <w:lang w:val="en-US" w:eastAsia="zh-CN" w:bidi="ar-SA"/>
                    </w:rPr>
                  </w:pPr>
                </w:p>
              </w:tc>
              <w:tc>
                <w:tcPr>
                  <w:tcW w:w="1132" w:type="dxa"/>
                  <w:tcBorders>
                    <w:top w:val="single" w:color="auto" w:sz="4" w:space="0"/>
                    <w:left w:val="nil"/>
                    <w:bottom w:val="single" w:color="auto" w:sz="4" w:space="0"/>
                    <w:right w:val="single" w:color="auto" w:sz="4" w:space="0"/>
                  </w:tcBorders>
                  <w:shd w:val="clear" w:color="auto" w:fill="auto"/>
                  <w:noWrap w:val="0"/>
                  <w:vAlign w:val="center"/>
                </w:tcPr>
                <w:p w14:paraId="0D97A10D">
                  <w:pPr>
                    <w:pStyle w:val="91"/>
                    <w:spacing w:line="240" w:lineRule="auto"/>
                    <w:ind w:firstLine="0" w:firstLineChars="0"/>
                    <w:jc w:val="center"/>
                    <w:rPr>
                      <w:rFonts w:hint="eastAsia" w:ascii="Times New Roman" w:hAnsi="Times New Roman" w:eastAsia="宋体" w:cs="Times New Roman"/>
                      <w:color w:val="auto"/>
                      <w:kern w:val="0"/>
                      <w:sz w:val="21"/>
                      <w:szCs w:val="21"/>
                      <w:u w:val="none" w:color="auto"/>
                      <w:lang w:val="en-US" w:eastAsia="zh-CN" w:bidi="ar-SA"/>
                    </w:rPr>
                  </w:pPr>
                </w:p>
              </w:tc>
            </w:tr>
            <w:tr w14:paraId="28DEC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Borders>
                    <w:top w:val="single" w:color="auto" w:sz="4" w:space="0"/>
                    <w:left w:val="single" w:color="auto" w:sz="4" w:space="0"/>
                    <w:bottom w:val="single" w:color="auto" w:sz="4" w:space="0"/>
                    <w:right w:val="single" w:color="auto" w:sz="4" w:space="0"/>
                  </w:tcBorders>
                  <w:noWrap w:val="0"/>
                  <w:vAlign w:val="center"/>
                </w:tcPr>
                <w:p w14:paraId="2312E153">
                  <w:pPr>
                    <w:pStyle w:val="91"/>
                    <w:spacing w:line="240" w:lineRule="auto"/>
                    <w:ind w:firstLine="0" w:firstLineChars="0"/>
                    <w:jc w:val="center"/>
                    <w:rPr>
                      <w:rFonts w:hint="eastAsia"/>
                      <w:color w:val="auto"/>
                      <w:sz w:val="21"/>
                      <w:u w:val="none" w:color="auto"/>
                    </w:rPr>
                  </w:pPr>
                  <w:r>
                    <w:rPr>
                      <w:color w:val="auto"/>
                      <w:sz w:val="21"/>
                      <w:u w:val="none" w:color="auto"/>
                    </w:rPr>
                    <w:t>9</w:t>
                  </w:r>
                </w:p>
              </w:tc>
              <w:tc>
                <w:tcPr>
                  <w:tcW w:w="2237" w:type="dxa"/>
                  <w:tcBorders>
                    <w:top w:val="single" w:color="auto" w:sz="4" w:space="0"/>
                    <w:left w:val="nil"/>
                    <w:bottom w:val="single" w:color="auto" w:sz="4" w:space="0"/>
                    <w:right w:val="single" w:color="auto" w:sz="4" w:space="0"/>
                  </w:tcBorders>
                  <w:noWrap w:val="0"/>
                  <w:vAlign w:val="center"/>
                </w:tcPr>
                <w:p w14:paraId="18A9B978">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rPr>
                    <w:t>CMC羧甲基纤维素钠</w:t>
                  </w:r>
                </w:p>
              </w:tc>
              <w:tc>
                <w:tcPr>
                  <w:tcW w:w="1106" w:type="dxa"/>
                  <w:tcBorders>
                    <w:top w:val="single" w:color="auto" w:sz="4" w:space="0"/>
                    <w:left w:val="nil"/>
                    <w:bottom w:val="single" w:color="auto" w:sz="4" w:space="0"/>
                    <w:right w:val="single" w:color="auto" w:sz="4" w:space="0"/>
                  </w:tcBorders>
                  <w:noWrap w:val="0"/>
                  <w:vAlign w:val="center"/>
                </w:tcPr>
                <w:p w14:paraId="6946ECDB">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0.5</w:t>
                  </w:r>
                </w:p>
              </w:tc>
              <w:tc>
                <w:tcPr>
                  <w:tcW w:w="2208" w:type="dxa"/>
                  <w:tcBorders>
                    <w:top w:val="single" w:color="auto" w:sz="4" w:space="0"/>
                    <w:left w:val="nil"/>
                    <w:bottom w:val="single" w:color="auto" w:sz="4" w:space="0"/>
                    <w:right w:val="single" w:color="auto" w:sz="4" w:space="0"/>
                  </w:tcBorders>
                  <w:noWrap w:val="0"/>
                  <w:vAlign w:val="center"/>
                </w:tcPr>
                <w:p w14:paraId="460D0B00">
                  <w:pPr>
                    <w:pStyle w:val="91"/>
                    <w:spacing w:line="240" w:lineRule="auto"/>
                    <w:ind w:firstLine="0" w:firstLineChars="0"/>
                    <w:jc w:val="center"/>
                    <w:rPr>
                      <w:rFonts w:hint="eastAsia" w:eastAsia="宋体"/>
                      <w:color w:val="auto"/>
                      <w:sz w:val="21"/>
                      <w:u w:val="none" w:color="auto"/>
                      <w:lang w:eastAsia="zh-CN"/>
                    </w:rPr>
                  </w:pPr>
                </w:p>
              </w:tc>
              <w:tc>
                <w:tcPr>
                  <w:tcW w:w="995" w:type="dxa"/>
                  <w:tcBorders>
                    <w:top w:val="single" w:color="auto" w:sz="4" w:space="0"/>
                    <w:left w:val="nil"/>
                    <w:bottom w:val="single" w:color="auto" w:sz="4" w:space="0"/>
                    <w:right w:val="single" w:color="auto" w:sz="4" w:space="0"/>
                  </w:tcBorders>
                  <w:noWrap w:val="0"/>
                  <w:vAlign w:val="center"/>
                </w:tcPr>
                <w:p w14:paraId="5EF1964A">
                  <w:pPr>
                    <w:pStyle w:val="91"/>
                    <w:spacing w:line="240" w:lineRule="auto"/>
                    <w:ind w:firstLine="0" w:firstLineChars="0"/>
                    <w:jc w:val="center"/>
                    <w:rPr>
                      <w:rFonts w:hint="default" w:eastAsia="宋体"/>
                      <w:color w:val="auto"/>
                      <w:sz w:val="21"/>
                      <w:u w:val="none" w:color="auto"/>
                      <w:lang w:val="en-US" w:eastAsia="zh-CN"/>
                    </w:rPr>
                  </w:pPr>
                </w:p>
              </w:tc>
              <w:tc>
                <w:tcPr>
                  <w:tcW w:w="1132" w:type="dxa"/>
                  <w:tcBorders>
                    <w:top w:val="single" w:color="auto" w:sz="4" w:space="0"/>
                    <w:left w:val="nil"/>
                    <w:bottom w:val="single" w:color="auto" w:sz="4" w:space="0"/>
                    <w:right w:val="single" w:color="auto" w:sz="4" w:space="0"/>
                  </w:tcBorders>
                  <w:noWrap w:val="0"/>
                  <w:vAlign w:val="center"/>
                </w:tcPr>
                <w:p w14:paraId="3ADD7B66">
                  <w:pPr>
                    <w:pStyle w:val="91"/>
                    <w:spacing w:line="240" w:lineRule="auto"/>
                    <w:ind w:firstLine="0" w:firstLineChars="0"/>
                    <w:jc w:val="center"/>
                    <w:rPr>
                      <w:rFonts w:hint="eastAsia" w:eastAsia="宋体"/>
                      <w:color w:val="auto"/>
                      <w:sz w:val="21"/>
                      <w:u w:val="none" w:color="auto"/>
                      <w:lang w:eastAsia="zh-CN"/>
                    </w:rPr>
                  </w:pPr>
                </w:p>
              </w:tc>
            </w:tr>
            <w:tr w14:paraId="47870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Borders>
                    <w:top w:val="single" w:color="auto" w:sz="4" w:space="0"/>
                    <w:left w:val="single" w:color="auto" w:sz="4" w:space="0"/>
                    <w:bottom w:val="single" w:color="auto" w:sz="4" w:space="0"/>
                    <w:right w:val="single" w:color="auto" w:sz="4" w:space="0"/>
                  </w:tcBorders>
                  <w:noWrap w:val="0"/>
                  <w:vAlign w:val="center"/>
                </w:tcPr>
                <w:p w14:paraId="31B62A8F">
                  <w:pPr>
                    <w:pStyle w:val="91"/>
                    <w:spacing w:line="240" w:lineRule="auto"/>
                    <w:ind w:firstLine="0" w:firstLineChars="0"/>
                    <w:jc w:val="center"/>
                    <w:rPr>
                      <w:rFonts w:hint="eastAsia"/>
                      <w:color w:val="auto"/>
                      <w:sz w:val="21"/>
                      <w:u w:val="none" w:color="auto"/>
                    </w:rPr>
                  </w:pPr>
                  <w:r>
                    <w:rPr>
                      <w:rFonts w:hint="eastAsia"/>
                      <w:color w:val="auto"/>
                      <w:sz w:val="21"/>
                      <w:u w:val="none" w:color="auto"/>
                    </w:rPr>
                    <w:t>10</w:t>
                  </w:r>
                </w:p>
              </w:tc>
              <w:tc>
                <w:tcPr>
                  <w:tcW w:w="2237" w:type="dxa"/>
                  <w:tcBorders>
                    <w:top w:val="single" w:color="auto" w:sz="4" w:space="0"/>
                    <w:left w:val="nil"/>
                    <w:bottom w:val="single" w:color="auto" w:sz="4" w:space="0"/>
                    <w:right w:val="single" w:color="auto" w:sz="4" w:space="0"/>
                  </w:tcBorders>
                  <w:noWrap w:val="0"/>
                  <w:vAlign w:val="center"/>
                </w:tcPr>
                <w:p w14:paraId="53CDF897">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rPr>
                    <w:t>SBR丁苯橡胶乳液</w:t>
                  </w:r>
                </w:p>
              </w:tc>
              <w:tc>
                <w:tcPr>
                  <w:tcW w:w="1106" w:type="dxa"/>
                  <w:tcBorders>
                    <w:top w:val="single" w:color="auto" w:sz="4" w:space="0"/>
                    <w:left w:val="nil"/>
                    <w:bottom w:val="single" w:color="auto" w:sz="4" w:space="0"/>
                    <w:right w:val="single" w:color="auto" w:sz="4" w:space="0"/>
                  </w:tcBorders>
                  <w:noWrap w:val="0"/>
                  <w:vAlign w:val="center"/>
                </w:tcPr>
                <w:p w14:paraId="56080496">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0.8</w:t>
                  </w:r>
                </w:p>
              </w:tc>
              <w:tc>
                <w:tcPr>
                  <w:tcW w:w="2208" w:type="dxa"/>
                  <w:tcBorders>
                    <w:top w:val="single" w:color="auto" w:sz="4" w:space="0"/>
                    <w:left w:val="nil"/>
                    <w:bottom w:val="single" w:color="auto" w:sz="4" w:space="0"/>
                    <w:right w:val="single" w:color="auto" w:sz="4" w:space="0"/>
                  </w:tcBorders>
                  <w:noWrap w:val="0"/>
                  <w:vAlign w:val="center"/>
                </w:tcPr>
                <w:p w14:paraId="201F0E0E">
                  <w:pPr>
                    <w:pStyle w:val="91"/>
                    <w:spacing w:line="240" w:lineRule="auto"/>
                    <w:ind w:firstLine="0" w:firstLineChars="0"/>
                    <w:jc w:val="center"/>
                    <w:rPr>
                      <w:color w:val="auto"/>
                      <w:sz w:val="21"/>
                      <w:u w:val="none" w:color="auto"/>
                    </w:rPr>
                  </w:pPr>
                </w:p>
              </w:tc>
              <w:tc>
                <w:tcPr>
                  <w:tcW w:w="995" w:type="dxa"/>
                  <w:tcBorders>
                    <w:top w:val="single" w:color="auto" w:sz="4" w:space="0"/>
                    <w:left w:val="nil"/>
                    <w:bottom w:val="single" w:color="auto" w:sz="4" w:space="0"/>
                    <w:right w:val="single" w:color="auto" w:sz="4" w:space="0"/>
                  </w:tcBorders>
                  <w:noWrap w:val="0"/>
                  <w:vAlign w:val="center"/>
                </w:tcPr>
                <w:p w14:paraId="09D14E3F">
                  <w:pPr>
                    <w:pStyle w:val="91"/>
                    <w:spacing w:line="240" w:lineRule="auto"/>
                    <w:ind w:firstLine="0" w:firstLineChars="0"/>
                    <w:jc w:val="center"/>
                    <w:rPr>
                      <w:color w:val="auto"/>
                      <w:sz w:val="21"/>
                      <w:u w:val="none" w:color="auto"/>
                    </w:rPr>
                  </w:pPr>
                </w:p>
              </w:tc>
              <w:tc>
                <w:tcPr>
                  <w:tcW w:w="1132" w:type="dxa"/>
                  <w:tcBorders>
                    <w:top w:val="single" w:color="auto" w:sz="4" w:space="0"/>
                    <w:left w:val="nil"/>
                    <w:bottom w:val="single" w:color="auto" w:sz="4" w:space="0"/>
                    <w:right w:val="single" w:color="auto" w:sz="4" w:space="0"/>
                  </w:tcBorders>
                  <w:noWrap w:val="0"/>
                  <w:vAlign w:val="center"/>
                </w:tcPr>
                <w:p w14:paraId="36F22950">
                  <w:pPr>
                    <w:pStyle w:val="91"/>
                    <w:spacing w:line="240" w:lineRule="auto"/>
                    <w:ind w:firstLine="0" w:firstLineChars="0"/>
                    <w:jc w:val="center"/>
                    <w:rPr>
                      <w:color w:val="auto"/>
                      <w:sz w:val="21"/>
                      <w:u w:val="none" w:color="auto"/>
                    </w:rPr>
                  </w:pPr>
                </w:p>
              </w:tc>
            </w:tr>
            <w:tr w14:paraId="381E2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Borders>
                    <w:top w:val="single" w:color="auto" w:sz="4" w:space="0"/>
                    <w:left w:val="single" w:color="auto" w:sz="4" w:space="0"/>
                    <w:bottom w:val="single" w:color="auto" w:sz="4" w:space="0"/>
                    <w:right w:val="single" w:color="auto" w:sz="4" w:space="0"/>
                  </w:tcBorders>
                  <w:noWrap w:val="0"/>
                  <w:vAlign w:val="center"/>
                </w:tcPr>
                <w:p w14:paraId="718E0F30">
                  <w:pPr>
                    <w:pStyle w:val="91"/>
                    <w:spacing w:line="240" w:lineRule="auto"/>
                    <w:ind w:firstLine="0" w:firstLineChars="0"/>
                    <w:jc w:val="center"/>
                    <w:rPr>
                      <w:color w:val="auto"/>
                      <w:sz w:val="21"/>
                      <w:u w:val="none" w:color="auto"/>
                    </w:rPr>
                  </w:pPr>
                  <w:r>
                    <w:rPr>
                      <w:rFonts w:hint="eastAsia"/>
                      <w:color w:val="auto"/>
                      <w:sz w:val="21"/>
                      <w:u w:val="none" w:color="auto"/>
                    </w:rPr>
                    <w:t>11</w:t>
                  </w:r>
                </w:p>
              </w:tc>
              <w:tc>
                <w:tcPr>
                  <w:tcW w:w="2237" w:type="dxa"/>
                  <w:tcBorders>
                    <w:top w:val="single" w:color="auto" w:sz="4" w:space="0"/>
                    <w:left w:val="nil"/>
                    <w:bottom w:val="single" w:color="auto" w:sz="4" w:space="0"/>
                    <w:right w:val="single" w:color="auto" w:sz="4" w:space="0"/>
                  </w:tcBorders>
                  <w:noWrap w:val="0"/>
                  <w:vAlign w:val="center"/>
                </w:tcPr>
                <w:p w14:paraId="1F745E5E">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rPr>
                    <w:t>隔膜</w:t>
                  </w:r>
                </w:p>
              </w:tc>
              <w:tc>
                <w:tcPr>
                  <w:tcW w:w="1106" w:type="dxa"/>
                  <w:tcBorders>
                    <w:top w:val="single" w:color="auto" w:sz="4" w:space="0"/>
                    <w:left w:val="nil"/>
                    <w:bottom w:val="single" w:color="auto" w:sz="4" w:space="0"/>
                    <w:right w:val="single" w:color="auto" w:sz="4" w:space="0"/>
                  </w:tcBorders>
                  <w:noWrap w:val="0"/>
                  <w:vAlign w:val="center"/>
                </w:tcPr>
                <w:p w14:paraId="7080EE2F">
                  <w:pPr>
                    <w:spacing w:line="240" w:lineRule="auto"/>
                    <w:ind w:left="0" w:leftChars="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eastAsia="宋体" w:cs="Times New Roman"/>
                      <w:color w:val="auto"/>
                      <w:sz w:val="21"/>
                      <w:szCs w:val="21"/>
                      <w:u w:val="none" w:color="auto"/>
                      <w:lang w:val="en-US" w:eastAsia="zh-CN"/>
                    </w:rPr>
                    <w:t>30</w:t>
                  </w:r>
                </w:p>
              </w:tc>
              <w:tc>
                <w:tcPr>
                  <w:tcW w:w="2208" w:type="dxa"/>
                  <w:tcBorders>
                    <w:top w:val="single" w:color="auto" w:sz="4" w:space="0"/>
                    <w:left w:val="nil"/>
                    <w:bottom w:val="single" w:color="auto" w:sz="4" w:space="0"/>
                    <w:right w:val="single" w:color="auto" w:sz="4" w:space="0"/>
                  </w:tcBorders>
                  <w:noWrap w:val="0"/>
                  <w:vAlign w:val="center"/>
                </w:tcPr>
                <w:p w14:paraId="3C469BFC">
                  <w:pPr>
                    <w:pStyle w:val="91"/>
                    <w:spacing w:line="240" w:lineRule="auto"/>
                    <w:ind w:firstLine="0" w:firstLineChars="0"/>
                    <w:jc w:val="center"/>
                    <w:rPr>
                      <w:color w:val="auto"/>
                      <w:sz w:val="21"/>
                      <w:u w:val="none" w:color="auto"/>
                    </w:rPr>
                  </w:pPr>
                </w:p>
              </w:tc>
              <w:tc>
                <w:tcPr>
                  <w:tcW w:w="995" w:type="dxa"/>
                  <w:tcBorders>
                    <w:top w:val="single" w:color="auto" w:sz="4" w:space="0"/>
                    <w:left w:val="nil"/>
                    <w:bottom w:val="single" w:color="auto" w:sz="4" w:space="0"/>
                    <w:right w:val="single" w:color="auto" w:sz="4" w:space="0"/>
                  </w:tcBorders>
                  <w:noWrap w:val="0"/>
                  <w:vAlign w:val="center"/>
                </w:tcPr>
                <w:p w14:paraId="5C100D52">
                  <w:pPr>
                    <w:pStyle w:val="91"/>
                    <w:spacing w:line="240" w:lineRule="auto"/>
                    <w:ind w:firstLine="0" w:firstLineChars="0"/>
                    <w:jc w:val="center"/>
                    <w:rPr>
                      <w:color w:val="auto"/>
                      <w:sz w:val="21"/>
                      <w:u w:val="none" w:color="auto"/>
                    </w:rPr>
                  </w:pPr>
                </w:p>
              </w:tc>
              <w:tc>
                <w:tcPr>
                  <w:tcW w:w="1132" w:type="dxa"/>
                  <w:tcBorders>
                    <w:top w:val="single" w:color="auto" w:sz="4" w:space="0"/>
                    <w:left w:val="nil"/>
                    <w:bottom w:val="single" w:color="auto" w:sz="4" w:space="0"/>
                    <w:right w:val="single" w:color="auto" w:sz="4" w:space="0"/>
                  </w:tcBorders>
                  <w:noWrap w:val="0"/>
                  <w:vAlign w:val="center"/>
                </w:tcPr>
                <w:p w14:paraId="7F05A0D1">
                  <w:pPr>
                    <w:pStyle w:val="91"/>
                    <w:spacing w:line="240" w:lineRule="auto"/>
                    <w:ind w:firstLine="0" w:firstLineChars="0"/>
                    <w:jc w:val="center"/>
                    <w:rPr>
                      <w:color w:val="auto"/>
                      <w:sz w:val="21"/>
                      <w:u w:val="none" w:color="auto"/>
                    </w:rPr>
                  </w:pPr>
                </w:p>
              </w:tc>
            </w:tr>
            <w:tr w14:paraId="2AF83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Borders>
                    <w:top w:val="single" w:color="auto" w:sz="4" w:space="0"/>
                    <w:left w:val="single" w:color="auto" w:sz="4" w:space="0"/>
                    <w:bottom w:val="single" w:color="auto" w:sz="4" w:space="0"/>
                    <w:right w:val="single" w:color="auto" w:sz="4" w:space="0"/>
                  </w:tcBorders>
                  <w:noWrap w:val="0"/>
                  <w:vAlign w:val="center"/>
                </w:tcPr>
                <w:p w14:paraId="0FC75429">
                  <w:pPr>
                    <w:pStyle w:val="91"/>
                    <w:spacing w:line="240" w:lineRule="auto"/>
                    <w:ind w:firstLine="0" w:firstLineChars="0"/>
                    <w:jc w:val="center"/>
                    <w:rPr>
                      <w:rFonts w:hint="default" w:eastAsia="宋体"/>
                      <w:color w:val="auto"/>
                      <w:sz w:val="21"/>
                      <w:u w:val="none" w:color="auto"/>
                      <w:lang w:val="en-US" w:eastAsia="zh-CN"/>
                    </w:rPr>
                  </w:pPr>
                  <w:r>
                    <w:rPr>
                      <w:rFonts w:hint="eastAsia"/>
                      <w:color w:val="auto"/>
                      <w:sz w:val="21"/>
                      <w:u w:val="none" w:color="auto"/>
                      <w:lang w:val="en-US" w:eastAsia="zh-CN"/>
                    </w:rPr>
                    <w:t>12</w:t>
                  </w:r>
                </w:p>
              </w:tc>
              <w:tc>
                <w:tcPr>
                  <w:tcW w:w="2237" w:type="dxa"/>
                  <w:tcBorders>
                    <w:top w:val="single" w:color="auto" w:sz="4" w:space="0"/>
                    <w:left w:val="nil"/>
                    <w:bottom w:val="single" w:color="auto" w:sz="4" w:space="0"/>
                    <w:right w:val="single" w:color="auto" w:sz="4" w:space="0"/>
                  </w:tcBorders>
                  <w:noWrap w:val="0"/>
                  <w:vAlign w:val="center"/>
                </w:tcPr>
                <w:p w14:paraId="1B2693DB">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rPr>
                    <w:t>电解液</w:t>
                  </w:r>
                </w:p>
              </w:tc>
              <w:tc>
                <w:tcPr>
                  <w:tcW w:w="1106" w:type="dxa"/>
                  <w:tcBorders>
                    <w:top w:val="single" w:color="auto" w:sz="4" w:space="0"/>
                    <w:left w:val="nil"/>
                    <w:bottom w:val="single" w:color="auto" w:sz="4" w:space="0"/>
                    <w:right w:val="single" w:color="auto" w:sz="4" w:space="0"/>
                  </w:tcBorders>
                  <w:noWrap w:val="0"/>
                  <w:vAlign w:val="center"/>
                </w:tcPr>
                <w:p w14:paraId="48D63A20">
                  <w:pPr>
                    <w:spacing w:line="240" w:lineRule="auto"/>
                    <w:ind w:left="0" w:leftChars="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eastAsia="宋体" w:cs="Times New Roman"/>
                      <w:color w:val="auto"/>
                      <w:sz w:val="21"/>
                      <w:szCs w:val="21"/>
                      <w:u w:val="none" w:color="auto"/>
                      <w:lang w:val="en-US" w:eastAsia="zh-CN"/>
                    </w:rPr>
                    <w:t>30</w:t>
                  </w:r>
                </w:p>
              </w:tc>
              <w:tc>
                <w:tcPr>
                  <w:tcW w:w="2208" w:type="dxa"/>
                  <w:tcBorders>
                    <w:top w:val="single" w:color="auto" w:sz="4" w:space="0"/>
                    <w:left w:val="nil"/>
                    <w:bottom w:val="single" w:color="auto" w:sz="4" w:space="0"/>
                    <w:right w:val="single" w:color="auto" w:sz="4" w:space="0"/>
                  </w:tcBorders>
                  <w:noWrap w:val="0"/>
                  <w:vAlign w:val="center"/>
                </w:tcPr>
                <w:p w14:paraId="32EE0742">
                  <w:pPr>
                    <w:pStyle w:val="91"/>
                    <w:spacing w:line="240" w:lineRule="auto"/>
                    <w:ind w:firstLine="0" w:firstLineChars="0"/>
                    <w:jc w:val="center"/>
                    <w:rPr>
                      <w:color w:val="auto"/>
                      <w:sz w:val="21"/>
                      <w:u w:val="none" w:color="auto"/>
                    </w:rPr>
                  </w:pPr>
                </w:p>
              </w:tc>
              <w:tc>
                <w:tcPr>
                  <w:tcW w:w="995" w:type="dxa"/>
                  <w:tcBorders>
                    <w:top w:val="single" w:color="auto" w:sz="4" w:space="0"/>
                    <w:left w:val="nil"/>
                    <w:bottom w:val="single" w:color="auto" w:sz="4" w:space="0"/>
                    <w:right w:val="single" w:color="auto" w:sz="4" w:space="0"/>
                  </w:tcBorders>
                  <w:noWrap w:val="0"/>
                  <w:vAlign w:val="center"/>
                </w:tcPr>
                <w:p w14:paraId="646C35B1">
                  <w:pPr>
                    <w:pStyle w:val="91"/>
                    <w:spacing w:line="240" w:lineRule="auto"/>
                    <w:ind w:firstLine="0" w:firstLineChars="0"/>
                    <w:jc w:val="center"/>
                    <w:rPr>
                      <w:color w:val="auto"/>
                      <w:sz w:val="21"/>
                      <w:u w:val="none" w:color="auto"/>
                    </w:rPr>
                  </w:pPr>
                </w:p>
              </w:tc>
              <w:tc>
                <w:tcPr>
                  <w:tcW w:w="1132" w:type="dxa"/>
                  <w:tcBorders>
                    <w:top w:val="single" w:color="auto" w:sz="4" w:space="0"/>
                    <w:left w:val="nil"/>
                    <w:bottom w:val="single" w:color="auto" w:sz="4" w:space="0"/>
                    <w:right w:val="single" w:color="auto" w:sz="4" w:space="0"/>
                  </w:tcBorders>
                  <w:noWrap w:val="0"/>
                  <w:vAlign w:val="center"/>
                </w:tcPr>
                <w:p w14:paraId="5522C74A">
                  <w:pPr>
                    <w:pStyle w:val="91"/>
                    <w:spacing w:line="240" w:lineRule="auto"/>
                    <w:ind w:firstLine="0" w:firstLineChars="0"/>
                    <w:jc w:val="center"/>
                    <w:rPr>
                      <w:color w:val="auto"/>
                      <w:sz w:val="21"/>
                      <w:u w:val="none" w:color="auto"/>
                    </w:rPr>
                  </w:pPr>
                </w:p>
              </w:tc>
            </w:tr>
            <w:tr w14:paraId="417E8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Borders>
                    <w:top w:val="single" w:color="auto" w:sz="4" w:space="0"/>
                    <w:left w:val="single" w:color="auto" w:sz="4" w:space="0"/>
                    <w:bottom w:val="single" w:color="auto" w:sz="4" w:space="0"/>
                    <w:right w:val="single" w:color="auto" w:sz="4" w:space="0"/>
                  </w:tcBorders>
                  <w:noWrap w:val="0"/>
                  <w:vAlign w:val="center"/>
                </w:tcPr>
                <w:p w14:paraId="5CEFE9DB">
                  <w:pPr>
                    <w:pStyle w:val="91"/>
                    <w:spacing w:line="240" w:lineRule="auto"/>
                    <w:ind w:firstLine="0" w:firstLineChars="0"/>
                    <w:jc w:val="center"/>
                    <w:rPr>
                      <w:rFonts w:hint="default" w:eastAsia="宋体"/>
                      <w:color w:val="auto"/>
                      <w:sz w:val="21"/>
                      <w:u w:val="none" w:color="auto"/>
                      <w:lang w:val="en-US" w:eastAsia="zh-CN"/>
                    </w:rPr>
                  </w:pPr>
                  <w:r>
                    <w:rPr>
                      <w:rFonts w:hint="eastAsia"/>
                      <w:color w:val="auto"/>
                      <w:sz w:val="21"/>
                      <w:u w:val="none" w:color="auto"/>
                      <w:lang w:val="en-US" w:eastAsia="zh-CN"/>
                    </w:rPr>
                    <w:t>13</w:t>
                  </w:r>
                </w:p>
              </w:tc>
              <w:tc>
                <w:tcPr>
                  <w:tcW w:w="2237" w:type="dxa"/>
                  <w:tcBorders>
                    <w:top w:val="single" w:color="auto" w:sz="4" w:space="0"/>
                    <w:left w:val="nil"/>
                    <w:bottom w:val="single" w:color="auto" w:sz="4" w:space="0"/>
                    <w:right w:val="single" w:color="auto" w:sz="4" w:space="0"/>
                  </w:tcBorders>
                  <w:noWrap w:val="0"/>
                  <w:vAlign w:val="center"/>
                </w:tcPr>
                <w:p w14:paraId="3D554888">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rPr>
                    <w:t>极耳（铝极耳、镍极耳）</w:t>
                  </w:r>
                </w:p>
              </w:tc>
              <w:tc>
                <w:tcPr>
                  <w:tcW w:w="1106" w:type="dxa"/>
                  <w:tcBorders>
                    <w:top w:val="single" w:color="auto" w:sz="4" w:space="0"/>
                    <w:left w:val="nil"/>
                    <w:bottom w:val="single" w:color="auto" w:sz="4" w:space="0"/>
                    <w:right w:val="single" w:color="auto" w:sz="4" w:space="0"/>
                  </w:tcBorders>
                  <w:noWrap w:val="0"/>
                  <w:vAlign w:val="center"/>
                </w:tcPr>
                <w:p w14:paraId="729DFA7B">
                  <w:pPr>
                    <w:spacing w:line="240" w:lineRule="auto"/>
                    <w:ind w:left="0" w:leftChars="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eastAsia="宋体" w:cs="Times New Roman"/>
                      <w:color w:val="auto"/>
                      <w:sz w:val="21"/>
                      <w:szCs w:val="21"/>
                      <w:u w:val="none" w:color="auto"/>
                      <w:lang w:val="en-US" w:eastAsia="zh-CN"/>
                    </w:rPr>
                    <w:t>0.3</w:t>
                  </w:r>
                </w:p>
              </w:tc>
              <w:tc>
                <w:tcPr>
                  <w:tcW w:w="2208" w:type="dxa"/>
                  <w:tcBorders>
                    <w:top w:val="single" w:color="auto" w:sz="4" w:space="0"/>
                    <w:left w:val="nil"/>
                    <w:bottom w:val="single" w:color="auto" w:sz="4" w:space="0"/>
                    <w:right w:val="single" w:color="auto" w:sz="4" w:space="0"/>
                  </w:tcBorders>
                  <w:noWrap w:val="0"/>
                  <w:vAlign w:val="center"/>
                </w:tcPr>
                <w:p w14:paraId="1578AA99">
                  <w:pPr>
                    <w:pStyle w:val="91"/>
                    <w:spacing w:line="240" w:lineRule="auto"/>
                    <w:ind w:firstLine="0" w:firstLineChars="0"/>
                    <w:jc w:val="center"/>
                    <w:rPr>
                      <w:color w:val="auto"/>
                      <w:sz w:val="21"/>
                      <w:u w:val="none" w:color="auto"/>
                    </w:rPr>
                  </w:pPr>
                </w:p>
              </w:tc>
              <w:tc>
                <w:tcPr>
                  <w:tcW w:w="995" w:type="dxa"/>
                  <w:tcBorders>
                    <w:top w:val="single" w:color="auto" w:sz="4" w:space="0"/>
                    <w:left w:val="nil"/>
                    <w:bottom w:val="single" w:color="auto" w:sz="4" w:space="0"/>
                    <w:right w:val="single" w:color="auto" w:sz="4" w:space="0"/>
                  </w:tcBorders>
                  <w:noWrap w:val="0"/>
                  <w:vAlign w:val="center"/>
                </w:tcPr>
                <w:p w14:paraId="149E553D">
                  <w:pPr>
                    <w:pStyle w:val="91"/>
                    <w:spacing w:line="240" w:lineRule="auto"/>
                    <w:ind w:firstLine="0" w:firstLineChars="0"/>
                    <w:jc w:val="center"/>
                    <w:rPr>
                      <w:color w:val="auto"/>
                      <w:sz w:val="21"/>
                      <w:u w:val="none" w:color="auto"/>
                    </w:rPr>
                  </w:pPr>
                </w:p>
              </w:tc>
              <w:tc>
                <w:tcPr>
                  <w:tcW w:w="1132" w:type="dxa"/>
                  <w:tcBorders>
                    <w:top w:val="single" w:color="auto" w:sz="4" w:space="0"/>
                    <w:left w:val="nil"/>
                    <w:bottom w:val="single" w:color="auto" w:sz="4" w:space="0"/>
                    <w:right w:val="single" w:color="auto" w:sz="4" w:space="0"/>
                  </w:tcBorders>
                  <w:noWrap w:val="0"/>
                  <w:vAlign w:val="center"/>
                </w:tcPr>
                <w:p w14:paraId="3F7CC6BC">
                  <w:pPr>
                    <w:pStyle w:val="91"/>
                    <w:spacing w:line="240" w:lineRule="auto"/>
                    <w:ind w:firstLine="0" w:firstLineChars="0"/>
                    <w:jc w:val="center"/>
                    <w:rPr>
                      <w:color w:val="auto"/>
                      <w:sz w:val="21"/>
                      <w:u w:val="none" w:color="auto"/>
                    </w:rPr>
                  </w:pPr>
                </w:p>
              </w:tc>
            </w:tr>
            <w:tr w14:paraId="30D00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Borders>
                    <w:top w:val="single" w:color="auto" w:sz="4" w:space="0"/>
                    <w:left w:val="single" w:color="auto" w:sz="4" w:space="0"/>
                    <w:bottom w:val="single" w:color="auto" w:sz="4" w:space="0"/>
                    <w:right w:val="single" w:color="auto" w:sz="4" w:space="0"/>
                  </w:tcBorders>
                  <w:noWrap w:val="0"/>
                  <w:vAlign w:val="center"/>
                </w:tcPr>
                <w:p w14:paraId="21BCD5E9">
                  <w:pPr>
                    <w:pStyle w:val="91"/>
                    <w:spacing w:line="240" w:lineRule="auto"/>
                    <w:ind w:firstLine="0" w:firstLineChars="0"/>
                    <w:jc w:val="center"/>
                    <w:rPr>
                      <w:rFonts w:hint="default" w:eastAsia="宋体"/>
                      <w:color w:val="auto"/>
                      <w:sz w:val="21"/>
                      <w:u w:val="none" w:color="auto"/>
                      <w:lang w:val="en-US" w:eastAsia="zh-CN"/>
                    </w:rPr>
                  </w:pPr>
                  <w:r>
                    <w:rPr>
                      <w:rFonts w:hint="eastAsia"/>
                      <w:color w:val="auto"/>
                      <w:sz w:val="21"/>
                      <w:u w:val="none" w:color="auto"/>
                      <w:lang w:val="en-US" w:eastAsia="zh-CN"/>
                    </w:rPr>
                    <w:t>14</w:t>
                  </w:r>
                </w:p>
              </w:tc>
              <w:tc>
                <w:tcPr>
                  <w:tcW w:w="2237" w:type="dxa"/>
                  <w:tcBorders>
                    <w:top w:val="single" w:color="auto" w:sz="4" w:space="0"/>
                    <w:left w:val="nil"/>
                    <w:bottom w:val="single" w:color="auto" w:sz="4" w:space="0"/>
                    <w:right w:val="single" w:color="auto" w:sz="4" w:space="0"/>
                  </w:tcBorders>
                  <w:shd w:val="clear" w:color="auto" w:fill="auto"/>
                  <w:noWrap w:val="0"/>
                  <w:vAlign w:val="center"/>
                </w:tcPr>
                <w:p w14:paraId="13D3787A">
                  <w:pPr>
                    <w:spacing w:line="240" w:lineRule="auto"/>
                    <w:ind w:left="0" w:leftChars="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铝（钢）壳</w:t>
                  </w:r>
                </w:p>
              </w:tc>
              <w:tc>
                <w:tcPr>
                  <w:tcW w:w="1106" w:type="dxa"/>
                  <w:tcBorders>
                    <w:top w:val="single" w:color="auto" w:sz="4" w:space="0"/>
                    <w:left w:val="nil"/>
                    <w:bottom w:val="single" w:color="auto" w:sz="4" w:space="0"/>
                    <w:right w:val="single" w:color="auto" w:sz="4" w:space="0"/>
                  </w:tcBorders>
                  <w:shd w:val="clear" w:color="auto" w:fill="auto"/>
                  <w:noWrap w:val="0"/>
                  <w:vAlign w:val="center"/>
                </w:tcPr>
                <w:p w14:paraId="4F2B813D">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140</w:t>
                  </w:r>
                </w:p>
              </w:tc>
              <w:tc>
                <w:tcPr>
                  <w:tcW w:w="2208" w:type="dxa"/>
                  <w:tcBorders>
                    <w:top w:val="single" w:color="auto" w:sz="4" w:space="0"/>
                    <w:left w:val="nil"/>
                    <w:bottom w:val="single" w:color="auto" w:sz="4" w:space="0"/>
                    <w:right w:val="single" w:color="auto" w:sz="4" w:space="0"/>
                  </w:tcBorders>
                  <w:noWrap w:val="0"/>
                  <w:vAlign w:val="center"/>
                </w:tcPr>
                <w:p w14:paraId="0E7363EC">
                  <w:pPr>
                    <w:pStyle w:val="91"/>
                    <w:spacing w:line="240" w:lineRule="auto"/>
                    <w:ind w:firstLine="0" w:firstLineChars="0"/>
                    <w:jc w:val="center"/>
                    <w:rPr>
                      <w:color w:val="auto"/>
                      <w:sz w:val="21"/>
                      <w:u w:val="none" w:color="auto"/>
                    </w:rPr>
                  </w:pPr>
                </w:p>
              </w:tc>
              <w:tc>
                <w:tcPr>
                  <w:tcW w:w="995" w:type="dxa"/>
                  <w:tcBorders>
                    <w:top w:val="single" w:color="auto" w:sz="4" w:space="0"/>
                    <w:left w:val="nil"/>
                    <w:bottom w:val="single" w:color="auto" w:sz="4" w:space="0"/>
                    <w:right w:val="single" w:color="auto" w:sz="4" w:space="0"/>
                  </w:tcBorders>
                  <w:noWrap w:val="0"/>
                  <w:vAlign w:val="center"/>
                </w:tcPr>
                <w:p w14:paraId="2DA0ABB1">
                  <w:pPr>
                    <w:pStyle w:val="91"/>
                    <w:spacing w:line="240" w:lineRule="auto"/>
                    <w:ind w:firstLine="0" w:firstLineChars="0"/>
                    <w:jc w:val="center"/>
                    <w:rPr>
                      <w:color w:val="auto"/>
                      <w:sz w:val="21"/>
                      <w:u w:val="none" w:color="auto"/>
                    </w:rPr>
                  </w:pPr>
                </w:p>
              </w:tc>
              <w:tc>
                <w:tcPr>
                  <w:tcW w:w="1132" w:type="dxa"/>
                  <w:tcBorders>
                    <w:top w:val="single" w:color="auto" w:sz="4" w:space="0"/>
                    <w:left w:val="nil"/>
                    <w:bottom w:val="single" w:color="auto" w:sz="4" w:space="0"/>
                    <w:right w:val="single" w:color="auto" w:sz="4" w:space="0"/>
                  </w:tcBorders>
                  <w:noWrap w:val="0"/>
                  <w:vAlign w:val="center"/>
                </w:tcPr>
                <w:p w14:paraId="28DB83E3">
                  <w:pPr>
                    <w:pStyle w:val="91"/>
                    <w:spacing w:line="240" w:lineRule="auto"/>
                    <w:ind w:firstLine="0" w:firstLineChars="0"/>
                    <w:jc w:val="center"/>
                    <w:rPr>
                      <w:color w:val="auto"/>
                      <w:sz w:val="21"/>
                      <w:u w:val="none" w:color="auto"/>
                    </w:rPr>
                  </w:pPr>
                </w:p>
              </w:tc>
            </w:tr>
            <w:tr w14:paraId="17FA3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Borders>
                    <w:top w:val="single" w:color="auto" w:sz="4" w:space="0"/>
                    <w:left w:val="single" w:color="auto" w:sz="4" w:space="0"/>
                    <w:bottom w:val="single" w:color="auto" w:sz="4" w:space="0"/>
                    <w:right w:val="single" w:color="auto" w:sz="4" w:space="0"/>
                  </w:tcBorders>
                  <w:noWrap w:val="0"/>
                  <w:vAlign w:val="center"/>
                </w:tcPr>
                <w:p w14:paraId="1901DB01">
                  <w:pPr>
                    <w:pStyle w:val="91"/>
                    <w:spacing w:line="240" w:lineRule="auto"/>
                    <w:ind w:firstLine="0" w:firstLineChars="0"/>
                    <w:jc w:val="center"/>
                    <w:rPr>
                      <w:rFonts w:hint="default" w:eastAsia="宋体"/>
                      <w:color w:val="auto"/>
                      <w:sz w:val="21"/>
                      <w:u w:val="none" w:color="auto"/>
                      <w:lang w:val="en-US" w:eastAsia="zh-CN"/>
                    </w:rPr>
                  </w:pPr>
                  <w:r>
                    <w:rPr>
                      <w:rFonts w:hint="eastAsia"/>
                      <w:color w:val="auto"/>
                      <w:sz w:val="21"/>
                      <w:u w:val="none" w:color="auto"/>
                      <w:lang w:val="en-US" w:eastAsia="zh-CN"/>
                    </w:rPr>
                    <w:t>15</w:t>
                  </w:r>
                </w:p>
              </w:tc>
              <w:tc>
                <w:tcPr>
                  <w:tcW w:w="2237" w:type="dxa"/>
                  <w:tcBorders>
                    <w:top w:val="single" w:color="auto" w:sz="4" w:space="0"/>
                    <w:left w:val="nil"/>
                    <w:bottom w:val="single" w:color="auto" w:sz="4" w:space="0"/>
                    <w:right w:val="single" w:color="auto" w:sz="4" w:space="0"/>
                  </w:tcBorders>
                  <w:noWrap w:val="0"/>
                  <w:vAlign w:val="center"/>
                </w:tcPr>
                <w:p w14:paraId="23E92100">
                  <w:pPr>
                    <w:spacing w:line="240" w:lineRule="auto"/>
                    <w:ind w:left="0" w:leftChars="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碳纳米管（CNT）</w:t>
                  </w:r>
                </w:p>
              </w:tc>
              <w:tc>
                <w:tcPr>
                  <w:tcW w:w="1106" w:type="dxa"/>
                  <w:tcBorders>
                    <w:top w:val="single" w:color="auto" w:sz="4" w:space="0"/>
                    <w:left w:val="nil"/>
                    <w:bottom w:val="single" w:color="auto" w:sz="4" w:space="0"/>
                    <w:right w:val="single" w:color="auto" w:sz="4" w:space="0"/>
                  </w:tcBorders>
                  <w:noWrap w:val="0"/>
                  <w:vAlign w:val="center"/>
                </w:tcPr>
                <w:p w14:paraId="5ED92930">
                  <w:pPr>
                    <w:spacing w:line="240" w:lineRule="auto"/>
                    <w:ind w:left="0" w:leftChars="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5</w:t>
                  </w:r>
                </w:p>
              </w:tc>
              <w:tc>
                <w:tcPr>
                  <w:tcW w:w="2208" w:type="dxa"/>
                  <w:tcBorders>
                    <w:top w:val="single" w:color="auto" w:sz="4" w:space="0"/>
                    <w:left w:val="nil"/>
                    <w:bottom w:val="single" w:color="auto" w:sz="4" w:space="0"/>
                    <w:right w:val="single" w:color="auto" w:sz="4" w:space="0"/>
                  </w:tcBorders>
                  <w:noWrap w:val="0"/>
                  <w:vAlign w:val="center"/>
                </w:tcPr>
                <w:p w14:paraId="39FA15E9">
                  <w:pPr>
                    <w:pStyle w:val="91"/>
                    <w:spacing w:line="240" w:lineRule="auto"/>
                    <w:ind w:firstLine="0" w:firstLineChars="0"/>
                    <w:jc w:val="center"/>
                    <w:rPr>
                      <w:color w:val="auto"/>
                      <w:sz w:val="21"/>
                      <w:u w:val="none" w:color="auto"/>
                    </w:rPr>
                  </w:pPr>
                </w:p>
              </w:tc>
              <w:tc>
                <w:tcPr>
                  <w:tcW w:w="995" w:type="dxa"/>
                  <w:tcBorders>
                    <w:top w:val="single" w:color="auto" w:sz="4" w:space="0"/>
                    <w:left w:val="nil"/>
                    <w:bottom w:val="single" w:color="auto" w:sz="4" w:space="0"/>
                    <w:right w:val="single" w:color="auto" w:sz="4" w:space="0"/>
                  </w:tcBorders>
                  <w:noWrap w:val="0"/>
                  <w:vAlign w:val="center"/>
                </w:tcPr>
                <w:p w14:paraId="224DDAA2">
                  <w:pPr>
                    <w:pStyle w:val="91"/>
                    <w:spacing w:line="240" w:lineRule="auto"/>
                    <w:ind w:firstLine="0" w:firstLineChars="0"/>
                    <w:jc w:val="center"/>
                    <w:rPr>
                      <w:color w:val="auto"/>
                      <w:sz w:val="21"/>
                      <w:u w:val="none" w:color="auto"/>
                    </w:rPr>
                  </w:pPr>
                </w:p>
              </w:tc>
              <w:tc>
                <w:tcPr>
                  <w:tcW w:w="1132" w:type="dxa"/>
                  <w:tcBorders>
                    <w:top w:val="single" w:color="auto" w:sz="4" w:space="0"/>
                    <w:left w:val="nil"/>
                    <w:bottom w:val="single" w:color="auto" w:sz="4" w:space="0"/>
                    <w:right w:val="single" w:color="auto" w:sz="4" w:space="0"/>
                  </w:tcBorders>
                  <w:noWrap w:val="0"/>
                  <w:vAlign w:val="center"/>
                </w:tcPr>
                <w:p w14:paraId="71DDF554">
                  <w:pPr>
                    <w:pStyle w:val="91"/>
                    <w:spacing w:line="240" w:lineRule="auto"/>
                    <w:ind w:firstLine="0" w:firstLineChars="0"/>
                    <w:jc w:val="center"/>
                    <w:rPr>
                      <w:color w:val="auto"/>
                      <w:sz w:val="21"/>
                      <w:u w:val="none" w:color="auto"/>
                    </w:rPr>
                  </w:pPr>
                </w:p>
              </w:tc>
            </w:tr>
            <w:tr w14:paraId="7739F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Borders>
                    <w:top w:val="single" w:color="auto" w:sz="4" w:space="0"/>
                    <w:left w:val="single" w:color="auto" w:sz="4" w:space="0"/>
                    <w:bottom w:val="single" w:color="auto" w:sz="4" w:space="0"/>
                    <w:right w:val="single" w:color="auto" w:sz="4" w:space="0"/>
                  </w:tcBorders>
                  <w:noWrap w:val="0"/>
                  <w:vAlign w:val="center"/>
                </w:tcPr>
                <w:p w14:paraId="7D70B58D">
                  <w:pPr>
                    <w:pStyle w:val="91"/>
                    <w:spacing w:line="240" w:lineRule="auto"/>
                    <w:ind w:firstLine="0" w:firstLineChars="0"/>
                    <w:jc w:val="center"/>
                    <w:rPr>
                      <w:rFonts w:hint="default" w:eastAsia="宋体"/>
                      <w:color w:val="auto"/>
                      <w:sz w:val="21"/>
                      <w:u w:val="none" w:color="auto"/>
                      <w:lang w:val="en-US" w:eastAsia="zh-CN"/>
                    </w:rPr>
                  </w:pPr>
                  <w:r>
                    <w:rPr>
                      <w:rFonts w:hint="eastAsia"/>
                      <w:color w:val="auto"/>
                      <w:sz w:val="21"/>
                      <w:u w:val="none" w:color="auto"/>
                      <w:lang w:val="en-US" w:eastAsia="zh-CN"/>
                    </w:rPr>
                    <w:t>16</w:t>
                  </w:r>
                </w:p>
              </w:tc>
              <w:tc>
                <w:tcPr>
                  <w:tcW w:w="2237" w:type="dxa"/>
                  <w:tcBorders>
                    <w:top w:val="single" w:color="auto" w:sz="4" w:space="0"/>
                    <w:left w:val="nil"/>
                    <w:bottom w:val="single" w:color="auto" w:sz="4" w:space="0"/>
                    <w:right w:val="single" w:color="auto" w:sz="4" w:space="0"/>
                  </w:tcBorders>
                  <w:noWrap w:val="0"/>
                  <w:vAlign w:val="center"/>
                </w:tcPr>
                <w:p w14:paraId="12947684">
                  <w:pPr>
                    <w:spacing w:line="240" w:lineRule="auto"/>
                    <w:ind w:left="0" w:leftChars="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铝（钢）盖帽</w:t>
                  </w:r>
                </w:p>
              </w:tc>
              <w:tc>
                <w:tcPr>
                  <w:tcW w:w="1106" w:type="dxa"/>
                  <w:tcBorders>
                    <w:top w:val="single" w:color="auto" w:sz="4" w:space="0"/>
                    <w:left w:val="nil"/>
                    <w:bottom w:val="single" w:color="auto" w:sz="4" w:space="0"/>
                    <w:right w:val="single" w:color="auto" w:sz="4" w:space="0"/>
                  </w:tcBorders>
                  <w:noWrap w:val="0"/>
                  <w:vAlign w:val="center"/>
                </w:tcPr>
                <w:p w14:paraId="39C7F8A8">
                  <w:pPr>
                    <w:spacing w:line="240" w:lineRule="auto"/>
                    <w:ind w:left="0" w:leftChars="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eastAsia="宋体" w:cs="Times New Roman"/>
                      <w:color w:val="auto"/>
                      <w:kern w:val="2"/>
                      <w:sz w:val="21"/>
                      <w:szCs w:val="21"/>
                      <w:u w:val="none" w:color="auto"/>
                      <w:lang w:val="en-US" w:eastAsia="zh-CN" w:bidi="ar-SA"/>
                    </w:rPr>
                    <w:t>27</w:t>
                  </w:r>
                </w:p>
              </w:tc>
              <w:tc>
                <w:tcPr>
                  <w:tcW w:w="2208" w:type="dxa"/>
                  <w:tcBorders>
                    <w:top w:val="single" w:color="auto" w:sz="4" w:space="0"/>
                    <w:left w:val="nil"/>
                    <w:bottom w:val="single" w:color="auto" w:sz="4" w:space="0"/>
                    <w:right w:val="single" w:color="auto" w:sz="4" w:space="0"/>
                  </w:tcBorders>
                  <w:noWrap w:val="0"/>
                  <w:vAlign w:val="center"/>
                </w:tcPr>
                <w:p w14:paraId="22B5F0C7">
                  <w:pPr>
                    <w:pStyle w:val="91"/>
                    <w:spacing w:line="240" w:lineRule="auto"/>
                    <w:ind w:firstLine="0" w:firstLineChars="0"/>
                    <w:jc w:val="center"/>
                    <w:rPr>
                      <w:color w:val="auto"/>
                      <w:sz w:val="21"/>
                      <w:u w:val="none" w:color="auto"/>
                    </w:rPr>
                  </w:pPr>
                </w:p>
              </w:tc>
              <w:tc>
                <w:tcPr>
                  <w:tcW w:w="995" w:type="dxa"/>
                  <w:tcBorders>
                    <w:top w:val="single" w:color="auto" w:sz="4" w:space="0"/>
                    <w:left w:val="nil"/>
                    <w:bottom w:val="single" w:color="auto" w:sz="4" w:space="0"/>
                    <w:right w:val="single" w:color="auto" w:sz="4" w:space="0"/>
                  </w:tcBorders>
                  <w:noWrap w:val="0"/>
                  <w:vAlign w:val="center"/>
                </w:tcPr>
                <w:p w14:paraId="23F4EABB">
                  <w:pPr>
                    <w:pStyle w:val="91"/>
                    <w:spacing w:line="240" w:lineRule="auto"/>
                    <w:ind w:firstLine="0" w:firstLineChars="0"/>
                    <w:jc w:val="center"/>
                    <w:rPr>
                      <w:color w:val="auto"/>
                      <w:sz w:val="21"/>
                      <w:u w:val="none" w:color="auto"/>
                    </w:rPr>
                  </w:pPr>
                </w:p>
              </w:tc>
              <w:tc>
                <w:tcPr>
                  <w:tcW w:w="1132" w:type="dxa"/>
                  <w:tcBorders>
                    <w:top w:val="single" w:color="auto" w:sz="4" w:space="0"/>
                    <w:left w:val="nil"/>
                    <w:bottom w:val="single" w:color="auto" w:sz="4" w:space="0"/>
                    <w:right w:val="single" w:color="auto" w:sz="4" w:space="0"/>
                  </w:tcBorders>
                  <w:noWrap w:val="0"/>
                  <w:vAlign w:val="center"/>
                </w:tcPr>
                <w:p w14:paraId="2A8F8D5B">
                  <w:pPr>
                    <w:pStyle w:val="91"/>
                    <w:spacing w:line="240" w:lineRule="auto"/>
                    <w:ind w:firstLine="0" w:firstLineChars="0"/>
                    <w:jc w:val="center"/>
                    <w:rPr>
                      <w:color w:val="auto"/>
                      <w:sz w:val="21"/>
                      <w:u w:val="none" w:color="auto"/>
                    </w:rPr>
                  </w:pPr>
                </w:p>
              </w:tc>
            </w:tr>
            <w:tr w14:paraId="7176B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Borders>
                    <w:top w:val="single" w:color="auto" w:sz="4" w:space="0"/>
                    <w:left w:val="single" w:color="auto" w:sz="4" w:space="0"/>
                    <w:bottom w:val="single" w:color="auto" w:sz="4" w:space="0"/>
                    <w:right w:val="single" w:color="auto" w:sz="4" w:space="0"/>
                  </w:tcBorders>
                  <w:noWrap w:val="0"/>
                  <w:vAlign w:val="center"/>
                </w:tcPr>
                <w:p w14:paraId="5BC44B0C">
                  <w:pPr>
                    <w:pStyle w:val="91"/>
                    <w:spacing w:line="240" w:lineRule="auto"/>
                    <w:ind w:firstLine="0" w:firstLineChars="0"/>
                    <w:jc w:val="center"/>
                    <w:rPr>
                      <w:rFonts w:hint="default" w:eastAsia="宋体"/>
                      <w:color w:val="auto"/>
                      <w:sz w:val="21"/>
                      <w:u w:val="none" w:color="auto"/>
                      <w:lang w:val="en-US" w:eastAsia="zh-CN"/>
                    </w:rPr>
                  </w:pPr>
                  <w:r>
                    <w:rPr>
                      <w:rFonts w:hint="eastAsia"/>
                      <w:color w:val="auto"/>
                      <w:sz w:val="21"/>
                      <w:u w:val="none" w:color="auto"/>
                      <w:lang w:val="en-US" w:eastAsia="zh-CN"/>
                    </w:rPr>
                    <w:t>17</w:t>
                  </w:r>
                </w:p>
              </w:tc>
              <w:tc>
                <w:tcPr>
                  <w:tcW w:w="2237" w:type="dxa"/>
                  <w:tcBorders>
                    <w:top w:val="single" w:color="auto" w:sz="4" w:space="0"/>
                    <w:left w:val="nil"/>
                    <w:bottom w:val="single" w:color="auto" w:sz="4" w:space="0"/>
                    <w:right w:val="single" w:color="auto" w:sz="4" w:space="0"/>
                  </w:tcBorders>
                  <w:noWrap w:val="0"/>
                  <w:vAlign w:val="center"/>
                </w:tcPr>
                <w:p w14:paraId="76F28036">
                  <w:pPr>
                    <w:spacing w:line="240" w:lineRule="auto"/>
                    <w:ind w:left="0" w:leftChars="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PVC/PET</w:t>
                  </w:r>
                </w:p>
              </w:tc>
              <w:tc>
                <w:tcPr>
                  <w:tcW w:w="1106" w:type="dxa"/>
                  <w:tcBorders>
                    <w:top w:val="single" w:color="auto" w:sz="4" w:space="0"/>
                    <w:left w:val="nil"/>
                    <w:bottom w:val="single" w:color="auto" w:sz="4" w:space="0"/>
                    <w:right w:val="single" w:color="auto" w:sz="4" w:space="0"/>
                  </w:tcBorders>
                  <w:noWrap w:val="0"/>
                  <w:vAlign w:val="center"/>
                </w:tcPr>
                <w:p w14:paraId="64B7DBD7">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eastAsia="宋体" w:cs="Times New Roman"/>
                      <w:color w:val="auto"/>
                      <w:kern w:val="2"/>
                      <w:sz w:val="21"/>
                      <w:szCs w:val="21"/>
                      <w:u w:val="none" w:color="auto"/>
                      <w:lang w:val="en-US" w:eastAsia="zh-CN" w:bidi="ar-SA"/>
                    </w:rPr>
                    <w:t>14</w:t>
                  </w:r>
                </w:p>
              </w:tc>
              <w:tc>
                <w:tcPr>
                  <w:tcW w:w="2208" w:type="dxa"/>
                  <w:tcBorders>
                    <w:top w:val="single" w:color="auto" w:sz="4" w:space="0"/>
                    <w:left w:val="nil"/>
                    <w:bottom w:val="single" w:color="auto" w:sz="4" w:space="0"/>
                    <w:right w:val="single" w:color="auto" w:sz="4" w:space="0"/>
                  </w:tcBorders>
                  <w:noWrap w:val="0"/>
                  <w:vAlign w:val="center"/>
                </w:tcPr>
                <w:p w14:paraId="713072DE">
                  <w:pPr>
                    <w:pStyle w:val="91"/>
                    <w:spacing w:line="240" w:lineRule="auto"/>
                    <w:ind w:firstLine="0" w:firstLineChars="0"/>
                    <w:jc w:val="center"/>
                    <w:rPr>
                      <w:color w:val="auto"/>
                      <w:sz w:val="21"/>
                      <w:u w:val="none" w:color="auto"/>
                    </w:rPr>
                  </w:pPr>
                </w:p>
              </w:tc>
              <w:tc>
                <w:tcPr>
                  <w:tcW w:w="995" w:type="dxa"/>
                  <w:tcBorders>
                    <w:top w:val="single" w:color="auto" w:sz="4" w:space="0"/>
                    <w:left w:val="nil"/>
                    <w:bottom w:val="single" w:color="auto" w:sz="4" w:space="0"/>
                    <w:right w:val="single" w:color="auto" w:sz="4" w:space="0"/>
                  </w:tcBorders>
                  <w:noWrap w:val="0"/>
                  <w:vAlign w:val="center"/>
                </w:tcPr>
                <w:p w14:paraId="218D7F0E">
                  <w:pPr>
                    <w:pStyle w:val="91"/>
                    <w:spacing w:line="240" w:lineRule="auto"/>
                    <w:ind w:firstLine="0" w:firstLineChars="0"/>
                    <w:jc w:val="center"/>
                    <w:rPr>
                      <w:color w:val="auto"/>
                      <w:sz w:val="21"/>
                      <w:u w:val="none" w:color="auto"/>
                    </w:rPr>
                  </w:pPr>
                </w:p>
              </w:tc>
              <w:tc>
                <w:tcPr>
                  <w:tcW w:w="1132" w:type="dxa"/>
                  <w:tcBorders>
                    <w:top w:val="single" w:color="auto" w:sz="4" w:space="0"/>
                    <w:left w:val="nil"/>
                    <w:bottom w:val="single" w:color="auto" w:sz="4" w:space="0"/>
                    <w:right w:val="single" w:color="auto" w:sz="4" w:space="0"/>
                  </w:tcBorders>
                  <w:noWrap w:val="0"/>
                  <w:vAlign w:val="center"/>
                </w:tcPr>
                <w:p w14:paraId="6E28C177">
                  <w:pPr>
                    <w:pStyle w:val="91"/>
                    <w:spacing w:line="240" w:lineRule="auto"/>
                    <w:ind w:firstLine="0" w:firstLineChars="0"/>
                    <w:jc w:val="center"/>
                    <w:rPr>
                      <w:color w:val="auto"/>
                      <w:sz w:val="21"/>
                      <w:u w:val="none" w:color="auto"/>
                    </w:rPr>
                  </w:pPr>
                </w:p>
              </w:tc>
            </w:tr>
            <w:tr w14:paraId="32600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Borders>
                    <w:top w:val="single" w:color="auto" w:sz="4" w:space="0"/>
                    <w:left w:val="single" w:color="auto" w:sz="4" w:space="0"/>
                    <w:bottom w:val="single" w:color="auto" w:sz="4" w:space="0"/>
                    <w:right w:val="single" w:color="auto" w:sz="4" w:space="0"/>
                  </w:tcBorders>
                  <w:noWrap w:val="0"/>
                  <w:vAlign w:val="center"/>
                </w:tcPr>
                <w:p w14:paraId="691428D4">
                  <w:pPr>
                    <w:pStyle w:val="91"/>
                    <w:spacing w:line="240" w:lineRule="auto"/>
                    <w:ind w:firstLine="0" w:firstLineChars="0"/>
                    <w:jc w:val="center"/>
                    <w:rPr>
                      <w:rFonts w:hint="default" w:eastAsia="宋体"/>
                      <w:color w:val="auto"/>
                      <w:sz w:val="21"/>
                      <w:u w:val="none" w:color="auto"/>
                      <w:lang w:val="en-US" w:eastAsia="zh-CN"/>
                    </w:rPr>
                  </w:pPr>
                  <w:r>
                    <w:rPr>
                      <w:rFonts w:hint="eastAsia"/>
                      <w:color w:val="auto"/>
                      <w:sz w:val="21"/>
                      <w:u w:val="none" w:color="auto"/>
                      <w:lang w:val="en-US" w:eastAsia="zh-CN"/>
                    </w:rPr>
                    <w:t>18</w:t>
                  </w:r>
                </w:p>
              </w:tc>
              <w:tc>
                <w:tcPr>
                  <w:tcW w:w="2237" w:type="dxa"/>
                  <w:tcBorders>
                    <w:top w:val="single" w:color="auto" w:sz="4" w:space="0"/>
                    <w:left w:val="nil"/>
                    <w:bottom w:val="single" w:color="auto" w:sz="4" w:space="0"/>
                    <w:right w:val="single" w:color="auto" w:sz="4" w:space="0"/>
                  </w:tcBorders>
                  <w:shd w:val="clear" w:color="auto" w:fill="auto"/>
                  <w:noWrap w:val="0"/>
                  <w:vAlign w:val="center"/>
                </w:tcPr>
                <w:p w14:paraId="40E383EE">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除锈油</w:t>
                  </w:r>
                </w:p>
              </w:tc>
              <w:tc>
                <w:tcPr>
                  <w:tcW w:w="1106" w:type="dxa"/>
                  <w:tcBorders>
                    <w:top w:val="single" w:color="auto" w:sz="4" w:space="0"/>
                    <w:left w:val="nil"/>
                    <w:bottom w:val="single" w:color="auto" w:sz="4" w:space="0"/>
                    <w:right w:val="single" w:color="auto" w:sz="4" w:space="0"/>
                  </w:tcBorders>
                  <w:shd w:val="clear" w:color="auto" w:fill="auto"/>
                  <w:noWrap w:val="0"/>
                  <w:vAlign w:val="center"/>
                </w:tcPr>
                <w:p w14:paraId="0C1BB205">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0.01</w:t>
                  </w:r>
                </w:p>
              </w:tc>
              <w:tc>
                <w:tcPr>
                  <w:tcW w:w="2208" w:type="dxa"/>
                  <w:tcBorders>
                    <w:top w:val="single" w:color="auto" w:sz="4" w:space="0"/>
                    <w:left w:val="nil"/>
                    <w:bottom w:val="single" w:color="auto" w:sz="4" w:space="0"/>
                    <w:right w:val="single" w:color="auto" w:sz="4" w:space="0"/>
                  </w:tcBorders>
                  <w:noWrap w:val="0"/>
                  <w:vAlign w:val="center"/>
                </w:tcPr>
                <w:p w14:paraId="0F1A57D0">
                  <w:pPr>
                    <w:pStyle w:val="91"/>
                    <w:spacing w:line="240" w:lineRule="auto"/>
                    <w:ind w:firstLine="0" w:firstLineChars="0"/>
                    <w:jc w:val="center"/>
                    <w:rPr>
                      <w:color w:val="auto"/>
                      <w:sz w:val="21"/>
                      <w:u w:val="none" w:color="auto"/>
                    </w:rPr>
                  </w:pPr>
                </w:p>
              </w:tc>
              <w:tc>
                <w:tcPr>
                  <w:tcW w:w="995" w:type="dxa"/>
                  <w:tcBorders>
                    <w:top w:val="single" w:color="auto" w:sz="4" w:space="0"/>
                    <w:left w:val="nil"/>
                    <w:bottom w:val="single" w:color="auto" w:sz="4" w:space="0"/>
                    <w:right w:val="single" w:color="auto" w:sz="4" w:space="0"/>
                  </w:tcBorders>
                  <w:noWrap w:val="0"/>
                  <w:vAlign w:val="center"/>
                </w:tcPr>
                <w:p w14:paraId="03D6F6F1">
                  <w:pPr>
                    <w:pStyle w:val="91"/>
                    <w:spacing w:line="240" w:lineRule="auto"/>
                    <w:ind w:firstLine="0" w:firstLineChars="0"/>
                    <w:jc w:val="center"/>
                    <w:rPr>
                      <w:color w:val="auto"/>
                      <w:sz w:val="21"/>
                      <w:u w:val="none" w:color="auto"/>
                    </w:rPr>
                  </w:pPr>
                </w:p>
              </w:tc>
              <w:tc>
                <w:tcPr>
                  <w:tcW w:w="1132" w:type="dxa"/>
                  <w:tcBorders>
                    <w:top w:val="single" w:color="auto" w:sz="4" w:space="0"/>
                    <w:left w:val="nil"/>
                    <w:bottom w:val="single" w:color="auto" w:sz="4" w:space="0"/>
                    <w:right w:val="single" w:color="auto" w:sz="4" w:space="0"/>
                  </w:tcBorders>
                  <w:noWrap w:val="0"/>
                  <w:vAlign w:val="center"/>
                </w:tcPr>
                <w:p w14:paraId="6C20E948">
                  <w:pPr>
                    <w:pStyle w:val="91"/>
                    <w:spacing w:line="240" w:lineRule="auto"/>
                    <w:ind w:firstLine="0" w:firstLineChars="0"/>
                    <w:jc w:val="center"/>
                    <w:rPr>
                      <w:color w:val="auto"/>
                      <w:sz w:val="21"/>
                      <w:u w:val="none" w:color="auto"/>
                    </w:rPr>
                  </w:pPr>
                </w:p>
              </w:tc>
            </w:tr>
            <w:tr w14:paraId="54D76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Borders>
                    <w:top w:val="single" w:color="auto" w:sz="4" w:space="0"/>
                    <w:left w:val="single" w:color="auto" w:sz="4" w:space="0"/>
                    <w:bottom w:val="single" w:color="auto" w:sz="4" w:space="0"/>
                    <w:right w:val="single" w:color="auto" w:sz="4" w:space="0"/>
                  </w:tcBorders>
                  <w:noWrap w:val="0"/>
                  <w:vAlign w:val="center"/>
                </w:tcPr>
                <w:p w14:paraId="53462ACB">
                  <w:pPr>
                    <w:pStyle w:val="91"/>
                    <w:spacing w:line="240" w:lineRule="auto"/>
                    <w:ind w:firstLine="0" w:firstLineChars="0"/>
                    <w:jc w:val="center"/>
                    <w:rPr>
                      <w:rFonts w:hint="eastAsia"/>
                      <w:color w:val="auto"/>
                      <w:sz w:val="21"/>
                      <w:u w:val="none" w:color="auto"/>
                      <w:lang w:val="en-US" w:eastAsia="zh-CN"/>
                    </w:rPr>
                  </w:pPr>
                  <w:r>
                    <w:rPr>
                      <w:rFonts w:hint="eastAsia"/>
                      <w:color w:val="auto"/>
                      <w:sz w:val="21"/>
                      <w:u w:val="none" w:color="auto"/>
                      <w:lang w:val="en-US" w:eastAsia="zh-CN"/>
                    </w:rPr>
                    <w:t>19</w:t>
                  </w:r>
                </w:p>
              </w:tc>
              <w:tc>
                <w:tcPr>
                  <w:tcW w:w="2237" w:type="dxa"/>
                  <w:tcBorders>
                    <w:top w:val="single" w:color="auto" w:sz="4" w:space="0"/>
                    <w:left w:val="nil"/>
                    <w:bottom w:val="single" w:color="auto" w:sz="4" w:space="0"/>
                    <w:right w:val="single" w:color="auto" w:sz="4" w:space="0"/>
                  </w:tcBorders>
                  <w:shd w:val="clear" w:color="auto" w:fill="auto"/>
                  <w:noWrap w:val="0"/>
                  <w:vAlign w:val="center"/>
                </w:tcPr>
                <w:p w14:paraId="3F58173E">
                  <w:pPr>
                    <w:pStyle w:val="91"/>
                    <w:spacing w:line="240" w:lineRule="auto"/>
                    <w:ind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sz w:val="21"/>
                      <w:u w:val="none" w:color="auto"/>
                      <w:lang w:eastAsia="zh-CN"/>
                    </w:rPr>
                    <w:t>纯水</w:t>
                  </w:r>
                </w:p>
              </w:tc>
              <w:tc>
                <w:tcPr>
                  <w:tcW w:w="1106" w:type="dxa"/>
                  <w:tcBorders>
                    <w:top w:val="single" w:color="auto" w:sz="4" w:space="0"/>
                    <w:left w:val="nil"/>
                    <w:bottom w:val="single" w:color="auto" w:sz="4" w:space="0"/>
                    <w:right w:val="single" w:color="auto" w:sz="4" w:space="0"/>
                  </w:tcBorders>
                  <w:shd w:val="clear" w:color="auto" w:fill="auto"/>
                  <w:noWrap w:val="0"/>
                  <w:vAlign w:val="center"/>
                </w:tcPr>
                <w:p w14:paraId="290D4BAB">
                  <w:pPr>
                    <w:spacing w:line="240" w:lineRule="auto"/>
                    <w:ind w:left="0" w:leftChars="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100</w:t>
                  </w:r>
                </w:p>
              </w:tc>
              <w:tc>
                <w:tcPr>
                  <w:tcW w:w="2208" w:type="dxa"/>
                  <w:tcBorders>
                    <w:top w:val="single" w:color="auto" w:sz="4" w:space="0"/>
                    <w:left w:val="nil"/>
                    <w:bottom w:val="single" w:color="auto" w:sz="4" w:space="0"/>
                    <w:right w:val="single" w:color="auto" w:sz="4" w:space="0"/>
                  </w:tcBorders>
                  <w:noWrap w:val="0"/>
                  <w:vAlign w:val="center"/>
                </w:tcPr>
                <w:p w14:paraId="0B9F7361">
                  <w:pPr>
                    <w:spacing w:line="240" w:lineRule="auto"/>
                    <w:ind w:left="0" w:leftChars="0" w:firstLine="0" w:firstLineChars="0"/>
                    <w:jc w:val="center"/>
                    <w:rPr>
                      <w:rFonts w:hint="eastAsia" w:ascii="Times New Roman" w:hAnsi="Times New Roman" w:eastAsia="宋体" w:cs="Times New Roman"/>
                      <w:color w:val="auto"/>
                      <w:sz w:val="21"/>
                      <w:szCs w:val="21"/>
                      <w:u w:val="none" w:color="auto"/>
                      <w:lang w:val="en-US" w:eastAsia="zh-CN"/>
                    </w:rPr>
                  </w:pPr>
                </w:p>
              </w:tc>
              <w:tc>
                <w:tcPr>
                  <w:tcW w:w="995" w:type="dxa"/>
                  <w:tcBorders>
                    <w:top w:val="single" w:color="auto" w:sz="4" w:space="0"/>
                    <w:left w:val="nil"/>
                    <w:bottom w:val="single" w:color="auto" w:sz="4" w:space="0"/>
                    <w:right w:val="single" w:color="auto" w:sz="4" w:space="0"/>
                  </w:tcBorders>
                  <w:noWrap w:val="0"/>
                  <w:vAlign w:val="center"/>
                </w:tcPr>
                <w:p w14:paraId="4E5225CB">
                  <w:pPr>
                    <w:pStyle w:val="91"/>
                    <w:spacing w:line="240" w:lineRule="auto"/>
                    <w:ind w:firstLine="0" w:firstLineChars="0"/>
                    <w:jc w:val="center"/>
                    <w:rPr>
                      <w:color w:val="auto"/>
                      <w:sz w:val="21"/>
                      <w:u w:val="none" w:color="auto"/>
                    </w:rPr>
                  </w:pPr>
                </w:p>
              </w:tc>
              <w:tc>
                <w:tcPr>
                  <w:tcW w:w="1132" w:type="dxa"/>
                  <w:tcBorders>
                    <w:top w:val="single" w:color="auto" w:sz="4" w:space="0"/>
                    <w:left w:val="nil"/>
                    <w:bottom w:val="single" w:color="auto" w:sz="4" w:space="0"/>
                    <w:right w:val="single" w:color="auto" w:sz="4" w:space="0"/>
                  </w:tcBorders>
                  <w:noWrap w:val="0"/>
                  <w:vAlign w:val="center"/>
                </w:tcPr>
                <w:p w14:paraId="225D48D8">
                  <w:pPr>
                    <w:pStyle w:val="91"/>
                    <w:spacing w:line="240" w:lineRule="auto"/>
                    <w:ind w:firstLine="0" w:firstLineChars="0"/>
                    <w:jc w:val="center"/>
                    <w:rPr>
                      <w:color w:val="auto"/>
                      <w:sz w:val="21"/>
                      <w:u w:val="none" w:color="auto"/>
                    </w:rPr>
                  </w:pPr>
                </w:p>
              </w:tc>
            </w:tr>
            <w:tr w14:paraId="7C6C9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Borders>
                    <w:top w:val="single" w:color="auto" w:sz="4" w:space="0"/>
                    <w:left w:val="single" w:color="auto" w:sz="4" w:space="0"/>
                    <w:bottom w:val="single" w:color="auto" w:sz="4" w:space="0"/>
                    <w:right w:val="single" w:color="auto" w:sz="4" w:space="0"/>
                  </w:tcBorders>
                  <w:noWrap w:val="0"/>
                  <w:vAlign w:val="center"/>
                </w:tcPr>
                <w:p w14:paraId="179B4F0F">
                  <w:pPr>
                    <w:pStyle w:val="91"/>
                    <w:spacing w:line="240" w:lineRule="auto"/>
                    <w:ind w:firstLine="0" w:firstLineChars="0"/>
                    <w:jc w:val="center"/>
                    <w:rPr>
                      <w:rFonts w:hint="default"/>
                      <w:color w:val="auto"/>
                      <w:sz w:val="21"/>
                      <w:u w:val="none" w:color="auto"/>
                      <w:lang w:val="en-US" w:eastAsia="zh-CN"/>
                    </w:rPr>
                  </w:pPr>
                  <w:r>
                    <w:rPr>
                      <w:rFonts w:hint="eastAsia"/>
                      <w:color w:val="auto"/>
                      <w:sz w:val="21"/>
                      <w:u w:val="none" w:color="auto"/>
                      <w:lang w:val="en-US" w:eastAsia="zh-CN"/>
                    </w:rPr>
                    <w:t>20</w:t>
                  </w:r>
                </w:p>
              </w:tc>
              <w:tc>
                <w:tcPr>
                  <w:tcW w:w="2237" w:type="dxa"/>
                  <w:tcBorders>
                    <w:top w:val="single" w:color="auto" w:sz="4" w:space="0"/>
                    <w:left w:val="nil"/>
                    <w:bottom w:val="single" w:color="auto" w:sz="4" w:space="0"/>
                    <w:right w:val="single" w:color="auto" w:sz="4" w:space="0"/>
                  </w:tcBorders>
                  <w:noWrap w:val="0"/>
                  <w:vAlign w:val="center"/>
                </w:tcPr>
                <w:p w14:paraId="2C8857DC">
                  <w:pPr>
                    <w:pStyle w:val="91"/>
                    <w:spacing w:line="240" w:lineRule="auto"/>
                    <w:ind w:firstLine="0" w:firstLineChars="0"/>
                    <w:jc w:val="center"/>
                    <w:rPr>
                      <w:rFonts w:hint="eastAsia" w:ascii="Times New Roman" w:hAnsi="Times New Roman" w:eastAsia="宋体" w:cs="Times New Roman"/>
                      <w:color w:val="auto"/>
                      <w:sz w:val="21"/>
                      <w:u w:val="none" w:color="auto"/>
                      <w:lang w:eastAsia="zh-CN"/>
                    </w:rPr>
                  </w:pPr>
                  <w:r>
                    <w:rPr>
                      <w:rFonts w:hint="eastAsia" w:ascii="Times New Roman" w:hAnsi="Times New Roman" w:eastAsia="宋体" w:cs="Times New Roman"/>
                      <w:color w:val="auto"/>
                      <w:sz w:val="21"/>
                      <w:szCs w:val="21"/>
                      <w:u w:val="none" w:color="auto"/>
                      <w:lang w:val="en-US" w:eastAsia="zh-CN"/>
                    </w:rPr>
                    <w:t>油墨</w:t>
                  </w:r>
                </w:p>
              </w:tc>
              <w:tc>
                <w:tcPr>
                  <w:tcW w:w="1106" w:type="dxa"/>
                  <w:tcBorders>
                    <w:top w:val="single" w:color="auto" w:sz="4" w:space="0"/>
                    <w:left w:val="nil"/>
                    <w:bottom w:val="single" w:color="auto" w:sz="4" w:space="0"/>
                    <w:right w:val="single" w:color="auto" w:sz="4" w:space="0"/>
                  </w:tcBorders>
                  <w:noWrap w:val="0"/>
                  <w:vAlign w:val="center"/>
                </w:tcPr>
                <w:p w14:paraId="5314FA34">
                  <w:pPr>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0.02</w:t>
                  </w:r>
                </w:p>
              </w:tc>
              <w:tc>
                <w:tcPr>
                  <w:tcW w:w="2208" w:type="dxa"/>
                  <w:tcBorders>
                    <w:top w:val="single" w:color="auto" w:sz="4" w:space="0"/>
                    <w:left w:val="nil"/>
                    <w:bottom w:val="single" w:color="auto" w:sz="4" w:space="0"/>
                    <w:right w:val="single" w:color="auto" w:sz="4" w:space="0"/>
                  </w:tcBorders>
                  <w:noWrap w:val="0"/>
                  <w:vAlign w:val="center"/>
                </w:tcPr>
                <w:p w14:paraId="748A0A73">
                  <w:pPr>
                    <w:spacing w:line="240" w:lineRule="auto"/>
                    <w:ind w:left="0" w:leftChars="0" w:firstLine="0" w:firstLineChars="0"/>
                    <w:jc w:val="center"/>
                    <w:rPr>
                      <w:rFonts w:hint="eastAsia" w:ascii="Times New Roman" w:hAnsi="Times New Roman" w:eastAsia="宋体" w:cs="Times New Roman"/>
                      <w:color w:val="auto"/>
                      <w:sz w:val="21"/>
                      <w:szCs w:val="21"/>
                      <w:u w:val="none" w:color="auto"/>
                      <w:lang w:val="en-US" w:eastAsia="zh-CN"/>
                    </w:rPr>
                  </w:pPr>
                </w:p>
              </w:tc>
              <w:tc>
                <w:tcPr>
                  <w:tcW w:w="995" w:type="dxa"/>
                  <w:tcBorders>
                    <w:top w:val="single" w:color="auto" w:sz="4" w:space="0"/>
                    <w:left w:val="nil"/>
                    <w:bottom w:val="single" w:color="auto" w:sz="4" w:space="0"/>
                    <w:right w:val="single" w:color="auto" w:sz="4" w:space="0"/>
                  </w:tcBorders>
                  <w:noWrap w:val="0"/>
                  <w:vAlign w:val="center"/>
                </w:tcPr>
                <w:p w14:paraId="07EDB26B">
                  <w:pPr>
                    <w:pStyle w:val="91"/>
                    <w:spacing w:line="240" w:lineRule="auto"/>
                    <w:ind w:firstLine="0" w:firstLineChars="0"/>
                    <w:jc w:val="center"/>
                    <w:rPr>
                      <w:color w:val="auto"/>
                      <w:sz w:val="21"/>
                      <w:u w:val="none" w:color="auto"/>
                    </w:rPr>
                  </w:pPr>
                </w:p>
              </w:tc>
              <w:tc>
                <w:tcPr>
                  <w:tcW w:w="1132" w:type="dxa"/>
                  <w:tcBorders>
                    <w:top w:val="single" w:color="auto" w:sz="4" w:space="0"/>
                    <w:left w:val="nil"/>
                    <w:bottom w:val="single" w:color="auto" w:sz="4" w:space="0"/>
                    <w:right w:val="single" w:color="auto" w:sz="4" w:space="0"/>
                  </w:tcBorders>
                  <w:noWrap w:val="0"/>
                  <w:vAlign w:val="center"/>
                </w:tcPr>
                <w:p w14:paraId="302EE1FA">
                  <w:pPr>
                    <w:pStyle w:val="91"/>
                    <w:spacing w:line="240" w:lineRule="auto"/>
                    <w:ind w:firstLine="0" w:firstLineChars="0"/>
                    <w:jc w:val="center"/>
                    <w:rPr>
                      <w:color w:val="auto"/>
                      <w:sz w:val="21"/>
                      <w:u w:val="none" w:color="auto"/>
                    </w:rPr>
                  </w:pPr>
                </w:p>
              </w:tc>
            </w:tr>
            <w:tr w14:paraId="3C4F0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4" w:type="dxa"/>
                  <w:gridSpan w:val="2"/>
                  <w:tcBorders>
                    <w:top w:val="single" w:color="auto" w:sz="4" w:space="0"/>
                    <w:left w:val="single" w:color="auto" w:sz="4" w:space="0"/>
                    <w:bottom w:val="single" w:color="auto" w:sz="4" w:space="0"/>
                    <w:right w:val="single" w:color="auto" w:sz="4" w:space="0"/>
                  </w:tcBorders>
                  <w:noWrap w:val="0"/>
                  <w:vAlign w:val="center"/>
                </w:tcPr>
                <w:p w14:paraId="43587B13">
                  <w:pPr>
                    <w:pStyle w:val="91"/>
                    <w:spacing w:line="240" w:lineRule="auto"/>
                    <w:ind w:firstLine="0" w:firstLineChars="0"/>
                    <w:jc w:val="center"/>
                    <w:rPr>
                      <w:color w:val="auto"/>
                      <w:sz w:val="21"/>
                      <w:u w:val="none" w:color="auto"/>
                    </w:rPr>
                  </w:pPr>
                  <w:r>
                    <w:rPr>
                      <w:color w:val="auto"/>
                      <w:sz w:val="21"/>
                      <w:u w:val="none" w:color="auto"/>
                    </w:rPr>
                    <w:t>合计</w:t>
                  </w:r>
                </w:p>
              </w:tc>
              <w:tc>
                <w:tcPr>
                  <w:tcW w:w="1106" w:type="dxa"/>
                  <w:tcBorders>
                    <w:top w:val="single" w:color="auto" w:sz="4" w:space="0"/>
                    <w:left w:val="nil"/>
                    <w:bottom w:val="single" w:color="auto" w:sz="4" w:space="0"/>
                    <w:right w:val="single" w:color="auto" w:sz="4" w:space="0"/>
                  </w:tcBorders>
                  <w:noWrap w:val="0"/>
                  <w:vAlign w:val="center"/>
                </w:tcPr>
                <w:p w14:paraId="285D4FC8">
                  <w:pPr>
                    <w:pStyle w:val="91"/>
                    <w:spacing w:line="240" w:lineRule="auto"/>
                    <w:ind w:firstLine="0" w:firstLineChars="0"/>
                    <w:jc w:val="center"/>
                    <w:rPr>
                      <w:rFonts w:hint="default" w:eastAsia="宋体"/>
                      <w:color w:val="auto"/>
                      <w:sz w:val="21"/>
                      <w:u w:val="none" w:color="auto"/>
                      <w:lang w:val="en-US" w:eastAsia="zh-CN"/>
                    </w:rPr>
                  </w:pPr>
                  <w:r>
                    <w:rPr>
                      <w:rFonts w:hint="eastAsia" w:eastAsia="宋体"/>
                      <w:color w:val="auto"/>
                      <w:sz w:val="21"/>
                      <w:u w:val="none" w:color="auto"/>
                      <w:lang w:val="en-US" w:eastAsia="zh-CN"/>
                    </w:rPr>
                    <w:t>542.13</w:t>
                  </w:r>
                </w:p>
              </w:tc>
              <w:tc>
                <w:tcPr>
                  <w:tcW w:w="2208" w:type="dxa"/>
                  <w:tcBorders>
                    <w:top w:val="single" w:color="auto" w:sz="4" w:space="0"/>
                    <w:left w:val="nil"/>
                    <w:bottom w:val="single" w:color="auto" w:sz="4" w:space="0"/>
                    <w:right w:val="single" w:color="auto" w:sz="4" w:space="0"/>
                  </w:tcBorders>
                  <w:noWrap w:val="0"/>
                  <w:vAlign w:val="center"/>
                </w:tcPr>
                <w:p w14:paraId="46361272">
                  <w:pPr>
                    <w:pStyle w:val="91"/>
                    <w:spacing w:line="240" w:lineRule="auto"/>
                    <w:ind w:firstLine="0" w:firstLineChars="0"/>
                    <w:jc w:val="center"/>
                    <w:rPr>
                      <w:color w:val="auto"/>
                      <w:sz w:val="21"/>
                      <w:u w:val="none" w:color="auto"/>
                    </w:rPr>
                  </w:pPr>
                  <w:r>
                    <w:rPr>
                      <w:color w:val="auto"/>
                      <w:sz w:val="21"/>
                      <w:u w:val="none" w:color="auto"/>
                    </w:rPr>
                    <w:t>合计</w:t>
                  </w:r>
                </w:p>
              </w:tc>
              <w:tc>
                <w:tcPr>
                  <w:tcW w:w="2127" w:type="dxa"/>
                  <w:gridSpan w:val="2"/>
                  <w:tcBorders>
                    <w:top w:val="single" w:color="auto" w:sz="4" w:space="0"/>
                    <w:left w:val="nil"/>
                    <w:bottom w:val="single" w:color="auto" w:sz="4" w:space="0"/>
                    <w:right w:val="single" w:color="auto" w:sz="4" w:space="0"/>
                  </w:tcBorders>
                  <w:noWrap w:val="0"/>
                  <w:vAlign w:val="center"/>
                </w:tcPr>
                <w:p w14:paraId="7C06CD91">
                  <w:pPr>
                    <w:pStyle w:val="91"/>
                    <w:spacing w:line="240" w:lineRule="auto"/>
                    <w:ind w:firstLine="0" w:firstLineChars="0"/>
                    <w:jc w:val="center"/>
                    <w:rPr>
                      <w:rFonts w:hint="default"/>
                      <w:color w:val="auto"/>
                      <w:sz w:val="21"/>
                      <w:u w:val="none" w:color="auto"/>
                      <w:lang w:val="en-US"/>
                    </w:rPr>
                  </w:pPr>
                  <w:r>
                    <w:rPr>
                      <w:rFonts w:hint="eastAsia" w:eastAsia="宋体"/>
                      <w:color w:val="auto"/>
                      <w:sz w:val="21"/>
                      <w:u w:val="none" w:color="auto"/>
                      <w:lang w:val="en-US" w:eastAsia="zh-CN"/>
                    </w:rPr>
                    <w:t>542.13</w:t>
                  </w:r>
                </w:p>
              </w:tc>
            </w:tr>
          </w:tbl>
          <w:p w14:paraId="7F492164">
            <w:pPr>
              <w:rPr>
                <w:rFonts w:hint="eastAsia"/>
                <w:color w:val="auto"/>
                <w:u w:val="none" w:color="auto"/>
              </w:rPr>
            </w:pPr>
          </w:p>
        </w:tc>
      </w:tr>
      <w:tr w14:paraId="7DD85E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428" w:type="dxa"/>
            <w:noWrap w:val="0"/>
            <w:vAlign w:val="center"/>
          </w:tcPr>
          <w:p w14:paraId="140FF2E2">
            <w:pPr>
              <w:pStyle w:val="11"/>
              <w:rPr>
                <w:rFonts w:hint="eastAsia"/>
                <w:color w:val="auto"/>
                <w:u w:val="none" w:color="auto"/>
              </w:rPr>
            </w:pPr>
            <w:r>
              <w:rPr>
                <w:rFonts w:hint="eastAsia"/>
                <w:color w:val="auto"/>
                <w:u w:val="none" w:color="auto"/>
              </w:rPr>
              <w:t>与项目有关的原有环境污染问题</w:t>
            </w:r>
          </w:p>
        </w:tc>
        <w:tc>
          <w:tcPr>
            <w:tcW w:w="8632" w:type="dxa"/>
            <w:noWrap w:val="0"/>
            <w:vAlign w:val="top"/>
          </w:tcPr>
          <w:p w14:paraId="6AB5457F">
            <w:pPr>
              <w:bidi w:val="0"/>
              <w:rPr>
                <w:rFonts w:hint="eastAsia"/>
                <w:color w:val="auto"/>
                <w:u w:val="none" w:color="auto"/>
                <w:lang w:eastAsia="zh-CN"/>
              </w:rPr>
            </w:pPr>
            <w:r>
              <w:rPr>
                <w:rFonts w:hint="eastAsia"/>
                <w:color w:val="auto"/>
                <w:u w:val="none" w:color="auto"/>
                <w:lang w:val="en-US" w:eastAsia="zh-CN"/>
              </w:rPr>
              <w:t>项目属于新建，本次完善环评手续，目前</w:t>
            </w:r>
            <w:r>
              <w:rPr>
                <w:rFonts w:hint="eastAsia"/>
                <w:color w:val="auto"/>
                <w:u w:val="none" w:color="auto"/>
                <w:lang w:eastAsia="zh-CN"/>
              </w:rPr>
              <w:t>暂</w:t>
            </w:r>
            <w:r>
              <w:rPr>
                <w:rFonts w:hint="eastAsia"/>
                <w:color w:val="auto"/>
                <w:u w:val="none" w:color="auto"/>
                <w:lang w:val="en-US" w:eastAsia="zh-CN"/>
              </w:rPr>
              <w:t>未申领排污许可证，未进行竣工环保验收；</w:t>
            </w:r>
            <w:r>
              <w:rPr>
                <w:rFonts w:hint="eastAsia"/>
                <w:color w:val="auto"/>
                <w:u w:val="none" w:color="auto"/>
              </w:rPr>
              <w:t>项目</w:t>
            </w:r>
            <w:r>
              <w:rPr>
                <w:rFonts w:hint="eastAsia"/>
                <w:color w:val="auto"/>
                <w:u w:val="none" w:color="auto"/>
                <w:lang w:eastAsia="zh-CN"/>
              </w:rPr>
              <w:t>运行以来</w:t>
            </w:r>
            <w:r>
              <w:rPr>
                <w:rFonts w:hint="eastAsia"/>
                <w:color w:val="auto"/>
                <w:u w:val="none" w:color="auto"/>
                <w:lang w:val="en-US" w:eastAsia="zh-CN"/>
              </w:rPr>
              <w:t>未发生环境污染事件</w:t>
            </w:r>
            <w:r>
              <w:rPr>
                <w:rFonts w:hint="eastAsia"/>
                <w:color w:val="auto"/>
                <w:u w:val="none" w:color="auto"/>
              </w:rPr>
              <w:t>，不存在与本项目有关的原有污染情况</w:t>
            </w:r>
            <w:r>
              <w:rPr>
                <w:rFonts w:hint="eastAsia"/>
                <w:color w:val="auto"/>
                <w:u w:val="none" w:color="auto"/>
                <w:lang w:eastAsia="zh-CN"/>
              </w:rPr>
              <w:t>。</w:t>
            </w:r>
          </w:p>
          <w:p w14:paraId="4E277AAA">
            <w:pPr>
              <w:pStyle w:val="2"/>
              <w:rPr>
                <w:rFonts w:hint="eastAsia"/>
                <w:color w:val="auto"/>
                <w:u w:val="none" w:color="auto"/>
                <w:lang w:val="en-US" w:eastAsia="zh-CN"/>
              </w:rPr>
            </w:pPr>
            <w:r>
              <w:rPr>
                <w:rFonts w:hint="eastAsia"/>
                <w:color w:val="auto"/>
                <w:u w:val="none" w:color="auto"/>
                <w:lang w:eastAsia="zh-CN"/>
              </w:rPr>
              <w:t>本项目存在的</w:t>
            </w:r>
            <w:r>
              <w:rPr>
                <w:rFonts w:hint="eastAsia"/>
                <w:color w:val="auto"/>
                <w:u w:val="none" w:color="auto"/>
              </w:rPr>
              <w:t>主要环境问题</w:t>
            </w:r>
            <w:r>
              <w:rPr>
                <w:rFonts w:hint="eastAsia"/>
                <w:color w:val="auto"/>
                <w:u w:val="none" w:color="auto"/>
                <w:lang w:eastAsia="zh-CN"/>
              </w:rPr>
              <w:t>是：</w:t>
            </w:r>
            <w:r>
              <w:rPr>
                <w:rFonts w:hint="eastAsia"/>
                <w:color w:val="auto"/>
                <w:u w:val="none" w:color="auto"/>
                <w:lang w:val="en-US" w:eastAsia="zh-CN"/>
              </w:rPr>
              <w:t>危险暂存间及相关环保设施的标识标牌不完善。评价要求项目完善危险暂存间及相关环保设施的标识标牌，并尽快完成竣工环保验收。</w:t>
            </w:r>
          </w:p>
          <w:p w14:paraId="68FA5CCA">
            <w:pPr>
              <w:bidi w:val="0"/>
              <w:rPr>
                <w:rFonts w:hint="eastAsia" w:eastAsia="宋体"/>
                <w:lang w:val="en-US" w:eastAsia="zh-CN"/>
              </w:rPr>
            </w:pPr>
            <w:r>
              <w:rPr>
                <w:rFonts w:hint="default"/>
              </w:rPr>
              <w:t>项目主要污染源、已经采取的治理措施及存在的主要问题</w:t>
            </w:r>
            <w:r>
              <w:rPr>
                <w:rFonts w:hint="eastAsia"/>
                <w:lang w:eastAsia="zh-CN"/>
              </w:rPr>
              <w:t>统计分析如下：</w:t>
            </w:r>
          </w:p>
          <w:p w14:paraId="03751854">
            <w:pPr>
              <w:spacing w:line="240" w:lineRule="auto"/>
              <w:ind w:firstLine="422"/>
              <w:jc w:val="center"/>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表2-</w:t>
            </w:r>
            <w:r>
              <w:rPr>
                <w:rFonts w:hint="default" w:ascii="Times New Roman" w:hAnsi="Times New Roman" w:cs="Times New Roman"/>
                <w:b/>
                <w:bCs/>
                <w:color w:val="auto"/>
                <w:sz w:val="21"/>
                <w:szCs w:val="21"/>
                <w:u w:val="none" w:color="auto"/>
                <w:lang w:val="en-US" w:eastAsia="zh-CN"/>
              </w:rPr>
              <w:t>7</w:t>
            </w:r>
            <w:r>
              <w:rPr>
                <w:rFonts w:hint="default" w:ascii="Times New Roman" w:hAnsi="Times New Roman" w:cs="Times New Roman"/>
                <w:b/>
                <w:bCs/>
                <w:color w:val="auto"/>
                <w:sz w:val="21"/>
                <w:szCs w:val="21"/>
                <w:u w:val="none" w:color="auto"/>
              </w:rPr>
              <w:t>项目主要污染源、已经采取的治理措施及存在的主要问题</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538"/>
              <w:gridCol w:w="3697"/>
              <w:gridCol w:w="1515"/>
              <w:gridCol w:w="1091"/>
            </w:tblGrid>
            <w:tr w14:paraId="09432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gridSpan w:val="2"/>
                  <w:vAlign w:val="center"/>
                </w:tcPr>
                <w:p w14:paraId="627F25A6">
                  <w:pPr>
                    <w:spacing w:line="240" w:lineRule="auto"/>
                    <w:ind w:left="0" w:leftChars="0" w:firstLine="0" w:firstLineChars="0"/>
                    <w:jc w:val="center"/>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主要污染源</w:t>
                  </w:r>
                </w:p>
              </w:tc>
              <w:tc>
                <w:tcPr>
                  <w:tcW w:w="2199" w:type="pct"/>
                  <w:vAlign w:val="center"/>
                </w:tcPr>
                <w:p w14:paraId="7806F803">
                  <w:pPr>
                    <w:spacing w:line="240" w:lineRule="auto"/>
                    <w:ind w:left="0" w:leftChars="0" w:firstLine="0" w:firstLineChars="0"/>
                    <w:jc w:val="center"/>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目前已采取防治措施及主要问题</w:t>
                  </w:r>
                </w:p>
              </w:tc>
              <w:tc>
                <w:tcPr>
                  <w:tcW w:w="901" w:type="pct"/>
                  <w:vAlign w:val="center"/>
                </w:tcPr>
                <w:p w14:paraId="2A0EA83F">
                  <w:pPr>
                    <w:spacing w:line="240" w:lineRule="auto"/>
                    <w:ind w:left="0" w:leftChars="0" w:firstLine="0" w:firstLineChars="0"/>
                    <w:jc w:val="center"/>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建议整改措施</w:t>
                  </w:r>
                </w:p>
              </w:tc>
              <w:tc>
                <w:tcPr>
                  <w:tcW w:w="649" w:type="pct"/>
                  <w:vAlign w:val="center"/>
                </w:tcPr>
                <w:p w14:paraId="5EDFC632">
                  <w:pPr>
                    <w:spacing w:line="240" w:lineRule="auto"/>
                    <w:ind w:left="0" w:leftChars="0" w:firstLine="0" w:firstLineChars="0"/>
                    <w:jc w:val="center"/>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整改时限</w:t>
                  </w:r>
                </w:p>
              </w:tc>
            </w:tr>
            <w:tr w14:paraId="75419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4" w:type="pct"/>
                  <w:vMerge w:val="restart"/>
                  <w:tcBorders>
                    <w:right w:val="single" w:color="000000" w:sz="4" w:space="0"/>
                  </w:tcBorders>
                  <w:vAlign w:val="center"/>
                </w:tcPr>
                <w:p w14:paraId="4FE04669">
                  <w:pPr>
                    <w:spacing w:line="240" w:lineRule="auto"/>
                    <w:ind w:left="0" w:leftChars="0" w:firstLine="0" w:firstLineChars="0"/>
                    <w:jc w:val="center"/>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废气</w:t>
                  </w:r>
                </w:p>
              </w:tc>
              <w:tc>
                <w:tcPr>
                  <w:tcW w:w="915" w:type="pct"/>
                  <w:tcBorders>
                    <w:left w:val="single" w:color="000000" w:sz="4" w:space="0"/>
                  </w:tcBorders>
                  <w:vAlign w:val="center"/>
                </w:tcPr>
                <w:p w14:paraId="0BC9911F">
                  <w:pPr>
                    <w:spacing w:line="240" w:lineRule="auto"/>
                    <w:ind w:left="0" w:leftChars="0" w:firstLine="0" w:firstLineChars="0"/>
                    <w:jc w:val="center"/>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原料配料粉尘</w:t>
                  </w:r>
                </w:p>
              </w:tc>
              <w:tc>
                <w:tcPr>
                  <w:tcW w:w="2199" w:type="pct"/>
                  <w:vAlign w:val="center"/>
                </w:tcPr>
                <w:p w14:paraId="600253FD">
                  <w:pPr>
                    <w:spacing w:line="240" w:lineRule="auto"/>
                    <w:ind w:left="0" w:leftChars="0" w:firstLine="0" w:firstLineChars="0"/>
                    <w:jc w:val="center"/>
                    <w:rPr>
                      <w:rFonts w:hint="eastAsia" w:cs="Times New Roman"/>
                      <w:color w:val="auto"/>
                      <w:sz w:val="21"/>
                      <w:szCs w:val="21"/>
                      <w:u w:val="none" w:color="auto"/>
                      <w:lang w:val="en-US" w:eastAsia="zh-CN"/>
                    </w:rPr>
                  </w:pPr>
                  <w:r>
                    <w:rPr>
                      <w:rFonts w:hint="eastAsia"/>
                      <w:color w:val="auto"/>
                      <w:sz w:val="21"/>
                      <w:szCs w:val="21"/>
                      <w:u w:val="none" w:color="auto"/>
                      <w:lang w:val="en-US" w:eastAsia="zh-CN"/>
                    </w:rPr>
                    <w:t>原辅材料包装堆放在仓库内，配料设置在密闭车间内，减少无组织粉尘的排放</w:t>
                  </w:r>
                </w:p>
              </w:tc>
              <w:tc>
                <w:tcPr>
                  <w:tcW w:w="901" w:type="pct"/>
                  <w:vAlign w:val="center"/>
                </w:tcPr>
                <w:p w14:paraId="2387632A">
                  <w:pPr>
                    <w:spacing w:line="240" w:lineRule="auto"/>
                    <w:ind w:left="0" w:leftChars="0" w:firstLine="0" w:firstLineChars="0"/>
                    <w:jc w:val="center"/>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加强管理</w:t>
                  </w:r>
                </w:p>
              </w:tc>
              <w:tc>
                <w:tcPr>
                  <w:tcW w:w="649" w:type="pct"/>
                  <w:vAlign w:val="center"/>
                </w:tcPr>
                <w:p w14:paraId="0291D4BF">
                  <w:pPr>
                    <w:spacing w:line="240" w:lineRule="auto"/>
                    <w:ind w:left="0" w:leftChars="0" w:firstLine="0" w:firstLineChars="0"/>
                    <w:jc w:val="center"/>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r>
            <w:tr w14:paraId="09D1F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4" w:type="pct"/>
                  <w:vMerge w:val="continue"/>
                  <w:tcBorders>
                    <w:right w:val="single" w:color="000000" w:sz="4" w:space="0"/>
                  </w:tcBorders>
                  <w:vAlign w:val="center"/>
                </w:tcPr>
                <w:p w14:paraId="479D13AE">
                  <w:pPr>
                    <w:spacing w:line="240" w:lineRule="auto"/>
                    <w:ind w:left="0" w:leftChars="0" w:firstLine="0" w:firstLineChars="0"/>
                    <w:jc w:val="center"/>
                    <w:rPr>
                      <w:rFonts w:hint="eastAsia" w:cs="Times New Roman"/>
                      <w:color w:val="auto"/>
                      <w:sz w:val="21"/>
                      <w:szCs w:val="21"/>
                      <w:u w:val="none" w:color="auto"/>
                      <w:lang w:val="en-US" w:eastAsia="zh-CN"/>
                    </w:rPr>
                  </w:pPr>
                </w:p>
              </w:tc>
              <w:tc>
                <w:tcPr>
                  <w:tcW w:w="915" w:type="pct"/>
                  <w:tcBorders>
                    <w:left w:val="single" w:color="000000" w:sz="4" w:space="0"/>
                  </w:tcBorders>
                  <w:shd w:val="clear" w:color="auto" w:fill="auto"/>
                  <w:vAlign w:val="center"/>
                </w:tcPr>
                <w:p w14:paraId="1298D8CB">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涂布烘干有机废气</w:t>
                  </w:r>
                </w:p>
              </w:tc>
              <w:tc>
                <w:tcPr>
                  <w:tcW w:w="2199" w:type="pct"/>
                  <w:shd w:val="clear" w:color="auto" w:fill="auto"/>
                  <w:vAlign w:val="center"/>
                </w:tcPr>
                <w:p w14:paraId="31BFE5CF">
                  <w:pPr>
                    <w:pStyle w:val="11"/>
                    <w:ind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color w:val="auto"/>
                      <w:sz w:val="21"/>
                      <w:szCs w:val="21"/>
                      <w:u w:val="none" w:color="auto"/>
                      <w:lang w:val="en-US" w:eastAsia="zh-CN"/>
                    </w:rPr>
                    <w:t>1套</w:t>
                  </w:r>
                  <w:r>
                    <w:rPr>
                      <w:rFonts w:hint="eastAsia"/>
                      <w:color w:val="auto"/>
                      <w:sz w:val="21"/>
                      <w:szCs w:val="21"/>
                      <w:u w:val="none" w:color="auto"/>
                    </w:rPr>
                    <w:t>高效冷凝回收系统+</w:t>
                  </w:r>
                  <w:r>
                    <w:rPr>
                      <w:rFonts w:hint="eastAsia"/>
                      <w:color w:val="auto"/>
                      <w:sz w:val="21"/>
                      <w:szCs w:val="21"/>
                      <w:u w:val="none" w:color="auto"/>
                      <w:lang w:val="en-US" w:eastAsia="zh-CN"/>
                    </w:rPr>
                    <w:t>25</w:t>
                  </w:r>
                  <w:r>
                    <w:rPr>
                      <w:rFonts w:hint="eastAsia"/>
                      <w:color w:val="auto"/>
                      <w:sz w:val="21"/>
                      <w:szCs w:val="21"/>
                      <w:u w:val="none" w:color="auto"/>
                      <w:lang w:eastAsia="zh-CN"/>
                    </w:rPr>
                    <w:t>m高</w:t>
                  </w:r>
                  <w:r>
                    <w:rPr>
                      <w:rFonts w:hint="eastAsia"/>
                      <w:color w:val="auto"/>
                      <w:sz w:val="21"/>
                      <w:szCs w:val="21"/>
                      <w:u w:val="none" w:color="auto"/>
                    </w:rPr>
                    <w:t>排气筒</w:t>
                  </w:r>
                  <w:r>
                    <w:rPr>
                      <w:rFonts w:hint="eastAsia"/>
                      <w:color w:val="auto"/>
                      <w:sz w:val="21"/>
                      <w:szCs w:val="21"/>
                      <w:u w:val="none" w:color="auto"/>
                      <w:lang w:eastAsia="zh-CN"/>
                    </w:rPr>
                    <w:t>，无标识标牌</w:t>
                  </w:r>
                </w:p>
              </w:tc>
              <w:tc>
                <w:tcPr>
                  <w:tcW w:w="901" w:type="pct"/>
                  <w:vAlign w:val="center"/>
                </w:tcPr>
                <w:p w14:paraId="59C6C1B1">
                  <w:pPr>
                    <w:spacing w:line="240" w:lineRule="auto"/>
                    <w:ind w:left="0" w:leftChars="0" w:firstLine="0" w:firstLineChars="0"/>
                    <w:jc w:val="center"/>
                    <w:rPr>
                      <w:rFonts w:hint="eastAsia" w:cs="Times New Roman"/>
                      <w:color w:val="auto"/>
                      <w:sz w:val="21"/>
                      <w:szCs w:val="21"/>
                      <w:u w:val="none" w:color="auto"/>
                      <w:lang w:val="en-US" w:eastAsia="zh-CN"/>
                    </w:rPr>
                  </w:pPr>
                  <w:r>
                    <w:rPr>
                      <w:rFonts w:hint="eastAsia"/>
                      <w:color w:val="auto"/>
                      <w:sz w:val="21"/>
                      <w:szCs w:val="21"/>
                      <w:u w:val="none" w:color="auto"/>
                      <w:lang w:eastAsia="zh-CN"/>
                    </w:rPr>
                    <w:t>增加标识标牌</w:t>
                  </w:r>
                </w:p>
              </w:tc>
              <w:tc>
                <w:tcPr>
                  <w:tcW w:w="649" w:type="pct"/>
                  <w:vAlign w:val="center"/>
                </w:tcPr>
                <w:p w14:paraId="77081D7A">
                  <w:pPr>
                    <w:spacing w:line="240" w:lineRule="auto"/>
                    <w:ind w:left="0" w:leftChars="0" w:firstLine="0" w:firstLineChars="0"/>
                    <w:jc w:val="center"/>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三个月内</w:t>
                  </w:r>
                </w:p>
              </w:tc>
            </w:tr>
            <w:tr w14:paraId="3B262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4" w:type="pct"/>
                  <w:vMerge w:val="continue"/>
                  <w:tcBorders>
                    <w:right w:val="single" w:color="000000" w:sz="4" w:space="0"/>
                  </w:tcBorders>
                  <w:vAlign w:val="center"/>
                </w:tcPr>
                <w:p w14:paraId="15CDBBD1">
                  <w:pPr>
                    <w:spacing w:line="240" w:lineRule="auto"/>
                    <w:ind w:left="0" w:leftChars="0" w:firstLine="0" w:firstLineChars="0"/>
                    <w:jc w:val="center"/>
                    <w:rPr>
                      <w:rFonts w:hint="eastAsia" w:cs="Times New Roman"/>
                      <w:color w:val="auto"/>
                      <w:sz w:val="21"/>
                      <w:szCs w:val="21"/>
                      <w:u w:val="none" w:color="auto"/>
                      <w:lang w:val="en-US" w:eastAsia="zh-CN"/>
                    </w:rPr>
                  </w:pPr>
                </w:p>
              </w:tc>
              <w:tc>
                <w:tcPr>
                  <w:tcW w:w="915" w:type="pct"/>
                  <w:tcBorders>
                    <w:left w:val="single" w:color="000000" w:sz="4" w:space="0"/>
                  </w:tcBorders>
                  <w:shd w:val="clear" w:color="auto" w:fill="auto"/>
                  <w:vAlign w:val="center"/>
                </w:tcPr>
                <w:p w14:paraId="209A101C">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注液废气</w:t>
                  </w:r>
                </w:p>
              </w:tc>
              <w:tc>
                <w:tcPr>
                  <w:tcW w:w="2199" w:type="pct"/>
                  <w:shd w:val="clear" w:color="auto" w:fill="auto"/>
                  <w:vAlign w:val="center"/>
                </w:tcPr>
                <w:p w14:paraId="2484DBE8">
                  <w:pPr>
                    <w:pStyle w:val="11"/>
                    <w:ind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color w:val="auto"/>
                      <w:sz w:val="21"/>
                      <w:szCs w:val="21"/>
                      <w:u w:val="none" w:color="auto"/>
                      <w:lang w:val="en-US" w:eastAsia="zh-CN"/>
                    </w:rPr>
                    <w:t>全密闭自动注液机，引至厂外排放</w:t>
                  </w:r>
                </w:p>
              </w:tc>
              <w:tc>
                <w:tcPr>
                  <w:tcW w:w="901" w:type="pct"/>
                  <w:vAlign w:val="center"/>
                </w:tcPr>
                <w:p w14:paraId="253751B3">
                  <w:pPr>
                    <w:spacing w:line="240" w:lineRule="auto"/>
                    <w:ind w:left="0" w:leftChars="0" w:firstLine="0" w:firstLineChars="0"/>
                    <w:jc w:val="center"/>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649" w:type="pct"/>
                  <w:shd w:val="clear" w:color="auto" w:fill="auto"/>
                  <w:vAlign w:val="center"/>
                </w:tcPr>
                <w:p w14:paraId="3A6B31B0">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w:t>
                  </w:r>
                </w:p>
              </w:tc>
            </w:tr>
            <w:tr w14:paraId="206CD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4" w:type="pct"/>
                  <w:vMerge w:val="continue"/>
                  <w:tcBorders>
                    <w:right w:val="single" w:color="000000" w:sz="4" w:space="0"/>
                  </w:tcBorders>
                  <w:vAlign w:val="center"/>
                </w:tcPr>
                <w:p w14:paraId="55882675">
                  <w:pPr>
                    <w:spacing w:line="240" w:lineRule="auto"/>
                    <w:ind w:left="0" w:leftChars="0" w:firstLine="0" w:firstLineChars="0"/>
                    <w:jc w:val="center"/>
                    <w:rPr>
                      <w:rFonts w:hint="eastAsia" w:cs="Times New Roman"/>
                      <w:color w:val="auto"/>
                      <w:sz w:val="21"/>
                      <w:szCs w:val="21"/>
                      <w:u w:val="none" w:color="auto"/>
                      <w:lang w:val="en-US" w:eastAsia="zh-CN"/>
                    </w:rPr>
                  </w:pPr>
                </w:p>
              </w:tc>
              <w:tc>
                <w:tcPr>
                  <w:tcW w:w="915" w:type="pct"/>
                  <w:tcBorders>
                    <w:left w:val="single" w:color="000000" w:sz="4" w:space="0"/>
                  </w:tcBorders>
                  <w:shd w:val="clear" w:color="auto" w:fill="auto"/>
                  <w:vAlign w:val="center"/>
                </w:tcPr>
                <w:p w14:paraId="61582CA3">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喷码废气</w:t>
                  </w:r>
                </w:p>
              </w:tc>
              <w:tc>
                <w:tcPr>
                  <w:tcW w:w="2199" w:type="pct"/>
                  <w:vAlign w:val="center"/>
                </w:tcPr>
                <w:p w14:paraId="44280021">
                  <w:pPr>
                    <w:spacing w:line="240" w:lineRule="auto"/>
                    <w:ind w:left="0" w:leftChars="0" w:firstLine="0" w:firstLineChars="0"/>
                    <w:jc w:val="center"/>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少量废气无组织排放</w:t>
                  </w:r>
                </w:p>
              </w:tc>
              <w:tc>
                <w:tcPr>
                  <w:tcW w:w="901" w:type="pct"/>
                  <w:vAlign w:val="center"/>
                </w:tcPr>
                <w:p w14:paraId="1FF575BE">
                  <w:pPr>
                    <w:spacing w:line="240" w:lineRule="auto"/>
                    <w:ind w:left="0" w:leftChars="0" w:firstLine="0" w:firstLineChars="0"/>
                    <w:jc w:val="center"/>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649" w:type="pct"/>
                  <w:shd w:val="clear" w:color="auto" w:fill="auto"/>
                  <w:vAlign w:val="center"/>
                </w:tcPr>
                <w:p w14:paraId="2A6D05E5">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w:t>
                  </w:r>
                </w:p>
              </w:tc>
            </w:tr>
            <w:tr w14:paraId="10262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4" w:type="pct"/>
                  <w:vMerge w:val="restart"/>
                  <w:tcBorders>
                    <w:right w:val="single" w:color="000000" w:sz="4" w:space="0"/>
                  </w:tcBorders>
                  <w:vAlign w:val="center"/>
                </w:tcPr>
                <w:p w14:paraId="5740A346">
                  <w:pPr>
                    <w:spacing w:line="240" w:lineRule="auto"/>
                    <w:ind w:left="0" w:leftChars="0" w:firstLine="0" w:firstLineChars="0"/>
                    <w:jc w:val="center"/>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废水</w:t>
                  </w:r>
                </w:p>
              </w:tc>
              <w:tc>
                <w:tcPr>
                  <w:tcW w:w="915" w:type="pct"/>
                  <w:tcBorders>
                    <w:left w:val="single" w:color="000000" w:sz="4" w:space="0"/>
                  </w:tcBorders>
                  <w:vAlign w:val="center"/>
                </w:tcPr>
                <w:p w14:paraId="2EA844D8">
                  <w:pPr>
                    <w:spacing w:line="240" w:lineRule="auto"/>
                    <w:ind w:left="0" w:leftChars="0" w:firstLine="0" w:firstLineChars="0"/>
                    <w:jc w:val="center"/>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生活废水</w:t>
                  </w:r>
                </w:p>
              </w:tc>
              <w:tc>
                <w:tcPr>
                  <w:tcW w:w="2199" w:type="pct"/>
                  <w:vAlign w:val="center"/>
                </w:tcPr>
                <w:p w14:paraId="71772168">
                  <w:pPr>
                    <w:spacing w:line="240" w:lineRule="auto"/>
                    <w:ind w:left="0" w:leftChars="0" w:firstLine="0" w:firstLineChars="0"/>
                    <w:jc w:val="center"/>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依托园区现有生活污水处理设施</w:t>
                  </w:r>
                </w:p>
              </w:tc>
              <w:tc>
                <w:tcPr>
                  <w:tcW w:w="901" w:type="pct"/>
                  <w:vAlign w:val="center"/>
                </w:tcPr>
                <w:p w14:paraId="3813E9D6">
                  <w:pPr>
                    <w:spacing w:line="240" w:lineRule="auto"/>
                    <w:ind w:left="0" w:leftChars="0" w:firstLine="0" w:firstLineChars="0"/>
                    <w:jc w:val="center"/>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649" w:type="pct"/>
                  <w:shd w:val="clear" w:color="auto" w:fill="auto"/>
                  <w:vAlign w:val="center"/>
                </w:tcPr>
                <w:p w14:paraId="64C4B12C">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w:t>
                  </w:r>
                </w:p>
              </w:tc>
            </w:tr>
            <w:tr w14:paraId="2A9F1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4" w:type="pct"/>
                  <w:vMerge w:val="continue"/>
                  <w:tcBorders>
                    <w:right w:val="single" w:color="000000" w:sz="4" w:space="0"/>
                  </w:tcBorders>
                  <w:vAlign w:val="center"/>
                </w:tcPr>
                <w:p w14:paraId="12D53D85">
                  <w:pPr>
                    <w:spacing w:line="240" w:lineRule="auto"/>
                    <w:ind w:left="0" w:leftChars="0" w:firstLine="0" w:firstLineChars="0"/>
                    <w:jc w:val="center"/>
                    <w:rPr>
                      <w:rFonts w:hint="eastAsia" w:cs="Times New Roman"/>
                      <w:color w:val="auto"/>
                      <w:sz w:val="21"/>
                      <w:szCs w:val="21"/>
                      <w:u w:val="none" w:color="auto"/>
                      <w:lang w:val="en-US" w:eastAsia="zh-CN"/>
                    </w:rPr>
                  </w:pPr>
                </w:p>
              </w:tc>
              <w:tc>
                <w:tcPr>
                  <w:tcW w:w="915" w:type="pct"/>
                  <w:tcBorders>
                    <w:left w:val="single" w:color="000000" w:sz="4" w:space="0"/>
                  </w:tcBorders>
                  <w:vAlign w:val="center"/>
                </w:tcPr>
                <w:p w14:paraId="486B4910">
                  <w:pPr>
                    <w:spacing w:line="240" w:lineRule="auto"/>
                    <w:ind w:left="0" w:leftChars="0" w:firstLine="0" w:firstLineChars="0"/>
                    <w:jc w:val="center"/>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拖把清洗废水</w:t>
                  </w:r>
                </w:p>
              </w:tc>
              <w:tc>
                <w:tcPr>
                  <w:tcW w:w="2199" w:type="pct"/>
                  <w:vAlign w:val="center"/>
                </w:tcPr>
                <w:p w14:paraId="4FB77D52">
                  <w:pPr>
                    <w:spacing w:line="240" w:lineRule="auto"/>
                    <w:ind w:left="0" w:leftChars="0" w:firstLine="0" w:firstLineChars="0"/>
                    <w:jc w:val="center"/>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沉淀池处理后排入市政污水管网</w:t>
                  </w:r>
                </w:p>
              </w:tc>
              <w:tc>
                <w:tcPr>
                  <w:tcW w:w="901" w:type="pct"/>
                  <w:vAlign w:val="center"/>
                </w:tcPr>
                <w:p w14:paraId="5FF99B61">
                  <w:pPr>
                    <w:spacing w:line="240" w:lineRule="auto"/>
                    <w:ind w:left="0" w:leftChars="0" w:firstLine="0" w:firstLineChars="0"/>
                    <w:jc w:val="center"/>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649" w:type="pct"/>
                  <w:shd w:val="clear" w:color="auto" w:fill="auto"/>
                  <w:vAlign w:val="center"/>
                </w:tcPr>
                <w:p w14:paraId="6AF457F5">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w:t>
                  </w:r>
                </w:p>
              </w:tc>
            </w:tr>
            <w:tr w14:paraId="5CC40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4" w:type="pct"/>
                  <w:vMerge w:val="continue"/>
                  <w:tcBorders>
                    <w:right w:val="single" w:color="000000" w:sz="4" w:space="0"/>
                  </w:tcBorders>
                  <w:vAlign w:val="center"/>
                </w:tcPr>
                <w:p w14:paraId="74AB4C91">
                  <w:pPr>
                    <w:spacing w:line="240" w:lineRule="auto"/>
                    <w:ind w:left="0" w:leftChars="0" w:firstLine="0" w:firstLineChars="0"/>
                    <w:jc w:val="center"/>
                    <w:rPr>
                      <w:rFonts w:hint="eastAsia" w:cs="Times New Roman"/>
                      <w:color w:val="auto"/>
                      <w:sz w:val="21"/>
                      <w:szCs w:val="21"/>
                      <w:u w:val="none" w:color="auto"/>
                      <w:lang w:val="en-US" w:eastAsia="zh-CN"/>
                    </w:rPr>
                  </w:pPr>
                </w:p>
              </w:tc>
              <w:tc>
                <w:tcPr>
                  <w:tcW w:w="915" w:type="pct"/>
                  <w:tcBorders>
                    <w:left w:val="single" w:color="000000" w:sz="4" w:space="0"/>
                  </w:tcBorders>
                  <w:vAlign w:val="center"/>
                </w:tcPr>
                <w:p w14:paraId="5E11AC88">
                  <w:pPr>
                    <w:spacing w:line="240" w:lineRule="auto"/>
                    <w:ind w:left="0" w:leftChars="0" w:firstLine="0" w:firstLineChars="0"/>
                    <w:jc w:val="center"/>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循环水定期排水</w:t>
                  </w:r>
                </w:p>
              </w:tc>
              <w:tc>
                <w:tcPr>
                  <w:tcW w:w="2199" w:type="pct"/>
                  <w:vAlign w:val="center"/>
                </w:tcPr>
                <w:p w14:paraId="5F16A95C">
                  <w:pPr>
                    <w:spacing w:line="240" w:lineRule="auto"/>
                    <w:ind w:left="0" w:leftChars="0" w:firstLine="0" w:firstLineChars="0"/>
                    <w:jc w:val="center"/>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排入市政污水管网</w:t>
                  </w:r>
                </w:p>
              </w:tc>
              <w:tc>
                <w:tcPr>
                  <w:tcW w:w="901" w:type="pct"/>
                  <w:vAlign w:val="center"/>
                </w:tcPr>
                <w:p w14:paraId="388A2DEC">
                  <w:pPr>
                    <w:spacing w:line="240" w:lineRule="auto"/>
                    <w:ind w:left="0" w:leftChars="0" w:firstLine="0" w:firstLineChars="0"/>
                    <w:jc w:val="center"/>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649" w:type="pct"/>
                  <w:shd w:val="clear" w:color="auto" w:fill="auto"/>
                  <w:vAlign w:val="center"/>
                </w:tcPr>
                <w:p w14:paraId="66BE84B9">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w:t>
                  </w:r>
                </w:p>
              </w:tc>
            </w:tr>
            <w:tr w14:paraId="68721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334" w:type="pct"/>
                  <w:vMerge w:val="continue"/>
                  <w:tcBorders>
                    <w:right w:val="single" w:color="000000" w:sz="4" w:space="0"/>
                  </w:tcBorders>
                  <w:vAlign w:val="center"/>
                </w:tcPr>
                <w:p w14:paraId="2909C544">
                  <w:pPr>
                    <w:spacing w:line="240" w:lineRule="auto"/>
                    <w:ind w:left="0" w:leftChars="0" w:firstLine="0" w:firstLineChars="0"/>
                    <w:jc w:val="center"/>
                    <w:rPr>
                      <w:rFonts w:hint="eastAsia" w:cs="Times New Roman"/>
                      <w:color w:val="auto"/>
                      <w:sz w:val="21"/>
                      <w:szCs w:val="21"/>
                      <w:u w:val="none" w:color="auto"/>
                      <w:lang w:val="en-US" w:eastAsia="zh-CN"/>
                    </w:rPr>
                  </w:pPr>
                </w:p>
              </w:tc>
              <w:tc>
                <w:tcPr>
                  <w:tcW w:w="915" w:type="pct"/>
                  <w:tcBorders>
                    <w:left w:val="single" w:color="000000" w:sz="4" w:space="0"/>
                    <w:bottom w:val="single" w:color="000000" w:sz="4" w:space="0"/>
                  </w:tcBorders>
                  <w:vAlign w:val="center"/>
                </w:tcPr>
                <w:p w14:paraId="4F60D8C2">
                  <w:pPr>
                    <w:spacing w:line="240" w:lineRule="auto"/>
                    <w:ind w:left="0" w:leftChars="0" w:firstLine="0" w:firstLineChars="0"/>
                    <w:jc w:val="center"/>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制纯水排水</w:t>
                  </w:r>
                </w:p>
              </w:tc>
              <w:tc>
                <w:tcPr>
                  <w:tcW w:w="2199" w:type="pct"/>
                  <w:tcBorders>
                    <w:bottom w:val="single" w:color="000000" w:sz="4" w:space="0"/>
                  </w:tcBorders>
                  <w:vAlign w:val="center"/>
                </w:tcPr>
                <w:p w14:paraId="57B312A0">
                  <w:pPr>
                    <w:spacing w:line="240" w:lineRule="auto"/>
                    <w:ind w:left="0" w:leftChars="0" w:firstLine="0" w:firstLineChars="0"/>
                    <w:jc w:val="center"/>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排入市政污水管网</w:t>
                  </w:r>
                </w:p>
              </w:tc>
              <w:tc>
                <w:tcPr>
                  <w:tcW w:w="901" w:type="pct"/>
                  <w:tcBorders>
                    <w:bottom w:val="single" w:color="000000" w:sz="4" w:space="0"/>
                  </w:tcBorders>
                  <w:vAlign w:val="center"/>
                </w:tcPr>
                <w:p w14:paraId="10434202">
                  <w:pPr>
                    <w:spacing w:line="240" w:lineRule="auto"/>
                    <w:ind w:left="0" w:leftChars="0" w:firstLine="0" w:firstLineChars="0"/>
                    <w:jc w:val="center"/>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649" w:type="pct"/>
                  <w:tcBorders>
                    <w:bottom w:val="single" w:color="000000" w:sz="4" w:space="0"/>
                  </w:tcBorders>
                  <w:shd w:val="clear" w:color="auto" w:fill="auto"/>
                  <w:vAlign w:val="center"/>
                </w:tcPr>
                <w:p w14:paraId="08CAED46">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w:t>
                  </w:r>
                </w:p>
              </w:tc>
            </w:tr>
            <w:tr w14:paraId="50D3D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334" w:type="pct"/>
                  <w:vMerge w:val="continue"/>
                  <w:tcBorders>
                    <w:right w:val="single" w:color="000000" w:sz="4" w:space="0"/>
                  </w:tcBorders>
                  <w:vAlign w:val="center"/>
                </w:tcPr>
                <w:p w14:paraId="678C493B">
                  <w:pPr>
                    <w:spacing w:line="240" w:lineRule="auto"/>
                    <w:ind w:left="0" w:leftChars="0" w:firstLine="0" w:firstLineChars="0"/>
                    <w:jc w:val="center"/>
                    <w:rPr>
                      <w:rFonts w:hint="eastAsia" w:cs="Times New Roman"/>
                      <w:color w:val="auto"/>
                      <w:sz w:val="21"/>
                      <w:szCs w:val="21"/>
                      <w:u w:val="none" w:color="auto"/>
                      <w:lang w:val="en-US" w:eastAsia="zh-CN"/>
                    </w:rPr>
                  </w:pPr>
                </w:p>
              </w:tc>
              <w:tc>
                <w:tcPr>
                  <w:tcW w:w="915" w:type="pct"/>
                  <w:tcBorders>
                    <w:top w:val="single" w:color="000000" w:sz="4" w:space="0"/>
                    <w:left w:val="single" w:color="000000" w:sz="4" w:space="0"/>
                  </w:tcBorders>
                  <w:vAlign w:val="center"/>
                </w:tcPr>
                <w:p w14:paraId="0E2E97A8">
                  <w:pPr>
                    <w:spacing w:line="240" w:lineRule="auto"/>
                    <w:ind w:left="0" w:leftChars="0" w:firstLine="0" w:firstLineChars="0"/>
                    <w:jc w:val="center"/>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电池外壳清洗排水</w:t>
                  </w:r>
                </w:p>
              </w:tc>
              <w:tc>
                <w:tcPr>
                  <w:tcW w:w="2199" w:type="pct"/>
                  <w:tcBorders>
                    <w:top w:val="single" w:color="000000" w:sz="4" w:space="0"/>
                  </w:tcBorders>
                  <w:vAlign w:val="center"/>
                </w:tcPr>
                <w:p w14:paraId="2310F4CF">
                  <w:pPr>
                    <w:spacing w:line="240" w:lineRule="auto"/>
                    <w:ind w:left="0" w:leftChars="0" w:firstLine="0" w:firstLineChars="0"/>
                    <w:jc w:val="center"/>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排入市政污水管网</w:t>
                  </w:r>
                </w:p>
              </w:tc>
              <w:tc>
                <w:tcPr>
                  <w:tcW w:w="901" w:type="pct"/>
                  <w:tcBorders>
                    <w:top w:val="single" w:color="000000" w:sz="4" w:space="0"/>
                  </w:tcBorders>
                  <w:vAlign w:val="center"/>
                </w:tcPr>
                <w:p w14:paraId="043B4AA7">
                  <w:pPr>
                    <w:spacing w:line="240" w:lineRule="auto"/>
                    <w:ind w:left="0" w:leftChars="0" w:firstLine="0" w:firstLineChars="0"/>
                    <w:jc w:val="center"/>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649" w:type="pct"/>
                  <w:tcBorders>
                    <w:top w:val="single" w:color="000000" w:sz="4" w:space="0"/>
                  </w:tcBorders>
                  <w:shd w:val="clear" w:color="auto" w:fill="auto"/>
                  <w:vAlign w:val="center"/>
                </w:tcPr>
                <w:p w14:paraId="0A382A8C">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w:t>
                  </w:r>
                </w:p>
              </w:tc>
            </w:tr>
            <w:tr w14:paraId="1BA34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4" w:type="pct"/>
                  <w:vMerge w:val="restart"/>
                  <w:tcBorders>
                    <w:right w:val="single" w:color="000000" w:sz="4" w:space="0"/>
                  </w:tcBorders>
                  <w:vAlign w:val="center"/>
                </w:tcPr>
                <w:p w14:paraId="1F854356">
                  <w:pPr>
                    <w:spacing w:line="240" w:lineRule="auto"/>
                    <w:ind w:left="0" w:leftChars="0" w:firstLine="0" w:firstLineChars="0"/>
                    <w:jc w:val="center"/>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固体废物</w:t>
                  </w:r>
                </w:p>
              </w:tc>
              <w:tc>
                <w:tcPr>
                  <w:tcW w:w="915" w:type="pct"/>
                  <w:tcBorders>
                    <w:left w:val="single" w:color="000000" w:sz="4" w:space="0"/>
                  </w:tcBorders>
                  <w:vAlign w:val="center"/>
                </w:tcPr>
                <w:p w14:paraId="6778ACB5">
                  <w:pPr>
                    <w:spacing w:line="240" w:lineRule="auto"/>
                    <w:ind w:left="0" w:leftChars="0" w:firstLine="0" w:firstLineChars="0"/>
                    <w:jc w:val="center"/>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一般固体废物</w:t>
                  </w:r>
                </w:p>
              </w:tc>
              <w:tc>
                <w:tcPr>
                  <w:tcW w:w="2199" w:type="pct"/>
                  <w:vAlign w:val="center"/>
                </w:tcPr>
                <w:p w14:paraId="60CF0084">
                  <w:pPr>
                    <w:spacing w:line="240" w:lineRule="auto"/>
                    <w:ind w:left="0" w:leftChars="0" w:firstLine="0" w:firstLineChars="0"/>
                    <w:jc w:val="center"/>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统一收集交专业公司处置</w:t>
                  </w:r>
                </w:p>
              </w:tc>
              <w:tc>
                <w:tcPr>
                  <w:tcW w:w="901" w:type="pct"/>
                  <w:vAlign w:val="center"/>
                </w:tcPr>
                <w:p w14:paraId="1033C5EF">
                  <w:pPr>
                    <w:spacing w:line="240" w:lineRule="auto"/>
                    <w:ind w:left="0" w:leftChars="0" w:firstLine="0" w:firstLineChars="0"/>
                    <w:jc w:val="center"/>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649" w:type="pct"/>
                  <w:shd w:val="clear" w:color="auto" w:fill="auto"/>
                  <w:vAlign w:val="center"/>
                </w:tcPr>
                <w:p w14:paraId="430FC8F7">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w:t>
                  </w:r>
                </w:p>
              </w:tc>
            </w:tr>
            <w:tr w14:paraId="2B397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4" w:type="pct"/>
                  <w:vMerge w:val="continue"/>
                  <w:tcBorders>
                    <w:right w:val="single" w:color="000000" w:sz="4" w:space="0"/>
                  </w:tcBorders>
                  <w:vAlign w:val="center"/>
                </w:tcPr>
                <w:p w14:paraId="3D78E315">
                  <w:pPr>
                    <w:spacing w:line="240" w:lineRule="auto"/>
                    <w:ind w:left="0" w:leftChars="0" w:firstLine="0" w:firstLineChars="0"/>
                    <w:jc w:val="center"/>
                    <w:rPr>
                      <w:rFonts w:hint="eastAsia" w:cs="Times New Roman"/>
                      <w:color w:val="auto"/>
                      <w:sz w:val="21"/>
                      <w:szCs w:val="21"/>
                      <w:u w:val="none" w:color="auto"/>
                      <w:lang w:val="en-US" w:eastAsia="zh-CN"/>
                    </w:rPr>
                  </w:pPr>
                </w:p>
              </w:tc>
              <w:tc>
                <w:tcPr>
                  <w:tcW w:w="915" w:type="pct"/>
                  <w:tcBorders>
                    <w:left w:val="single" w:color="000000" w:sz="4" w:space="0"/>
                  </w:tcBorders>
                  <w:vAlign w:val="center"/>
                </w:tcPr>
                <w:p w14:paraId="6806895E">
                  <w:pPr>
                    <w:spacing w:line="240" w:lineRule="auto"/>
                    <w:ind w:left="0" w:leftChars="0" w:firstLine="0" w:firstLineChars="0"/>
                    <w:jc w:val="center"/>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危险废物</w:t>
                  </w:r>
                </w:p>
              </w:tc>
              <w:tc>
                <w:tcPr>
                  <w:tcW w:w="2199" w:type="pct"/>
                  <w:vAlign w:val="center"/>
                </w:tcPr>
                <w:p w14:paraId="2F21D612">
                  <w:pPr>
                    <w:spacing w:line="240" w:lineRule="auto"/>
                    <w:ind w:left="0" w:leftChars="0" w:firstLine="0" w:firstLineChars="0"/>
                    <w:jc w:val="center"/>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厂内设置危废暂存间，危险废物定期交有资质单位处置，标识标牌不规范</w:t>
                  </w:r>
                </w:p>
              </w:tc>
              <w:tc>
                <w:tcPr>
                  <w:tcW w:w="901" w:type="pct"/>
                  <w:vAlign w:val="center"/>
                </w:tcPr>
                <w:p w14:paraId="32585C44">
                  <w:pPr>
                    <w:spacing w:line="240" w:lineRule="auto"/>
                    <w:ind w:left="0" w:leftChars="0" w:firstLine="0" w:firstLineChars="0"/>
                    <w:jc w:val="center"/>
                    <w:rPr>
                      <w:rFonts w:hint="default" w:cs="Times New Roman"/>
                      <w:color w:val="auto"/>
                      <w:sz w:val="21"/>
                      <w:szCs w:val="21"/>
                      <w:u w:val="none" w:color="auto"/>
                      <w:lang w:val="en-US" w:eastAsia="zh-CN"/>
                    </w:rPr>
                  </w:pPr>
                  <w:r>
                    <w:rPr>
                      <w:rFonts w:hint="eastAsia"/>
                      <w:color w:val="auto"/>
                      <w:sz w:val="21"/>
                      <w:szCs w:val="21"/>
                      <w:u w:val="none" w:color="auto"/>
                      <w:lang w:eastAsia="zh-CN"/>
                    </w:rPr>
                    <w:t>规范标识标牌，危险废物暂存时间不超过一年</w:t>
                  </w:r>
                </w:p>
              </w:tc>
              <w:tc>
                <w:tcPr>
                  <w:tcW w:w="649" w:type="pct"/>
                  <w:shd w:val="clear" w:color="auto" w:fill="auto"/>
                  <w:vAlign w:val="center"/>
                </w:tcPr>
                <w:p w14:paraId="07B9F985">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三个月内</w:t>
                  </w:r>
                </w:p>
              </w:tc>
            </w:tr>
            <w:tr w14:paraId="3DD2D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4" w:type="pct"/>
                  <w:vMerge w:val="continue"/>
                  <w:tcBorders>
                    <w:right w:val="single" w:color="000000" w:sz="4" w:space="0"/>
                  </w:tcBorders>
                  <w:vAlign w:val="center"/>
                </w:tcPr>
                <w:p w14:paraId="32B90899">
                  <w:pPr>
                    <w:spacing w:line="240" w:lineRule="auto"/>
                    <w:ind w:left="0" w:leftChars="0" w:firstLine="0" w:firstLineChars="0"/>
                    <w:jc w:val="center"/>
                    <w:rPr>
                      <w:rFonts w:hint="eastAsia" w:cs="Times New Roman"/>
                      <w:color w:val="auto"/>
                      <w:sz w:val="21"/>
                      <w:szCs w:val="21"/>
                      <w:u w:val="none" w:color="auto"/>
                      <w:lang w:val="en-US" w:eastAsia="zh-CN"/>
                    </w:rPr>
                  </w:pPr>
                </w:p>
              </w:tc>
              <w:tc>
                <w:tcPr>
                  <w:tcW w:w="915" w:type="pct"/>
                  <w:tcBorders>
                    <w:left w:val="single" w:color="000000" w:sz="4" w:space="0"/>
                  </w:tcBorders>
                  <w:vAlign w:val="center"/>
                </w:tcPr>
                <w:p w14:paraId="7ED68E7D">
                  <w:pPr>
                    <w:spacing w:line="240" w:lineRule="auto"/>
                    <w:ind w:left="0" w:leftChars="0" w:firstLine="0" w:firstLineChars="0"/>
                    <w:jc w:val="center"/>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生活垃圾</w:t>
                  </w:r>
                </w:p>
              </w:tc>
              <w:tc>
                <w:tcPr>
                  <w:tcW w:w="2199" w:type="pct"/>
                  <w:vAlign w:val="center"/>
                </w:tcPr>
                <w:p w14:paraId="0BF29A7C">
                  <w:pPr>
                    <w:spacing w:line="240" w:lineRule="auto"/>
                    <w:ind w:left="0" w:leftChars="0" w:firstLine="0" w:firstLineChars="0"/>
                    <w:jc w:val="center"/>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统一收集交环卫部门处置</w:t>
                  </w:r>
                </w:p>
              </w:tc>
              <w:tc>
                <w:tcPr>
                  <w:tcW w:w="901" w:type="pct"/>
                  <w:vAlign w:val="center"/>
                </w:tcPr>
                <w:p w14:paraId="0060D495">
                  <w:pPr>
                    <w:spacing w:line="240" w:lineRule="auto"/>
                    <w:ind w:left="0" w:leftChars="0" w:firstLine="0" w:firstLineChars="0"/>
                    <w:jc w:val="center"/>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649" w:type="pct"/>
                  <w:shd w:val="clear" w:color="auto" w:fill="auto"/>
                  <w:vAlign w:val="center"/>
                </w:tcPr>
                <w:p w14:paraId="38A85F82">
                  <w:pPr>
                    <w:spacing w:line="240" w:lineRule="auto"/>
                    <w:ind w:left="0" w:lef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w:t>
                  </w:r>
                </w:p>
              </w:tc>
            </w:tr>
            <w:tr w14:paraId="2F56D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4" w:type="pct"/>
                  <w:vMerge w:val="continue"/>
                  <w:tcBorders>
                    <w:right w:val="single" w:color="000000" w:sz="4" w:space="0"/>
                  </w:tcBorders>
                  <w:vAlign w:val="center"/>
                </w:tcPr>
                <w:p w14:paraId="4E606861">
                  <w:pPr>
                    <w:spacing w:line="240" w:lineRule="auto"/>
                    <w:ind w:left="0" w:leftChars="0" w:firstLine="0" w:firstLineChars="0"/>
                    <w:jc w:val="center"/>
                    <w:rPr>
                      <w:rFonts w:hint="eastAsia" w:cs="Times New Roman"/>
                      <w:color w:val="auto"/>
                      <w:sz w:val="21"/>
                      <w:szCs w:val="21"/>
                      <w:u w:val="none" w:color="auto"/>
                      <w:lang w:val="en-US" w:eastAsia="zh-CN"/>
                    </w:rPr>
                  </w:pPr>
                </w:p>
              </w:tc>
              <w:tc>
                <w:tcPr>
                  <w:tcW w:w="915" w:type="pct"/>
                  <w:tcBorders>
                    <w:left w:val="single" w:color="000000" w:sz="4" w:space="0"/>
                  </w:tcBorders>
                  <w:vAlign w:val="center"/>
                </w:tcPr>
                <w:p w14:paraId="741CB7A3">
                  <w:pPr>
                    <w:spacing w:line="240" w:lineRule="auto"/>
                    <w:ind w:left="0" w:leftChars="0" w:firstLine="0" w:firstLineChars="0"/>
                    <w:jc w:val="center"/>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NMP回收液</w:t>
                  </w:r>
                </w:p>
              </w:tc>
              <w:tc>
                <w:tcPr>
                  <w:tcW w:w="2199" w:type="pct"/>
                  <w:vAlign w:val="center"/>
                </w:tcPr>
                <w:p w14:paraId="2D4908B2">
                  <w:pPr>
                    <w:spacing w:line="240" w:lineRule="auto"/>
                    <w:ind w:left="0" w:leftChars="0" w:firstLine="0" w:firstLineChars="0"/>
                    <w:jc w:val="center"/>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收集后交原厂家回收</w:t>
                  </w:r>
                </w:p>
              </w:tc>
              <w:tc>
                <w:tcPr>
                  <w:tcW w:w="901" w:type="pct"/>
                  <w:vAlign w:val="center"/>
                </w:tcPr>
                <w:p w14:paraId="3C2305D3">
                  <w:pPr>
                    <w:spacing w:line="240" w:lineRule="auto"/>
                    <w:ind w:left="0" w:leftChars="0" w:firstLine="0" w:firstLineChars="0"/>
                    <w:jc w:val="center"/>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649" w:type="pct"/>
                  <w:shd w:val="clear" w:color="auto" w:fill="auto"/>
                  <w:vAlign w:val="center"/>
                </w:tcPr>
                <w:p w14:paraId="2AC39E34">
                  <w:pPr>
                    <w:spacing w:line="240" w:lineRule="auto"/>
                    <w:ind w:left="0" w:leftChars="0" w:firstLine="0" w:firstLineChars="0"/>
                    <w:jc w:val="center"/>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r>
          </w:tbl>
          <w:p w14:paraId="27C596F8">
            <w:pPr>
              <w:bidi w:val="0"/>
              <w:rPr>
                <w:rFonts w:hint="eastAsia"/>
                <w:color w:val="auto"/>
                <w:u w:val="none" w:color="auto"/>
              </w:rPr>
            </w:pPr>
          </w:p>
          <w:p w14:paraId="696FDDC5">
            <w:pPr>
              <w:adjustRightInd w:val="0"/>
              <w:snapToGrid w:val="0"/>
              <w:ind w:firstLine="480"/>
              <w:rPr>
                <w:rFonts w:ascii="宋体" w:hAnsi="宋体"/>
                <w:bCs/>
                <w:color w:val="auto"/>
                <w:szCs w:val="21"/>
                <w:u w:val="none" w:color="auto"/>
              </w:rPr>
            </w:pPr>
          </w:p>
        </w:tc>
      </w:tr>
    </w:tbl>
    <w:p w14:paraId="2E78BB12">
      <w:pPr>
        <w:pStyle w:val="26"/>
        <w:jc w:val="center"/>
        <w:rPr>
          <w:rFonts w:ascii="黑体" w:hAnsi="黑体" w:eastAsia="黑体"/>
          <w:snapToGrid w:val="0"/>
          <w:color w:val="auto"/>
          <w:sz w:val="36"/>
          <w:szCs w:val="36"/>
          <w:u w:val="none" w:color="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1ED07921">
      <w:pPr>
        <w:pStyle w:val="26"/>
        <w:ind w:firstLine="600"/>
        <w:jc w:val="center"/>
        <w:outlineLvl w:val="0"/>
        <w:rPr>
          <w:rFonts w:ascii="黑体" w:hAnsi="黑体" w:eastAsia="黑体"/>
          <w:snapToGrid w:val="0"/>
          <w:color w:val="auto"/>
          <w:sz w:val="30"/>
          <w:szCs w:val="30"/>
          <w:u w:val="none" w:color="auto"/>
        </w:rPr>
      </w:pPr>
      <w:bookmarkStart w:id="7" w:name="_Toc3629"/>
      <w:bookmarkStart w:id="8" w:name="_Toc13081"/>
      <w:r>
        <w:rPr>
          <w:rFonts w:hint="eastAsia" w:ascii="黑体" w:hAnsi="黑体" w:eastAsia="黑体"/>
          <w:snapToGrid w:val="0"/>
          <w:color w:val="auto"/>
          <w:sz w:val="30"/>
          <w:szCs w:val="30"/>
          <w:u w:val="none" w:color="auto"/>
        </w:rPr>
        <w:t>三、区域环境质量现状、环境保护目标及评价标准</w:t>
      </w:r>
      <w:bookmarkEnd w:id="7"/>
      <w:bookmarkEnd w:id="8"/>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8606"/>
      </w:tblGrid>
      <w:tr w14:paraId="18D10D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1" w:type="dxa"/>
            <w:noWrap w:val="0"/>
            <w:vAlign w:val="center"/>
          </w:tcPr>
          <w:p w14:paraId="2DE7E1AE">
            <w:pPr>
              <w:pStyle w:val="11"/>
              <w:rPr>
                <w:rFonts w:hint="eastAsia"/>
                <w:color w:val="auto"/>
                <w:u w:val="none" w:color="auto"/>
              </w:rPr>
            </w:pPr>
            <w:r>
              <w:rPr>
                <w:rFonts w:hint="eastAsia"/>
                <w:color w:val="auto"/>
                <w:u w:val="none" w:color="auto"/>
              </w:rPr>
              <w:t>区域</w:t>
            </w:r>
          </w:p>
          <w:p w14:paraId="2951FE17">
            <w:pPr>
              <w:pStyle w:val="11"/>
              <w:rPr>
                <w:rFonts w:hint="eastAsia"/>
                <w:color w:val="auto"/>
                <w:u w:val="none" w:color="auto"/>
              </w:rPr>
            </w:pPr>
            <w:r>
              <w:rPr>
                <w:rFonts w:hint="eastAsia"/>
                <w:color w:val="auto"/>
                <w:u w:val="none" w:color="auto"/>
              </w:rPr>
              <w:t>环境</w:t>
            </w:r>
          </w:p>
          <w:p w14:paraId="0C628AF7">
            <w:pPr>
              <w:pStyle w:val="11"/>
              <w:rPr>
                <w:rFonts w:hint="eastAsia"/>
                <w:color w:val="auto"/>
                <w:u w:val="none" w:color="auto"/>
              </w:rPr>
            </w:pPr>
            <w:r>
              <w:rPr>
                <w:rFonts w:hint="eastAsia"/>
                <w:color w:val="auto"/>
                <w:u w:val="none" w:color="auto"/>
              </w:rPr>
              <w:t>质量</w:t>
            </w:r>
          </w:p>
          <w:p w14:paraId="6B6E1381">
            <w:pPr>
              <w:pStyle w:val="11"/>
              <w:rPr>
                <w:rFonts w:hint="eastAsia"/>
                <w:color w:val="auto"/>
                <w:u w:val="none" w:color="auto"/>
              </w:rPr>
            </w:pPr>
            <w:r>
              <w:rPr>
                <w:rFonts w:hint="eastAsia"/>
                <w:color w:val="auto"/>
                <w:u w:val="none" w:color="auto"/>
              </w:rPr>
              <w:t>现状</w:t>
            </w:r>
          </w:p>
        </w:tc>
        <w:tc>
          <w:tcPr>
            <w:tcW w:w="8610" w:type="dxa"/>
            <w:noWrap w:val="0"/>
            <w:vAlign w:val="center"/>
          </w:tcPr>
          <w:p w14:paraId="11C45787">
            <w:pPr>
              <w:bidi w:val="0"/>
              <w:rPr>
                <w:rFonts w:hint="eastAsia"/>
                <w:color w:val="auto"/>
                <w:u w:val="none" w:color="auto"/>
              </w:rPr>
            </w:pPr>
            <w:r>
              <w:rPr>
                <w:rFonts w:hint="eastAsia"/>
                <w:color w:val="auto"/>
                <w:u w:val="none" w:color="auto"/>
              </w:rPr>
              <w:t>1、环境空气质量现状</w:t>
            </w:r>
          </w:p>
          <w:p w14:paraId="4A7A4529">
            <w:pPr>
              <w:bidi w:val="0"/>
              <w:rPr>
                <w:rFonts w:hint="eastAsia"/>
                <w:color w:val="auto"/>
                <w:u w:val="none" w:color="auto"/>
                <w:lang w:eastAsia="zh-CN"/>
              </w:rPr>
            </w:pPr>
            <w:r>
              <w:rPr>
                <w:rFonts w:hint="eastAsia"/>
                <w:color w:val="auto"/>
                <w:u w:val="none" w:color="auto"/>
                <w:lang w:eastAsia="zh-CN"/>
              </w:rPr>
              <w:t>（</w:t>
            </w:r>
            <w:r>
              <w:rPr>
                <w:rFonts w:hint="eastAsia"/>
                <w:color w:val="auto"/>
                <w:u w:val="none" w:color="auto"/>
                <w:lang w:val="en-US" w:eastAsia="zh-CN"/>
              </w:rPr>
              <w:t>1</w:t>
            </w:r>
            <w:r>
              <w:rPr>
                <w:rFonts w:hint="eastAsia"/>
                <w:color w:val="auto"/>
                <w:u w:val="none" w:color="auto"/>
                <w:lang w:eastAsia="zh-CN"/>
              </w:rPr>
              <w:t>）常规监测数据</w:t>
            </w:r>
          </w:p>
          <w:p w14:paraId="65372A34">
            <w:pPr>
              <w:bidi w:val="0"/>
              <w:rPr>
                <w:rFonts w:hint="eastAsia"/>
                <w:color w:val="auto"/>
                <w:u w:val="none" w:color="auto"/>
              </w:rPr>
            </w:pPr>
            <w:r>
              <w:rPr>
                <w:rFonts w:hint="eastAsia"/>
                <w:color w:val="auto"/>
                <w:u w:val="none" w:color="auto"/>
              </w:rPr>
              <w:t>根据《建设项目环境影响报告表编制技术指南（污染影响类）》，排放国家、地方环境空气质量标准中有标准限值要求的特征污染物时，引用建设项目周边5千米范围内近3年的现有监测数据，无相关数据的选择当季主导风向下风向1个点位补充不少于3天的监测数据。本次环评大气常规污染物引用永州市生态环境局公布的环境质量常规监测数据，挥发有机物为本项目特征污染物，该污染物无国家环境空气质量标准，湖南省无挥发有机物地方环境质量标准，本次不再监测。</w:t>
            </w:r>
          </w:p>
          <w:p w14:paraId="25D6304C">
            <w:pPr>
              <w:bidi w:val="0"/>
              <w:rPr>
                <w:color w:val="auto"/>
                <w:u w:val="none" w:color="auto"/>
              </w:rPr>
            </w:pPr>
            <w:r>
              <w:rPr>
                <w:rFonts w:hint="eastAsia"/>
                <w:color w:val="auto"/>
                <w:u w:val="none" w:color="auto"/>
              </w:rPr>
              <w:t>根据永州市生态环境局发布的《关于2023年12月份全市环境质量状况的通报》</w:t>
            </w:r>
            <w:r>
              <w:rPr>
                <w:rFonts w:hint="eastAsia"/>
                <w:color w:val="auto"/>
                <w:u w:val="none" w:color="auto"/>
                <w:lang w:eastAsia="zh-CN"/>
              </w:rPr>
              <w:t>（</w:t>
            </w:r>
            <w:r>
              <w:rPr>
                <w:rFonts w:hint="eastAsia"/>
                <w:color w:val="auto"/>
                <w:u w:val="none" w:color="auto"/>
                <w:lang w:val="en-US" w:eastAsia="zh-CN"/>
              </w:rPr>
              <w:t>永环函[2024]4号</w:t>
            </w:r>
            <w:r>
              <w:rPr>
                <w:rFonts w:hint="eastAsia"/>
                <w:color w:val="auto"/>
                <w:u w:val="none" w:color="auto"/>
                <w:lang w:eastAsia="zh-CN"/>
              </w:rPr>
              <w:t>）</w:t>
            </w:r>
            <w:r>
              <w:rPr>
                <w:rFonts w:hint="eastAsia"/>
                <w:color w:val="auto"/>
                <w:u w:val="none" w:color="auto"/>
                <w:lang w:val="en-US" w:eastAsia="zh-CN"/>
              </w:rPr>
              <w:t>中</w:t>
            </w:r>
            <w:r>
              <w:rPr>
                <w:rFonts w:hint="eastAsia"/>
                <w:color w:val="auto"/>
                <w:u w:val="none" w:color="auto"/>
              </w:rPr>
              <w:t>的环境监测结果来判定县域大气环境质量达标情况</w:t>
            </w:r>
            <w:r>
              <w:rPr>
                <w:color w:val="auto"/>
                <w:u w:val="none" w:color="auto"/>
              </w:rPr>
              <w:t>，统计数据显示环境空气中各污染因子浓度值均能够达到《环境空气质量标准》（GB</w:t>
            </w:r>
            <w:r>
              <w:rPr>
                <w:rFonts w:hint="eastAsia"/>
                <w:color w:val="auto"/>
                <w:u w:val="none" w:color="auto"/>
                <w:lang w:val="en-US" w:eastAsia="zh-CN"/>
              </w:rPr>
              <w:t xml:space="preserve"> </w:t>
            </w:r>
            <w:r>
              <w:rPr>
                <w:color w:val="auto"/>
                <w:u w:val="none" w:color="auto"/>
              </w:rPr>
              <w:t>3095-2012）中二级标准及修改单要求，新田县属于20</w:t>
            </w:r>
            <w:r>
              <w:rPr>
                <w:rFonts w:hint="eastAsia"/>
                <w:color w:val="auto"/>
                <w:u w:val="none" w:color="auto"/>
              </w:rPr>
              <w:t>2</w:t>
            </w:r>
            <w:r>
              <w:rPr>
                <w:rFonts w:hint="eastAsia"/>
                <w:color w:val="auto"/>
                <w:u w:val="none" w:color="auto"/>
                <w:lang w:val="en-US" w:eastAsia="zh-CN"/>
              </w:rPr>
              <w:t>3</w:t>
            </w:r>
            <w:r>
              <w:rPr>
                <w:color w:val="auto"/>
                <w:u w:val="none" w:color="auto"/>
              </w:rPr>
              <w:t>年度环境质量达标区。具体情况详见表</w:t>
            </w:r>
            <w:r>
              <w:rPr>
                <w:rFonts w:hint="eastAsia"/>
                <w:color w:val="auto"/>
                <w:u w:val="none" w:color="auto"/>
                <w:lang w:val="en-US" w:eastAsia="zh-CN"/>
              </w:rPr>
              <w:t>3-1</w:t>
            </w:r>
            <w:r>
              <w:rPr>
                <w:color w:val="auto"/>
                <w:u w:val="none" w:color="auto"/>
              </w:rPr>
              <w:t>：</w:t>
            </w:r>
          </w:p>
          <w:p w14:paraId="02FBD07D">
            <w:pPr>
              <w:spacing w:line="240" w:lineRule="auto"/>
              <w:ind w:firstLine="422"/>
              <w:jc w:val="center"/>
              <w:rPr>
                <w:rFonts w:hAnsi="宋体"/>
                <w:b/>
                <w:bCs/>
                <w:color w:val="auto"/>
                <w:sz w:val="21"/>
                <w:szCs w:val="21"/>
                <w:u w:val="none" w:color="auto"/>
              </w:rPr>
            </w:pPr>
            <w:r>
              <w:rPr>
                <w:rFonts w:hAnsi="宋体"/>
                <w:b/>
                <w:bCs/>
                <w:color w:val="auto"/>
                <w:sz w:val="21"/>
                <w:szCs w:val="21"/>
                <w:u w:val="none" w:color="auto"/>
              </w:rPr>
              <w:t>表</w:t>
            </w:r>
            <w:r>
              <w:rPr>
                <w:rFonts w:hint="eastAsia" w:hAnsi="宋体"/>
                <w:b/>
                <w:bCs/>
                <w:color w:val="auto"/>
                <w:sz w:val="21"/>
                <w:szCs w:val="21"/>
                <w:u w:val="none" w:color="auto"/>
              </w:rPr>
              <w:t>3</w:t>
            </w:r>
            <w:r>
              <w:rPr>
                <w:rFonts w:hAnsi="宋体"/>
                <w:b/>
                <w:bCs/>
                <w:color w:val="auto"/>
                <w:sz w:val="21"/>
                <w:szCs w:val="21"/>
                <w:u w:val="none" w:color="auto"/>
              </w:rPr>
              <w:t>-1</w:t>
            </w:r>
            <w:r>
              <w:rPr>
                <w:rFonts w:hint="eastAsia" w:hAnsi="宋体"/>
                <w:b/>
                <w:bCs/>
                <w:color w:val="auto"/>
                <w:sz w:val="21"/>
                <w:szCs w:val="21"/>
                <w:u w:val="none" w:color="auto"/>
                <w:lang w:val="en-US" w:eastAsia="zh-CN"/>
              </w:rPr>
              <w:t xml:space="preserve">  </w:t>
            </w:r>
            <w:r>
              <w:rPr>
                <w:rFonts w:hint="eastAsia" w:hAnsi="宋体"/>
                <w:b/>
                <w:bCs/>
                <w:color w:val="auto"/>
                <w:sz w:val="21"/>
                <w:szCs w:val="21"/>
                <w:u w:val="none" w:color="auto"/>
              </w:rPr>
              <w:t>202</w:t>
            </w:r>
            <w:r>
              <w:rPr>
                <w:rFonts w:hint="eastAsia" w:hAnsi="宋体"/>
                <w:b/>
                <w:bCs/>
                <w:color w:val="auto"/>
                <w:sz w:val="21"/>
                <w:szCs w:val="21"/>
                <w:u w:val="none" w:color="auto"/>
                <w:lang w:val="en-US" w:eastAsia="zh-CN"/>
              </w:rPr>
              <w:t>3</w:t>
            </w:r>
            <w:r>
              <w:rPr>
                <w:rFonts w:hint="eastAsia" w:hAnsi="宋体"/>
                <w:b/>
                <w:bCs/>
                <w:color w:val="auto"/>
                <w:sz w:val="21"/>
                <w:szCs w:val="21"/>
                <w:u w:val="none" w:color="auto"/>
              </w:rPr>
              <w:t>年</w:t>
            </w:r>
            <w:r>
              <w:rPr>
                <w:rFonts w:hint="eastAsia" w:hAnsi="宋体"/>
                <w:b/>
                <w:bCs/>
                <w:color w:val="auto"/>
                <w:sz w:val="21"/>
                <w:szCs w:val="21"/>
                <w:u w:val="none" w:color="auto"/>
                <w:lang w:eastAsia="zh-CN"/>
              </w:rPr>
              <w:t>新田县</w:t>
            </w:r>
            <w:r>
              <w:rPr>
                <w:rFonts w:hint="eastAsia" w:hAnsi="宋体"/>
                <w:b/>
                <w:bCs/>
                <w:color w:val="auto"/>
                <w:sz w:val="21"/>
                <w:szCs w:val="21"/>
                <w:u w:val="none" w:color="auto"/>
              </w:rPr>
              <w:t>环境空气质量状况</w:t>
            </w:r>
            <w:r>
              <w:rPr>
                <w:rFonts w:hAnsi="宋体"/>
                <w:b/>
                <w:bCs/>
                <w:color w:val="auto"/>
                <w:sz w:val="21"/>
                <w:szCs w:val="21"/>
                <w:u w:val="none" w:color="auto"/>
              </w:rPr>
              <w:t>统计结果</w:t>
            </w:r>
          </w:p>
          <w:tbl>
            <w:tblPr>
              <w:tblStyle w:val="28"/>
              <w:tblW w:w="4997"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956"/>
              <w:gridCol w:w="1966"/>
              <w:gridCol w:w="1588"/>
              <w:gridCol w:w="1228"/>
              <w:gridCol w:w="925"/>
              <w:gridCol w:w="903"/>
            </w:tblGrid>
            <w:tr w14:paraId="0016D03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tcBorders>
                    <w:tl2br w:val="nil"/>
                    <w:tr2bl w:val="nil"/>
                  </w:tcBorders>
                  <w:noWrap w:val="0"/>
                  <w:vAlign w:val="center"/>
                </w:tcPr>
                <w:p w14:paraId="1AEBBC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u w:val="none" w:color="auto"/>
                      <w:shd w:val="clear" w:color="auto" w:fill="auto"/>
                    </w:rPr>
                  </w:pPr>
                  <w:r>
                    <w:rPr>
                      <w:rFonts w:hint="default" w:ascii="宋体" w:hAnsi="宋体" w:eastAsia="宋体" w:cs="Times New Roman"/>
                      <w:caps w:val="0"/>
                      <w:smallCaps w:val="0"/>
                      <w:color w:val="auto"/>
                      <w:spacing w:val="0"/>
                      <w:kern w:val="21"/>
                      <w:sz w:val="21"/>
                      <w:szCs w:val="21"/>
                      <w:u w:val="none" w:color="auto"/>
                      <w:shd w:val="clear" w:color="auto" w:fill="auto"/>
                    </w:rPr>
                    <w:t>市县</w:t>
                  </w:r>
                </w:p>
              </w:tc>
              <w:tc>
                <w:tcPr>
                  <w:tcW w:w="571" w:type="pct"/>
                  <w:tcBorders>
                    <w:tl2br w:val="nil"/>
                    <w:tr2bl w:val="nil"/>
                  </w:tcBorders>
                  <w:noWrap w:val="0"/>
                  <w:vAlign w:val="center"/>
                </w:tcPr>
                <w:p w14:paraId="1B690D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u w:val="none" w:color="auto"/>
                      <w:shd w:val="clear" w:color="auto" w:fill="auto"/>
                    </w:rPr>
                  </w:pPr>
                  <w:r>
                    <w:rPr>
                      <w:rFonts w:hint="default" w:ascii="宋体" w:hAnsi="宋体" w:eastAsia="宋体" w:cs="Times New Roman"/>
                      <w:caps w:val="0"/>
                      <w:smallCaps w:val="0"/>
                      <w:color w:val="auto"/>
                      <w:spacing w:val="0"/>
                      <w:kern w:val="21"/>
                      <w:sz w:val="21"/>
                      <w:szCs w:val="21"/>
                      <w:u w:val="none" w:color="auto"/>
                      <w:shd w:val="clear" w:color="auto" w:fill="auto"/>
                    </w:rPr>
                    <w:t>污染物</w:t>
                  </w:r>
                </w:p>
              </w:tc>
              <w:tc>
                <w:tcPr>
                  <w:tcW w:w="1174" w:type="pct"/>
                  <w:tcBorders>
                    <w:tl2br w:val="nil"/>
                    <w:tr2bl w:val="nil"/>
                  </w:tcBorders>
                  <w:noWrap w:val="0"/>
                  <w:vAlign w:val="center"/>
                </w:tcPr>
                <w:p w14:paraId="23CBC7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u w:val="none" w:color="auto"/>
                      <w:shd w:val="clear" w:color="auto" w:fill="auto"/>
                    </w:rPr>
                  </w:pPr>
                  <w:r>
                    <w:rPr>
                      <w:rFonts w:hint="default" w:ascii="宋体" w:hAnsi="宋体" w:eastAsia="宋体" w:cs="Times New Roman"/>
                      <w:caps w:val="0"/>
                      <w:smallCaps w:val="0"/>
                      <w:color w:val="auto"/>
                      <w:spacing w:val="0"/>
                      <w:kern w:val="21"/>
                      <w:sz w:val="21"/>
                      <w:szCs w:val="21"/>
                      <w:u w:val="none" w:color="auto"/>
                      <w:shd w:val="clear" w:color="auto" w:fill="auto"/>
                    </w:rPr>
                    <w:t>年评价指标</w:t>
                  </w:r>
                </w:p>
              </w:tc>
              <w:tc>
                <w:tcPr>
                  <w:tcW w:w="948" w:type="pct"/>
                  <w:tcBorders>
                    <w:tl2br w:val="nil"/>
                    <w:tr2bl w:val="nil"/>
                  </w:tcBorders>
                  <w:noWrap w:val="0"/>
                  <w:vAlign w:val="center"/>
                </w:tcPr>
                <w:p w14:paraId="7ED5CD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u w:val="none" w:color="auto"/>
                      <w:shd w:val="clear" w:color="auto" w:fill="auto"/>
                    </w:rPr>
                  </w:pPr>
                  <w:r>
                    <w:rPr>
                      <w:rFonts w:hint="default" w:ascii="宋体" w:hAnsi="宋体" w:eastAsia="宋体" w:cs="Times New Roman"/>
                      <w:caps w:val="0"/>
                      <w:smallCaps w:val="0"/>
                      <w:color w:val="auto"/>
                      <w:spacing w:val="0"/>
                      <w:kern w:val="21"/>
                      <w:sz w:val="21"/>
                      <w:szCs w:val="21"/>
                      <w:u w:val="none" w:color="auto"/>
                      <w:shd w:val="clear" w:color="auto" w:fill="auto"/>
                    </w:rPr>
                    <w:t>现状浓度/（</w:t>
                  </w:r>
                  <w:r>
                    <w:rPr>
                      <w:rFonts w:hint="default" w:ascii="Times New Roman" w:hAnsi="Times New Roman" w:eastAsia="宋体" w:cs="Times New Roman"/>
                      <w:caps w:val="0"/>
                      <w:smallCaps w:val="0"/>
                      <w:color w:val="auto"/>
                      <w:spacing w:val="0"/>
                      <w:kern w:val="21"/>
                      <w:sz w:val="21"/>
                      <w:szCs w:val="21"/>
                      <w:u w:val="none" w:color="auto"/>
                      <w:shd w:val="clear" w:color="auto" w:fill="auto"/>
                    </w:rPr>
                    <w:t>μg/m</w:t>
                  </w:r>
                  <w:r>
                    <w:rPr>
                      <w:rFonts w:hint="default" w:ascii="Times New Roman" w:hAnsi="Times New Roman" w:eastAsia="宋体" w:cs="Times New Roman"/>
                      <w:caps w:val="0"/>
                      <w:smallCaps w:val="0"/>
                      <w:color w:val="auto"/>
                      <w:spacing w:val="0"/>
                      <w:kern w:val="21"/>
                      <w:sz w:val="21"/>
                      <w:szCs w:val="21"/>
                      <w:u w:val="none" w:color="auto"/>
                      <w:shd w:val="clear" w:color="auto" w:fill="auto"/>
                      <w:vertAlign w:val="superscript"/>
                    </w:rPr>
                    <w:t>3</w:t>
                  </w:r>
                  <w:r>
                    <w:rPr>
                      <w:rFonts w:hint="default" w:ascii="宋体" w:hAnsi="宋体" w:eastAsia="宋体" w:cs="Times New Roman"/>
                      <w:caps w:val="0"/>
                      <w:smallCaps w:val="0"/>
                      <w:color w:val="auto"/>
                      <w:spacing w:val="0"/>
                      <w:kern w:val="21"/>
                      <w:sz w:val="21"/>
                      <w:szCs w:val="21"/>
                      <w:u w:val="none" w:color="auto"/>
                      <w:shd w:val="clear" w:color="auto" w:fill="auto"/>
                    </w:rPr>
                    <w:t>）</w:t>
                  </w:r>
                </w:p>
              </w:tc>
              <w:tc>
                <w:tcPr>
                  <w:tcW w:w="733" w:type="pct"/>
                  <w:tcBorders>
                    <w:tl2br w:val="nil"/>
                    <w:tr2bl w:val="nil"/>
                  </w:tcBorders>
                  <w:noWrap w:val="0"/>
                  <w:vAlign w:val="center"/>
                </w:tcPr>
                <w:p w14:paraId="42CAD5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u w:val="none" w:color="auto"/>
                      <w:shd w:val="clear" w:color="auto" w:fill="auto"/>
                    </w:rPr>
                  </w:pPr>
                  <w:r>
                    <w:rPr>
                      <w:rFonts w:hint="default" w:ascii="宋体" w:hAnsi="宋体" w:eastAsia="宋体" w:cs="Times New Roman"/>
                      <w:caps w:val="0"/>
                      <w:smallCaps w:val="0"/>
                      <w:color w:val="auto"/>
                      <w:spacing w:val="0"/>
                      <w:kern w:val="21"/>
                      <w:sz w:val="21"/>
                      <w:szCs w:val="21"/>
                      <w:u w:val="none" w:color="auto"/>
                      <w:shd w:val="clear" w:color="auto" w:fill="auto"/>
                    </w:rPr>
                    <w:t>标准值/（</w:t>
                  </w:r>
                  <w:r>
                    <w:rPr>
                      <w:rFonts w:hint="default" w:ascii="Times New Roman" w:hAnsi="Times New Roman" w:eastAsia="宋体" w:cs="Times New Roman"/>
                      <w:caps w:val="0"/>
                      <w:smallCaps w:val="0"/>
                      <w:color w:val="auto"/>
                      <w:spacing w:val="0"/>
                      <w:kern w:val="21"/>
                      <w:sz w:val="21"/>
                      <w:szCs w:val="21"/>
                      <w:u w:val="none" w:color="auto"/>
                      <w:shd w:val="clear" w:color="auto" w:fill="auto"/>
                    </w:rPr>
                    <w:t>μg/m</w:t>
                  </w:r>
                  <w:r>
                    <w:rPr>
                      <w:rFonts w:hint="default" w:ascii="Times New Roman" w:hAnsi="Times New Roman" w:eastAsia="宋体" w:cs="Times New Roman"/>
                      <w:caps w:val="0"/>
                      <w:smallCaps w:val="0"/>
                      <w:color w:val="auto"/>
                      <w:spacing w:val="0"/>
                      <w:kern w:val="21"/>
                      <w:sz w:val="21"/>
                      <w:szCs w:val="21"/>
                      <w:u w:val="none" w:color="auto"/>
                      <w:shd w:val="clear" w:color="auto" w:fill="auto"/>
                      <w:vertAlign w:val="superscript"/>
                    </w:rPr>
                    <w:t>3</w:t>
                  </w:r>
                  <w:r>
                    <w:rPr>
                      <w:rFonts w:hint="default" w:ascii="宋体" w:hAnsi="宋体" w:eastAsia="宋体" w:cs="Times New Roman"/>
                      <w:caps w:val="0"/>
                      <w:smallCaps w:val="0"/>
                      <w:color w:val="auto"/>
                      <w:spacing w:val="0"/>
                      <w:kern w:val="21"/>
                      <w:sz w:val="21"/>
                      <w:szCs w:val="21"/>
                      <w:u w:val="none" w:color="auto"/>
                      <w:shd w:val="clear" w:color="auto" w:fill="auto"/>
                    </w:rPr>
                    <w:t>）</w:t>
                  </w:r>
                </w:p>
              </w:tc>
              <w:tc>
                <w:tcPr>
                  <w:tcW w:w="552" w:type="pct"/>
                  <w:tcBorders>
                    <w:tl2br w:val="nil"/>
                    <w:tr2bl w:val="nil"/>
                  </w:tcBorders>
                  <w:noWrap w:val="0"/>
                  <w:vAlign w:val="center"/>
                </w:tcPr>
                <w:p w14:paraId="71A71F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highlight w:val="none"/>
                      <w:u w:val="none" w:color="auto"/>
                      <w:shd w:val="clear" w:color="auto" w:fill="auto"/>
                    </w:rPr>
                  </w:pPr>
                  <w:r>
                    <w:rPr>
                      <w:rFonts w:hint="default" w:ascii="Times New Roman" w:hAnsi="Times New Roman" w:eastAsia="宋体" w:cs="Times New Roman"/>
                      <w:color w:val="auto"/>
                      <w:spacing w:val="0"/>
                      <w:sz w:val="21"/>
                      <w:szCs w:val="21"/>
                      <w:highlight w:val="none"/>
                      <w:u w:val="none" w:color="auto"/>
                    </w:rPr>
                    <w:t>占标率（%）</w:t>
                  </w:r>
                </w:p>
              </w:tc>
              <w:tc>
                <w:tcPr>
                  <w:tcW w:w="539" w:type="pct"/>
                  <w:tcBorders>
                    <w:tl2br w:val="nil"/>
                    <w:tr2bl w:val="nil"/>
                  </w:tcBorders>
                  <w:noWrap w:val="0"/>
                  <w:vAlign w:val="center"/>
                </w:tcPr>
                <w:p w14:paraId="2338AD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u w:val="none" w:color="auto"/>
                      <w:shd w:val="clear" w:color="auto" w:fill="auto"/>
                    </w:rPr>
                  </w:pPr>
                  <w:r>
                    <w:rPr>
                      <w:rFonts w:hint="default" w:ascii="宋体" w:hAnsi="宋体" w:eastAsia="宋体" w:cs="Times New Roman"/>
                      <w:caps w:val="0"/>
                      <w:smallCaps w:val="0"/>
                      <w:color w:val="auto"/>
                      <w:spacing w:val="0"/>
                      <w:kern w:val="21"/>
                      <w:sz w:val="21"/>
                      <w:szCs w:val="21"/>
                      <w:u w:val="none" w:color="auto"/>
                      <w:shd w:val="clear" w:color="auto" w:fill="auto"/>
                    </w:rPr>
                    <w:t>达标情况</w:t>
                  </w:r>
                </w:p>
              </w:tc>
            </w:tr>
            <w:tr w14:paraId="02AF7AB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480" w:type="pct"/>
                  <w:vMerge w:val="restart"/>
                  <w:tcBorders>
                    <w:tl2br w:val="nil"/>
                    <w:tr2bl w:val="nil"/>
                  </w:tcBorders>
                  <w:noWrap w:val="0"/>
                  <w:vAlign w:val="center"/>
                </w:tcPr>
                <w:p w14:paraId="7F0172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u w:val="none" w:color="auto"/>
                      <w:shd w:val="clear" w:color="auto" w:fill="auto"/>
                    </w:rPr>
                  </w:pPr>
                  <w:r>
                    <w:rPr>
                      <w:rFonts w:hint="default" w:ascii="宋体" w:hAnsi="宋体" w:eastAsia="宋体" w:cs="Times New Roman"/>
                      <w:caps w:val="0"/>
                      <w:smallCaps w:val="0"/>
                      <w:color w:val="auto"/>
                      <w:spacing w:val="0"/>
                      <w:kern w:val="21"/>
                      <w:sz w:val="21"/>
                      <w:szCs w:val="21"/>
                      <w:u w:val="none" w:color="auto"/>
                      <w:shd w:val="clear" w:color="auto" w:fill="auto"/>
                    </w:rPr>
                    <w:t>永州市新田县</w:t>
                  </w:r>
                </w:p>
              </w:tc>
              <w:tc>
                <w:tcPr>
                  <w:tcW w:w="571" w:type="pct"/>
                  <w:tcBorders>
                    <w:tl2br w:val="nil"/>
                    <w:tr2bl w:val="nil"/>
                  </w:tcBorders>
                  <w:noWrap w:val="0"/>
                  <w:vAlign w:val="center"/>
                </w:tcPr>
                <w:p w14:paraId="211B18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u w:val="none" w:color="auto"/>
                      <w:shd w:val="clear" w:color="auto" w:fill="auto"/>
                    </w:rPr>
                  </w:pPr>
                  <w:r>
                    <w:rPr>
                      <w:rFonts w:hint="default" w:ascii="Times New Roman" w:hAnsi="Times New Roman" w:eastAsia="宋体" w:cs="Times New Roman"/>
                      <w:caps w:val="0"/>
                      <w:smallCaps w:val="0"/>
                      <w:color w:val="auto"/>
                      <w:spacing w:val="0"/>
                      <w:kern w:val="21"/>
                      <w:sz w:val="21"/>
                      <w:szCs w:val="21"/>
                      <w:u w:val="none" w:color="auto"/>
                      <w:shd w:val="clear" w:color="auto" w:fill="auto"/>
                    </w:rPr>
                    <w:t>SO</w:t>
                  </w:r>
                  <w:r>
                    <w:rPr>
                      <w:rFonts w:hint="default" w:ascii="Times New Roman" w:hAnsi="Times New Roman" w:eastAsia="宋体" w:cs="Times New Roman"/>
                      <w:caps w:val="0"/>
                      <w:smallCaps w:val="0"/>
                      <w:color w:val="auto"/>
                      <w:spacing w:val="0"/>
                      <w:kern w:val="21"/>
                      <w:sz w:val="21"/>
                      <w:szCs w:val="21"/>
                      <w:u w:val="none" w:color="auto"/>
                      <w:shd w:val="clear" w:color="auto" w:fill="auto"/>
                      <w:vertAlign w:val="subscript"/>
                    </w:rPr>
                    <w:t>2</w:t>
                  </w:r>
                </w:p>
              </w:tc>
              <w:tc>
                <w:tcPr>
                  <w:tcW w:w="1174" w:type="pct"/>
                  <w:tcBorders>
                    <w:tl2br w:val="nil"/>
                    <w:tr2bl w:val="nil"/>
                  </w:tcBorders>
                  <w:noWrap w:val="0"/>
                  <w:vAlign w:val="center"/>
                </w:tcPr>
                <w:p w14:paraId="671721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u w:val="none" w:color="auto"/>
                      <w:shd w:val="clear" w:color="auto" w:fill="auto"/>
                    </w:rPr>
                  </w:pPr>
                  <w:r>
                    <w:rPr>
                      <w:rFonts w:hint="default" w:ascii="宋体" w:hAnsi="宋体" w:eastAsia="宋体" w:cs="Times New Roman"/>
                      <w:caps w:val="0"/>
                      <w:smallCaps w:val="0"/>
                      <w:color w:val="auto"/>
                      <w:spacing w:val="0"/>
                      <w:kern w:val="21"/>
                      <w:sz w:val="21"/>
                      <w:szCs w:val="21"/>
                      <w:u w:val="none" w:color="auto"/>
                      <w:shd w:val="clear" w:color="auto" w:fill="auto"/>
                    </w:rPr>
                    <w:t>年平均质量浓度</w:t>
                  </w:r>
                </w:p>
              </w:tc>
              <w:tc>
                <w:tcPr>
                  <w:tcW w:w="948" w:type="pct"/>
                  <w:tcBorders>
                    <w:tl2br w:val="nil"/>
                    <w:tr2bl w:val="nil"/>
                  </w:tcBorders>
                  <w:noWrap w:val="0"/>
                  <w:vAlign w:val="center"/>
                </w:tcPr>
                <w:p w14:paraId="79B9D3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u w:val="none" w:color="auto"/>
                      <w:shd w:val="clear" w:color="auto" w:fill="auto"/>
                    </w:rPr>
                  </w:pPr>
                  <w:r>
                    <w:rPr>
                      <w:rFonts w:hint="default" w:ascii="Times New Roman" w:hAnsi="Times New Roman" w:eastAsia="宋体" w:cs="Times New Roman"/>
                      <w:caps w:val="0"/>
                      <w:smallCaps w:val="0"/>
                      <w:color w:val="auto"/>
                      <w:spacing w:val="0"/>
                      <w:kern w:val="21"/>
                      <w:sz w:val="21"/>
                      <w:szCs w:val="21"/>
                      <w:u w:val="none" w:color="auto"/>
                      <w:shd w:val="clear" w:color="auto" w:fill="auto"/>
                    </w:rPr>
                    <w:t>7</w:t>
                  </w:r>
                </w:p>
              </w:tc>
              <w:tc>
                <w:tcPr>
                  <w:tcW w:w="733" w:type="pct"/>
                  <w:tcBorders>
                    <w:tl2br w:val="nil"/>
                    <w:tr2bl w:val="nil"/>
                  </w:tcBorders>
                  <w:noWrap w:val="0"/>
                  <w:vAlign w:val="center"/>
                </w:tcPr>
                <w:p w14:paraId="0B57EC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u w:val="none" w:color="auto"/>
                      <w:shd w:val="clear" w:color="auto" w:fill="auto"/>
                    </w:rPr>
                  </w:pPr>
                  <w:r>
                    <w:rPr>
                      <w:rFonts w:hint="default" w:ascii="Times New Roman" w:hAnsi="Times New Roman" w:eastAsia="宋体" w:cs="Times New Roman"/>
                      <w:caps w:val="0"/>
                      <w:smallCaps w:val="0"/>
                      <w:color w:val="auto"/>
                      <w:spacing w:val="0"/>
                      <w:kern w:val="21"/>
                      <w:sz w:val="21"/>
                      <w:szCs w:val="21"/>
                      <w:u w:val="none" w:color="auto"/>
                      <w:shd w:val="clear" w:color="auto" w:fill="auto"/>
                    </w:rPr>
                    <w:t>60</w:t>
                  </w:r>
                </w:p>
              </w:tc>
              <w:tc>
                <w:tcPr>
                  <w:tcW w:w="552" w:type="pct"/>
                  <w:tcBorders>
                    <w:tl2br w:val="nil"/>
                    <w:tr2bl w:val="nil"/>
                  </w:tcBorders>
                  <w:shd w:val="clear" w:color="auto" w:fill="auto"/>
                  <w:noWrap w:val="0"/>
                  <w:vAlign w:val="center"/>
                </w:tcPr>
                <w:p w14:paraId="76E43E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u w:val="none" w:color="auto"/>
                      <w:shd w:val="clear" w:color="auto" w:fill="auto"/>
                      <w:lang w:val="en-US" w:eastAsia="zh-CN"/>
                    </w:rPr>
                  </w:pPr>
                  <w:r>
                    <w:rPr>
                      <w:rFonts w:hint="eastAsia" w:ascii="Times New Roman" w:hAnsi="Times New Roman" w:eastAsia="宋体" w:cs="Times New Roman"/>
                      <w:caps w:val="0"/>
                      <w:smallCaps w:val="0"/>
                      <w:color w:val="auto"/>
                      <w:spacing w:val="0"/>
                      <w:kern w:val="21"/>
                      <w:sz w:val="21"/>
                      <w:szCs w:val="21"/>
                      <w:u w:val="none" w:color="auto"/>
                      <w:shd w:val="clear" w:color="auto" w:fill="auto"/>
                      <w:lang w:val="en-US" w:eastAsia="zh-CN"/>
                    </w:rPr>
                    <w:t>11.67</w:t>
                  </w:r>
                </w:p>
              </w:tc>
              <w:tc>
                <w:tcPr>
                  <w:tcW w:w="539" w:type="pct"/>
                  <w:tcBorders>
                    <w:tl2br w:val="nil"/>
                    <w:tr2bl w:val="nil"/>
                  </w:tcBorders>
                  <w:noWrap w:val="0"/>
                  <w:vAlign w:val="center"/>
                </w:tcPr>
                <w:p w14:paraId="3B7D13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u w:val="none" w:color="auto"/>
                      <w:shd w:val="clear" w:color="auto" w:fill="auto"/>
                    </w:rPr>
                  </w:pPr>
                  <w:r>
                    <w:rPr>
                      <w:rFonts w:hint="default" w:ascii="宋体" w:hAnsi="宋体" w:eastAsia="宋体" w:cs="Times New Roman"/>
                      <w:caps w:val="0"/>
                      <w:smallCaps w:val="0"/>
                      <w:color w:val="auto"/>
                      <w:spacing w:val="0"/>
                      <w:kern w:val="21"/>
                      <w:sz w:val="21"/>
                      <w:szCs w:val="21"/>
                      <w:u w:val="none" w:color="auto"/>
                      <w:shd w:val="clear" w:color="auto" w:fill="auto"/>
                    </w:rPr>
                    <w:t>达标</w:t>
                  </w:r>
                </w:p>
              </w:tc>
            </w:tr>
            <w:tr w14:paraId="5B4EBA6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tcBorders>
                    <w:tl2br w:val="nil"/>
                    <w:tr2bl w:val="nil"/>
                  </w:tcBorders>
                  <w:noWrap w:val="0"/>
                  <w:vAlign w:val="center"/>
                </w:tcPr>
                <w:p w14:paraId="56DFBC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u w:val="none" w:color="auto"/>
                      <w:shd w:val="clear" w:color="auto" w:fill="auto"/>
                    </w:rPr>
                  </w:pPr>
                </w:p>
              </w:tc>
              <w:tc>
                <w:tcPr>
                  <w:tcW w:w="571" w:type="pct"/>
                  <w:tcBorders>
                    <w:tl2br w:val="nil"/>
                    <w:tr2bl w:val="nil"/>
                  </w:tcBorders>
                  <w:noWrap w:val="0"/>
                  <w:vAlign w:val="center"/>
                </w:tcPr>
                <w:p w14:paraId="467C56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u w:val="none" w:color="auto"/>
                      <w:shd w:val="clear" w:color="auto" w:fill="auto"/>
                    </w:rPr>
                  </w:pPr>
                  <w:r>
                    <w:rPr>
                      <w:rFonts w:hint="default" w:ascii="Times New Roman" w:hAnsi="Times New Roman" w:eastAsia="宋体" w:cs="Times New Roman"/>
                      <w:caps w:val="0"/>
                      <w:smallCaps w:val="0"/>
                      <w:color w:val="auto"/>
                      <w:spacing w:val="0"/>
                      <w:kern w:val="21"/>
                      <w:sz w:val="21"/>
                      <w:szCs w:val="21"/>
                      <w:u w:val="none" w:color="auto"/>
                      <w:shd w:val="clear" w:color="auto" w:fill="auto"/>
                    </w:rPr>
                    <w:t>NO</w:t>
                  </w:r>
                  <w:r>
                    <w:rPr>
                      <w:rFonts w:hint="default" w:ascii="Times New Roman" w:hAnsi="Times New Roman" w:eastAsia="宋体" w:cs="Times New Roman"/>
                      <w:caps w:val="0"/>
                      <w:smallCaps w:val="0"/>
                      <w:color w:val="auto"/>
                      <w:spacing w:val="0"/>
                      <w:kern w:val="21"/>
                      <w:sz w:val="21"/>
                      <w:szCs w:val="21"/>
                      <w:u w:val="none" w:color="auto"/>
                      <w:shd w:val="clear" w:color="auto" w:fill="auto"/>
                      <w:vertAlign w:val="subscript"/>
                    </w:rPr>
                    <w:t>2</w:t>
                  </w:r>
                </w:p>
              </w:tc>
              <w:tc>
                <w:tcPr>
                  <w:tcW w:w="1174" w:type="pct"/>
                  <w:tcBorders>
                    <w:tl2br w:val="nil"/>
                    <w:tr2bl w:val="nil"/>
                  </w:tcBorders>
                  <w:noWrap w:val="0"/>
                  <w:vAlign w:val="center"/>
                </w:tcPr>
                <w:p w14:paraId="479C76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u w:val="none" w:color="auto"/>
                      <w:shd w:val="clear" w:color="auto" w:fill="auto"/>
                    </w:rPr>
                  </w:pPr>
                  <w:r>
                    <w:rPr>
                      <w:rFonts w:hint="default" w:ascii="宋体" w:hAnsi="宋体" w:eastAsia="宋体" w:cs="Times New Roman"/>
                      <w:caps w:val="0"/>
                      <w:smallCaps w:val="0"/>
                      <w:color w:val="auto"/>
                      <w:spacing w:val="0"/>
                      <w:kern w:val="21"/>
                      <w:sz w:val="21"/>
                      <w:szCs w:val="21"/>
                      <w:u w:val="none" w:color="auto"/>
                      <w:shd w:val="clear" w:color="auto" w:fill="auto"/>
                    </w:rPr>
                    <w:t>年平均质量浓度</w:t>
                  </w:r>
                </w:p>
              </w:tc>
              <w:tc>
                <w:tcPr>
                  <w:tcW w:w="948" w:type="pct"/>
                  <w:tcBorders>
                    <w:tl2br w:val="nil"/>
                    <w:tr2bl w:val="nil"/>
                  </w:tcBorders>
                  <w:noWrap w:val="0"/>
                  <w:vAlign w:val="center"/>
                </w:tcPr>
                <w:p w14:paraId="2BF4AB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u w:val="none" w:color="auto"/>
                      <w:shd w:val="clear" w:color="auto" w:fill="auto"/>
                    </w:rPr>
                  </w:pPr>
                  <w:r>
                    <w:rPr>
                      <w:rFonts w:hint="default" w:ascii="Times New Roman" w:hAnsi="Times New Roman" w:eastAsia="宋体" w:cs="Times New Roman"/>
                      <w:caps w:val="0"/>
                      <w:smallCaps w:val="0"/>
                      <w:color w:val="auto"/>
                      <w:spacing w:val="0"/>
                      <w:kern w:val="21"/>
                      <w:sz w:val="21"/>
                      <w:szCs w:val="21"/>
                      <w:u w:val="none" w:color="auto"/>
                      <w:shd w:val="clear" w:color="auto" w:fill="auto"/>
                    </w:rPr>
                    <w:t>8</w:t>
                  </w:r>
                </w:p>
              </w:tc>
              <w:tc>
                <w:tcPr>
                  <w:tcW w:w="733" w:type="pct"/>
                  <w:tcBorders>
                    <w:tl2br w:val="nil"/>
                    <w:tr2bl w:val="nil"/>
                  </w:tcBorders>
                  <w:noWrap w:val="0"/>
                  <w:vAlign w:val="center"/>
                </w:tcPr>
                <w:p w14:paraId="096235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u w:val="none" w:color="auto"/>
                      <w:shd w:val="clear" w:color="auto" w:fill="auto"/>
                    </w:rPr>
                  </w:pPr>
                  <w:r>
                    <w:rPr>
                      <w:rFonts w:hint="default" w:ascii="Times New Roman" w:hAnsi="Times New Roman" w:eastAsia="宋体" w:cs="Times New Roman"/>
                      <w:caps w:val="0"/>
                      <w:smallCaps w:val="0"/>
                      <w:color w:val="auto"/>
                      <w:spacing w:val="0"/>
                      <w:kern w:val="21"/>
                      <w:sz w:val="21"/>
                      <w:szCs w:val="21"/>
                      <w:u w:val="none" w:color="auto"/>
                      <w:shd w:val="clear" w:color="auto" w:fill="auto"/>
                    </w:rPr>
                    <w:t>40</w:t>
                  </w:r>
                </w:p>
              </w:tc>
              <w:tc>
                <w:tcPr>
                  <w:tcW w:w="552" w:type="pct"/>
                  <w:tcBorders>
                    <w:tl2br w:val="nil"/>
                    <w:tr2bl w:val="nil"/>
                  </w:tcBorders>
                  <w:shd w:val="clear" w:color="auto" w:fill="auto"/>
                  <w:noWrap w:val="0"/>
                  <w:vAlign w:val="center"/>
                </w:tcPr>
                <w:p w14:paraId="126196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u w:val="none" w:color="auto"/>
                      <w:shd w:val="clear" w:color="auto" w:fill="auto"/>
                      <w:lang w:val="en-US" w:eastAsia="zh-CN"/>
                    </w:rPr>
                  </w:pPr>
                  <w:r>
                    <w:rPr>
                      <w:rFonts w:hint="eastAsia" w:ascii="Times New Roman" w:hAnsi="Times New Roman" w:eastAsia="宋体" w:cs="Times New Roman"/>
                      <w:caps w:val="0"/>
                      <w:smallCaps w:val="0"/>
                      <w:color w:val="auto"/>
                      <w:spacing w:val="0"/>
                      <w:kern w:val="21"/>
                      <w:sz w:val="21"/>
                      <w:szCs w:val="21"/>
                      <w:u w:val="none" w:color="auto"/>
                      <w:shd w:val="clear" w:color="auto" w:fill="auto"/>
                      <w:lang w:val="en-US" w:eastAsia="zh-CN"/>
                    </w:rPr>
                    <w:t>20.00</w:t>
                  </w:r>
                </w:p>
              </w:tc>
              <w:tc>
                <w:tcPr>
                  <w:tcW w:w="539" w:type="pct"/>
                  <w:tcBorders>
                    <w:tl2br w:val="nil"/>
                    <w:tr2bl w:val="nil"/>
                  </w:tcBorders>
                  <w:noWrap w:val="0"/>
                  <w:vAlign w:val="center"/>
                </w:tcPr>
                <w:p w14:paraId="408CFB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u w:val="none" w:color="auto"/>
                      <w:shd w:val="clear" w:color="auto" w:fill="auto"/>
                    </w:rPr>
                  </w:pPr>
                  <w:r>
                    <w:rPr>
                      <w:rFonts w:hint="default" w:ascii="宋体" w:hAnsi="宋体" w:eastAsia="宋体" w:cs="Times New Roman"/>
                      <w:caps w:val="0"/>
                      <w:smallCaps w:val="0"/>
                      <w:color w:val="auto"/>
                      <w:spacing w:val="0"/>
                      <w:kern w:val="21"/>
                      <w:sz w:val="21"/>
                      <w:szCs w:val="21"/>
                      <w:u w:val="none" w:color="auto"/>
                      <w:shd w:val="clear" w:color="auto" w:fill="auto"/>
                    </w:rPr>
                    <w:t>达标</w:t>
                  </w:r>
                </w:p>
              </w:tc>
            </w:tr>
            <w:tr w14:paraId="00ED30D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tcBorders>
                    <w:tl2br w:val="nil"/>
                    <w:tr2bl w:val="nil"/>
                  </w:tcBorders>
                  <w:noWrap w:val="0"/>
                  <w:vAlign w:val="center"/>
                </w:tcPr>
                <w:p w14:paraId="38483E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u w:val="none" w:color="auto"/>
                      <w:shd w:val="clear" w:color="auto" w:fill="auto"/>
                    </w:rPr>
                  </w:pPr>
                </w:p>
              </w:tc>
              <w:tc>
                <w:tcPr>
                  <w:tcW w:w="571" w:type="pct"/>
                  <w:tcBorders>
                    <w:tl2br w:val="nil"/>
                    <w:tr2bl w:val="nil"/>
                  </w:tcBorders>
                  <w:noWrap w:val="0"/>
                  <w:vAlign w:val="center"/>
                </w:tcPr>
                <w:p w14:paraId="3BAA26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u w:val="none" w:color="auto"/>
                      <w:shd w:val="clear" w:color="auto" w:fill="auto"/>
                    </w:rPr>
                  </w:pPr>
                  <w:r>
                    <w:rPr>
                      <w:rFonts w:hint="default" w:ascii="Times New Roman" w:hAnsi="Times New Roman" w:eastAsia="宋体" w:cs="Times New Roman"/>
                      <w:caps w:val="0"/>
                      <w:smallCaps w:val="0"/>
                      <w:color w:val="auto"/>
                      <w:spacing w:val="0"/>
                      <w:kern w:val="21"/>
                      <w:sz w:val="21"/>
                      <w:szCs w:val="21"/>
                      <w:u w:val="none" w:color="auto"/>
                      <w:shd w:val="clear" w:color="auto" w:fill="auto"/>
                    </w:rPr>
                    <w:t>PM</w:t>
                  </w:r>
                  <w:r>
                    <w:rPr>
                      <w:rFonts w:hint="default" w:ascii="Times New Roman" w:hAnsi="Times New Roman" w:eastAsia="宋体" w:cs="Times New Roman"/>
                      <w:caps w:val="0"/>
                      <w:smallCaps w:val="0"/>
                      <w:color w:val="auto"/>
                      <w:spacing w:val="0"/>
                      <w:kern w:val="21"/>
                      <w:sz w:val="21"/>
                      <w:szCs w:val="21"/>
                      <w:u w:val="none" w:color="auto"/>
                      <w:shd w:val="clear" w:color="auto" w:fill="auto"/>
                      <w:vertAlign w:val="subscript"/>
                    </w:rPr>
                    <w:t>10</w:t>
                  </w:r>
                </w:p>
              </w:tc>
              <w:tc>
                <w:tcPr>
                  <w:tcW w:w="1174" w:type="pct"/>
                  <w:tcBorders>
                    <w:tl2br w:val="nil"/>
                    <w:tr2bl w:val="nil"/>
                  </w:tcBorders>
                  <w:noWrap w:val="0"/>
                  <w:vAlign w:val="center"/>
                </w:tcPr>
                <w:p w14:paraId="4368F6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u w:val="none" w:color="auto"/>
                      <w:shd w:val="clear" w:color="auto" w:fill="auto"/>
                    </w:rPr>
                  </w:pPr>
                  <w:r>
                    <w:rPr>
                      <w:rFonts w:hint="default" w:ascii="宋体" w:hAnsi="宋体" w:eastAsia="宋体" w:cs="Times New Roman"/>
                      <w:caps w:val="0"/>
                      <w:smallCaps w:val="0"/>
                      <w:color w:val="auto"/>
                      <w:spacing w:val="0"/>
                      <w:kern w:val="21"/>
                      <w:sz w:val="21"/>
                      <w:szCs w:val="21"/>
                      <w:u w:val="none" w:color="auto"/>
                      <w:shd w:val="clear" w:color="auto" w:fill="auto"/>
                    </w:rPr>
                    <w:t>年平均质量浓度</w:t>
                  </w:r>
                </w:p>
              </w:tc>
              <w:tc>
                <w:tcPr>
                  <w:tcW w:w="948" w:type="pct"/>
                  <w:tcBorders>
                    <w:tl2br w:val="nil"/>
                    <w:tr2bl w:val="nil"/>
                  </w:tcBorders>
                  <w:noWrap w:val="0"/>
                  <w:vAlign w:val="center"/>
                </w:tcPr>
                <w:p w14:paraId="7CC8E3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u w:val="none" w:color="auto"/>
                      <w:shd w:val="clear" w:color="auto" w:fill="auto"/>
                    </w:rPr>
                  </w:pPr>
                  <w:r>
                    <w:rPr>
                      <w:rFonts w:hint="default" w:ascii="Times New Roman" w:hAnsi="Times New Roman" w:eastAsia="宋体" w:cs="Times New Roman"/>
                      <w:caps w:val="0"/>
                      <w:smallCaps w:val="0"/>
                      <w:color w:val="auto"/>
                      <w:spacing w:val="0"/>
                      <w:kern w:val="21"/>
                      <w:sz w:val="21"/>
                      <w:szCs w:val="21"/>
                      <w:u w:val="none" w:color="auto"/>
                      <w:shd w:val="clear" w:color="auto" w:fill="auto"/>
                    </w:rPr>
                    <w:t>44</w:t>
                  </w:r>
                </w:p>
              </w:tc>
              <w:tc>
                <w:tcPr>
                  <w:tcW w:w="733" w:type="pct"/>
                  <w:tcBorders>
                    <w:tl2br w:val="nil"/>
                    <w:tr2bl w:val="nil"/>
                  </w:tcBorders>
                  <w:noWrap w:val="0"/>
                  <w:vAlign w:val="center"/>
                </w:tcPr>
                <w:p w14:paraId="7A0196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u w:val="none" w:color="auto"/>
                      <w:shd w:val="clear" w:color="auto" w:fill="auto"/>
                    </w:rPr>
                  </w:pPr>
                  <w:r>
                    <w:rPr>
                      <w:rFonts w:hint="default" w:ascii="Times New Roman" w:hAnsi="Times New Roman" w:eastAsia="宋体" w:cs="Times New Roman"/>
                      <w:caps w:val="0"/>
                      <w:smallCaps w:val="0"/>
                      <w:color w:val="auto"/>
                      <w:spacing w:val="0"/>
                      <w:kern w:val="21"/>
                      <w:sz w:val="21"/>
                      <w:szCs w:val="21"/>
                      <w:u w:val="none" w:color="auto"/>
                      <w:shd w:val="clear" w:color="auto" w:fill="auto"/>
                    </w:rPr>
                    <w:t>70</w:t>
                  </w:r>
                </w:p>
              </w:tc>
              <w:tc>
                <w:tcPr>
                  <w:tcW w:w="552" w:type="pct"/>
                  <w:tcBorders>
                    <w:tl2br w:val="nil"/>
                    <w:tr2bl w:val="nil"/>
                  </w:tcBorders>
                  <w:shd w:val="clear" w:color="auto" w:fill="auto"/>
                  <w:noWrap w:val="0"/>
                  <w:vAlign w:val="center"/>
                </w:tcPr>
                <w:p w14:paraId="3A49A4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u w:val="none" w:color="auto"/>
                      <w:shd w:val="clear" w:color="auto" w:fill="auto"/>
                      <w:lang w:val="en-US" w:eastAsia="zh-CN"/>
                    </w:rPr>
                  </w:pPr>
                  <w:r>
                    <w:rPr>
                      <w:rFonts w:hint="eastAsia" w:ascii="Times New Roman" w:hAnsi="Times New Roman" w:eastAsia="宋体" w:cs="Times New Roman"/>
                      <w:caps w:val="0"/>
                      <w:smallCaps w:val="0"/>
                      <w:color w:val="auto"/>
                      <w:spacing w:val="0"/>
                      <w:kern w:val="21"/>
                      <w:sz w:val="21"/>
                      <w:szCs w:val="21"/>
                      <w:u w:val="none" w:color="auto"/>
                      <w:shd w:val="clear" w:color="auto" w:fill="auto"/>
                      <w:lang w:val="en-US" w:eastAsia="zh-CN"/>
                    </w:rPr>
                    <w:t>62.86</w:t>
                  </w:r>
                </w:p>
              </w:tc>
              <w:tc>
                <w:tcPr>
                  <w:tcW w:w="539" w:type="pct"/>
                  <w:tcBorders>
                    <w:tl2br w:val="nil"/>
                    <w:tr2bl w:val="nil"/>
                  </w:tcBorders>
                  <w:noWrap w:val="0"/>
                  <w:vAlign w:val="center"/>
                </w:tcPr>
                <w:p w14:paraId="288EE5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u w:val="none" w:color="auto"/>
                      <w:shd w:val="clear" w:color="auto" w:fill="auto"/>
                    </w:rPr>
                  </w:pPr>
                  <w:r>
                    <w:rPr>
                      <w:rFonts w:hint="default" w:ascii="宋体" w:hAnsi="宋体" w:eastAsia="宋体" w:cs="Times New Roman"/>
                      <w:caps w:val="0"/>
                      <w:smallCaps w:val="0"/>
                      <w:color w:val="auto"/>
                      <w:spacing w:val="0"/>
                      <w:kern w:val="21"/>
                      <w:sz w:val="21"/>
                      <w:szCs w:val="21"/>
                      <w:u w:val="none" w:color="auto"/>
                      <w:shd w:val="clear" w:color="auto" w:fill="auto"/>
                    </w:rPr>
                    <w:t>达标</w:t>
                  </w:r>
                </w:p>
              </w:tc>
            </w:tr>
            <w:tr w14:paraId="6AA0006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tcBorders>
                    <w:tl2br w:val="nil"/>
                    <w:tr2bl w:val="nil"/>
                  </w:tcBorders>
                  <w:noWrap w:val="0"/>
                  <w:vAlign w:val="center"/>
                </w:tcPr>
                <w:p w14:paraId="1051B6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u w:val="none" w:color="auto"/>
                      <w:shd w:val="clear" w:color="auto" w:fill="auto"/>
                    </w:rPr>
                  </w:pPr>
                </w:p>
              </w:tc>
              <w:tc>
                <w:tcPr>
                  <w:tcW w:w="571" w:type="pct"/>
                  <w:tcBorders>
                    <w:tl2br w:val="nil"/>
                    <w:tr2bl w:val="nil"/>
                  </w:tcBorders>
                  <w:noWrap w:val="0"/>
                  <w:vAlign w:val="center"/>
                </w:tcPr>
                <w:p w14:paraId="33D9F3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u w:val="none" w:color="auto"/>
                      <w:shd w:val="clear" w:color="auto" w:fill="auto"/>
                    </w:rPr>
                  </w:pPr>
                  <w:r>
                    <w:rPr>
                      <w:rFonts w:hint="default" w:ascii="Times New Roman" w:hAnsi="Times New Roman" w:eastAsia="宋体" w:cs="Times New Roman"/>
                      <w:caps w:val="0"/>
                      <w:smallCaps w:val="0"/>
                      <w:color w:val="auto"/>
                      <w:spacing w:val="0"/>
                      <w:kern w:val="21"/>
                      <w:sz w:val="21"/>
                      <w:szCs w:val="21"/>
                      <w:u w:val="none" w:color="auto"/>
                      <w:shd w:val="clear" w:color="auto" w:fill="auto"/>
                    </w:rPr>
                    <w:t>PM</w:t>
                  </w:r>
                  <w:r>
                    <w:rPr>
                      <w:rFonts w:hint="default" w:ascii="Times New Roman" w:hAnsi="Times New Roman" w:eastAsia="宋体" w:cs="Times New Roman"/>
                      <w:caps w:val="0"/>
                      <w:smallCaps w:val="0"/>
                      <w:color w:val="auto"/>
                      <w:spacing w:val="0"/>
                      <w:kern w:val="21"/>
                      <w:sz w:val="21"/>
                      <w:szCs w:val="21"/>
                      <w:u w:val="none" w:color="auto"/>
                      <w:shd w:val="clear" w:color="auto" w:fill="auto"/>
                      <w:vertAlign w:val="subscript"/>
                    </w:rPr>
                    <w:t>2.5</w:t>
                  </w:r>
                </w:p>
              </w:tc>
              <w:tc>
                <w:tcPr>
                  <w:tcW w:w="1174" w:type="pct"/>
                  <w:tcBorders>
                    <w:tl2br w:val="nil"/>
                    <w:tr2bl w:val="nil"/>
                  </w:tcBorders>
                  <w:noWrap w:val="0"/>
                  <w:vAlign w:val="center"/>
                </w:tcPr>
                <w:p w14:paraId="1F5442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u w:val="none" w:color="auto"/>
                      <w:shd w:val="clear" w:color="auto" w:fill="auto"/>
                    </w:rPr>
                  </w:pPr>
                  <w:r>
                    <w:rPr>
                      <w:rFonts w:hint="default" w:ascii="宋体" w:hAnsi="宋体" w:eastAsia="宋体" w:cs="Times New Roman"/>
                      <w:caps w:val="0"/>
                      <w:smallCaps w:val="0"/>
                      <w:color w:val="auto"/>
                      <w:spacing w:val="0"/>
                      <w:kern w:val="21"/>
                      <w:sz w:val="21"/>
                      <w:szCs w:val="21"/>
                      <w:u w:val="none" w:color="auto"/>
                      <w:shd w:val="clear" w:color="auto" w:fill="auto"/>
                    </w:rPr>
                    <w:t>年平均质量浓度</w:t>
                  </w:r>
                </w:p>
              </w:tc>
              <w:tc>
                <w:tcPr>
                  <w:tcW w:w="948" w:type="pct"/>
                  <w:tcBorders>
                    <w:tl2br w:val="nil"/>
                    <w:tr2bl w:val="nil"/>
                  </w:tcBorders>
                  <w:noWrap w:val="0"/>
                  <w:vAlign w:val="center"/>
                </w:tcPr>
                <w:p w14:paraId="0476A3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u w:val="none" w:color="auto"/>
                      <w:shd w:val="clear" w:color="auto" w:fill="auto"/>
                    </w:rPr>
                  </w:pPr>
                  <w:r>
                    <w:rPr>
                      <w:rFonts w:hint="default" w:ascii="Times New Roman" w:hAnsi="Times New Roman" w:eastAsia="宋体" w:cs="Times New Roman"/>
                      <w:caps w:val="0"/>
                      <w:smallCaps w:val="0"/>
                      <w:color w:val="auto"/>
                      <w:spacing w:val="0"/>
                      <w:kern w:val="21"/>
                      <w:sz w:val="21"/>
                      <w:szCs w:val="21"/>
                      <w:u w:val="none" w:color="auto"/>
                      <w:shd w:val="clear" w:color="auto" w:fill="auto"/>
                    </w:rPr>
                    <w:t>30</w:t>
                  </w:r>
                </w:p>
              </w:tc>
              <w:tc>
                <w:tcPr>
                  <w:tcW w:w="733" w:type="pct"/>
                  <w:tcBorders>
                    <w:tl2br w:val="nil"/>
                    <w:tr2bl w:val="nil"/>
                  </w:tcBorders>
                  <w:noWrap w:val="0"/>
                  <w:vAlign w:val="center"/>
                </w:tcPr>
                <w:p w14:paraId="1FC3BD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u w:val="none" w:color="auto"/>
                      <w:shd w:val="clear" w:color="auto" w:fill="auto"/>
                    </w:rPr>
                  </w:pPr>
                  <w:r>
                    <w:rPr>
                      <w:rFonts w:hint="default" w:ascii="Times New Roman" w:hAnsi="Times New Roman" w:eastAsia="宋体" w:cs="Times New Roman"/>
                      <w:caps w:val="0"/>
                      <w:smallCaps w:val="0"/>
                      <w:color w:val="auto"/>
                      <w:spacing w:val="0"/>
                      <w:kern w:val="21"/>
                      <w:sz w:val="21"/>
                      <w:szCs w:val="21"/>
                      <w:u w:val="none" w:color="auto"/>
                      <w:shd w:val="clear" w:color="auto" w:fill="auto"/>
                    </w:rPr>
                    <w:t>35</w:t>
                  </w:r>
                </w:p>
              </w:tc>
              <w:tc>
                <w:tcPr>
                  <w:tcW w:w="552" w:type="pct"/>
                  <w:tcBorders>
                    <w:tl2br w:val="nil"/>
                    <w:tr2bl w:val="nil"/>
                  </w:tcBorders>
                  <w:shd w:val="clear" w:color="auto" w:fill="auto"/>
                  <w:noWrap w:val="0"/>
                  <w:vAlign w:val="center"/>
                </w:tcPr>
                <w:p w14:paraId="7DC447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u w:val="none" w:color="auto"/>
                      <w:shd w:val="clear" w:color="auto" w:fill="auto"/>
                      <w:lang w:val="en-US" w:eastAsia="zh-CN"/>
                    </w:rPr>
                  </w:pPr>
                  <w:r>
                    <w:rPr>
                      <w:rFonts w:hint="eastAsia" w:ascii="Times New Roman" w:hAnsi="Times New Roman" w:eastAsia="宋体" w:cs="Times New Roman"/>
                      <w:caps w:val="0"/>
                      <w:smallCaps w:val="0"/>
                      <w:color w:val="auto"/>
                      <w:spacing w:val="0"/>
                      <w:kern w:val="21"/>
                      <w:sz w:val="21"/>
                      <w:szCs w:val="21"/>
                      <w:u w:val="none" w:color="auto"/>
                      <w:shd w:val="clear" w:color="auto" w:fill="auto"/>
                      <w:lang w:val="en-US" w:eastAsia="zh-CN"/>
                    </w:rPr>
                    <w:t>85.71</w:t>
                  </w:r>
                </w:p>
              </w:tc>
              <w:tc>
                <w:tcPr>
                  <w:tcW w:w="539" w:type="pct"/>
                  <w:tcBorders>
                    <w:tl2br w:val="nil"/>
                    <w:tr2bl w:val="nil"/>
                  </w:tcBorders>
                  <w:noWrap w:val="0"/>
                  <w:vAlign w:val="center"/>
                </w:tcPr>
                <w:p w14:paraId="6E665F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u w:val="none" w:color="auto"/>
                      <w:shd w:val="clear" w:color="auto" w:fill="auto"/>
                    </w:rPr>
                  </w:pPr>
                  <w:r>
                    <w:rPr>
                      <w:rFonts w:hint="default" w:ascii="宋体" w:hAnsi="宋体" w:eastAsia="宋体" w:cs="Times New Roman"/>
                      <w:caps w:val="0"/>
                      <w:smallCaps w:val="0"/>
                      <w:color w:val="auto"/>
                      <w:spacing w:val="0"/>
                      <w:kern w:val="21"/>
                      <w:sz w:val="21"/>
                      <w:szCs w:val="21"/>
                      <w:u w:val="none" w:color="auto"/>
                      <w:shd w:val="clear" w:color="auto" w:fill="auto"/>
                    </w:rPr>
                    <w:t>达标</w:t>
                  </w:r>
                </w:p>
              </w:tc>
            </w:tr>
            <w:tr w14:paraId="2E60980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tcBorders>
                    <w:tl2br w:val="nil"/>
                    <w:tr2bl w:val="nil"/>
                  </w:tcBorders>
                  <w:noWrap w:val="0"/>
                  <w:vAlign w:val="center"/>
                </w:tcPr>
                <w:p w14:paraId="21AC1E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u w:val="none" w:color="auto"/>
                      <w:shd w:val="clear" w:color="auto" w:fill="auto"/>
                    </w:rPr>
                  </w:pPr>
                </w:p>
              </w:tc>
              <w:tc>
                <w:tcPr>
                  <w:tcW w:w="571" w:type="pct"/>
                  <w:tcBorders>
                    <w:tl2br w:val="nil"/>
                    <w:tr2bl w:val="nil"/>
                  </w:tcBorders>
                  <w:noWrap w:val="0"/>
                  <w:vAlign w:val="center"/>
                </w:tcPr>
                <w:p w14:paraId="0143AF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u w:val="none" w:color="auto"/>
                      <w:shd w:val="clear" w:color="auto" w:fill="auto"/>
                    </w:rPr>
                  </w:pPr>
                  <w:r>
                    <w:rPr>
                      <w:rFonts w:hint="default" w:ascii="Times New Roman" w:hAnsi="Times New Roman" w:eastAsia="宋体" w:cs="Times New Roman"/>
                      <w:caps w:val="0"/>
                      <w:smallCaps w:val="0"/>
                      <w:color w:val="auto"/>
                      <w:spacing w:val="0"/>
                      <w:kern w:val="21"/>
                      <w:sz w:val="21"/>
                      <w:szCs w:val="21"/>
                      <w:u w:val="none" w:color="auto"/>
                      <w:shd w:val="clear" w:color="auto" w:fill="auto"/>
                    </w:rPr>
                    <w:t>CO</w:t>
                  </w:r>
                </w:p>
              </w:tc>
              <w:tc>
                <w:tcPr>
                  <w:tcW w:w="1174" w:type="pct"/>
                  <w:tcBorders>
                    <w:tl2br w:val="nil"/>
                    <w:tr2bl w:val="nil"/>
                  </w:tcBorders>
                  <w:noWrap w:val="0"/>
                  <w:vAlign w:val="center"/>
                </w:tcPr>
                <w:p w14:paraId="040527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u w:val="none" w:color="auto"/>
                      <w:shd w:val="clear" w:color="auto" w:fill="auto"/>
                    </w:rPr>
                  </w:pPr>
                  <w:r>
                    <w:rPr>
                      <w:rFonts w:hint="default" w:ascii="宋体" w:hAnsi="宋体" w:eastAsia="宋体" w:cs="Times New Roman"/>
                      <w:caps w:val="0"/>
                      <w:smallCaps w:val="0"/>
                      <w:color w:val="auto"/>
                      <w:spacing w:val="0"/>
                      <w:kern w:val="21"/>
                      <w:sz w:val="21"/>
                      <w:szCs w:val="21"/>
                      <w:u w:val="none" w:color="auto"/>
                      <w:shd w:val="clear" w:color="auto" w:fill="auto"/>
                    </w:rPr>
                    <w:t>第</w:t>
                  </w:r>
                  <w:r>
                    <w:rPr>
                      <w:rFonts w:hint="default" w:ascii="Times New Roman" w:hAnsi="Times New Roman" w:eastAsia="宋体" w:cs="Times New Roman"/>
                      <w:caps w:val="0"/>
                      <w:smallCaps w:val="0"/>
                      <w:color w:val="auto"/>
                      <w:spacing w:val="0"/>
                      <w:kern w:val="21"/>
                      <w:sz w:val="21"/>
                      <w:szCs w:val="21"/>
                      <w:u w:val="none" w:color="auto"/>
                      <w:shd w:val="clear" w:color="auto" w:fill="auto"/>
                    </w:rPr>
                    <w:t>95</w:t>
                  </w:r>
                  <w:r>
                    <w:rPr>
                      <w:rFonts w:hint="default" w:ascii="宋体" w:hAnsi="宋体" w:eastAsia="宋体" w:cs="Times New Roman"/>
                      <w:caps w:val="0"/>
                      <w:smallCaps w:val="0"/>
                      <w:color w:val="auto"/>
                      <w:spacing w:val="0"/>
                      <w:kern w:val="21"/>
                      <w:sz w:val="21"/>
                      <w:szCs w:val="21"/>
                      <w:u w:val="none" w:color="auto"/>
                      <w:shd w:val="clear" w:color="auto" w:fill="auto"/>
                    </w:rPr>
                    <w:t>百分位数日平均浓度</w:t>
                  </w:r>
                </w:p>
              </w:tc>
              <w:tc>
                <w:tcPr>
                  <w:tcW w:w="948" w:type="pct"/>
                  <w:tcBorders>
                    <w:tl2br w:val="nil"/>
                    <w:tr2bl w:val="nil"/>
                  </w:tcBorders>
                  <w:noWrap w:val="0"/>
                  <w:vAlign w:val="center"/>
                </w:tcPr>
                <w:p w14:paraId="2FB38A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u w:val="none" w:color="auto"/>
                      <w:shd w:val="clear" w:color="auto" w:fill="auto"/>
                    </w:rPr>
                  </w:pPr>
                  <w:r>
                    <w:rPr>
                      <w:rFonts w:hint="default" w:ascii="Times New Roman" w:hAnsi="Times New Roman" w:eastAsia="宋体" w:cs="Times New Roman"/>
                      <w:caps w:val="0"/>
                      <w:smallCaps w:val="0"/>
                      <w:color w:val="auto"/>
                      <w:spacing w:val="0"/>
                      <w:kern w:val="21"/>
                      <w:sz w:val="21"/>
                      <w:szCs w:val="21"/>
                      <w:u w:val="none" w:color="auto"/>
                      <w:shd w:val="clear" w:color="auto" w:fill="auto"/>
                    </w:rPr>
                    <w:t>680</w:t>
                  </w:r>
                </w:p>
              </w:tc>
              <w:tc>
                <w:tcPr>
                  <w:tcW w:w="733" w:type="pct"/>
                  <w:tcBorders>
                    <w:tl2br w:val="nil"/>
                    <w:tr2bl w:val="nil"/>
                  </w:tcBorders>
                  <w:noWrap w:val="0"/>
                  <w:vAlign w:val="center"/>
                </w:tcPr>
                <w:p w14:paraId="09B158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u w:val="none" w:color="auto"/>
                      <w:shd w:val="clear" w:color="auto" w:fill="auto"/>
                    </w:rPr>
                  </w:pPr>
                  <w:r>
                    <w:rPr>
                      <w:rFonts w:hint="default" w:ascii="Times New Roman" w:hAnsi="Times New Roman" w:eastAsia="宋体" w:cs="Times New Roman"/>
                      <w:caps w:val="0"/>
                      <w:smallCaps w:val="0"/>
                      <w:color w:val="auto"/>
                      <w:spacing w:val="0"/>
                      <w:kern w:val="21"/>
                      <w:sz w:val="21"/>
                      <w:szCs w:val="21"/>
                      <w:u w:val="none" w:color="auto"/>
                      <w:shd w:val="clear" w:color="auto" w:fill="auto"/>
                    </w:rPr>
                    <w:t>4000</w:t>
                  </w:r>
                </w:p>
              </w:tc>
              <w:tc>
                <w:tcPr>
                  <w:tcW w:w="552" w:type="pct"/>
                  <w:tcBorders>
                    <w:tl2br w:val="nil"/>
                    <w:tr2bl w:val="nil"/>
                  </w:tcBorders>
                  <w:shd w:val="clear" w:color="auto" w:fill="auto"/>
                  <w:noWrap w:val="0"/>
                  <w:vAlign w:val="center"/>
                </w:tcPr>
                <w:p w14:paraId="0AFE43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u w:val="none" w:color="auto"/>
                      <w:shd w:val="clear" w:color="auto" w:fill="auto"/>
                      <w:lang w:val="en-US" w:eastAsia="zh-CN"/>
                    </w:rPr>
                  </w:pPr>
                  <w:r>
                    <w:rPr>
                      <w:rFonts w:hint="eastAsia" w:ascii="Times New Roman" w:hAnsi="Times New Roman" w:eastAsia="宋体" w:cs="Times New Roman"/>
                      <w:caps w:val="0"/>
                      <w:smallCaps w:val="0"/>
                      <w:color w:val="auto"/>
                      <w:spacing w:val="0"/>
                      <w:kern w:val="21"/>
                      <w:sz w:val="21"/>
                      <w:szCs w:val="21"/>
                      <w:u w:val="none" w:color="auto"/>
                      <w:shd w:val="clear" w:color="auto" w:fill="auto"/>
                      <w:lang w:val="en-US" w:eastAsia="zh-CN"/>
                    </w:rPr>
                    <w:t>17.00</w:t>
                  </w:r>
                </w:p>
              </w:tc>
              <w:tc>
                <w:tcPr>
                  <w:tcW w:w="539" w:type="pct"/>
                  <w:tcBorders>
                    <w:tl2br w:val="nil"/>
                    <w:tr2bl w:val="nil"/>
                  </w:tcBorders>
                  <w:noWrap w:val="0"/>
                  <w:vAlign w:val="center"/>
                </w:tcPr>
                <w:p w14:paraId="31E407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u w:val="none" w:color="auto"/>
                      <w:shd w:val="clear" w:color="auto" w:fill="auto"/>
                    </w:rPr>
                  </w:pPr>
                  <w:r>
                    <w:rPr>
                      <w:rFonts w:hint="default" w:ascii="宋体" w:hAnsi="宋体" w:eastAsia="宋体" w:cs="Times New Roman"/>
                      <w:caps w:val="0"/>
                      <w:smallCaps w:val="0"/>
                      <w:color w:val="auto"/>
                      <w:spacing w:val="0"/>
                      <w:kern w:val="21"/>
                      <w:sz w:val="21"/>
                      <w:szCs w:val="21"/>
                      <w:u w:val="none" w:color="auto"/>
                      <w:shd w:val="clear" w:color="auto" w:fill="auto"/>
                    </w:rPr>
                    <w:t>达标</w:t>
                  </w:r>
                </w:p>
              </w:tc>
            </w:tr>
            <w:tr w14:paraId="7BD9A88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tcBorders>
                    <w:tl2br w:val="nil"/>
                    <w:tr2bl w:val="nil"/>
                  </w:tcBorders>
                  <w:noWrap w:val="0"/>
                  <w:vAlign w:val="center"/>
                </w:tcPr>
                <w:p w14:paraId="24B227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u w:val="none" w:color="auto"/>
                      <w:shd w:val="clear" w:color="auto" w:fill="auto"/>
                    </w:rPr>
                  </w:pPr>
                </w:p>
              </w:tc>
              <w:tc>
                <w:tcPr>
                  <w:tcW w:w="571" w:type="pct"/>
                  <w:tcBorders>
                    <w:tl2br w:val="nil"/>
                    <w:tr2bl w:val="nil"/>
                  </w:tcBorders>
                  <w:noWrap w:val="0"/>
                  <w:vAlign w:val="center"/>
                </w:tcPr>
                <w:p w14:paraId="0FFB83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u w:val="none" w:color="auto"/>
                      <w:shd w:val="clear" w:color="auto" w:fill="auto"/>
                    </w:rPr>
                  </w:pPr>
                  <w:r>
                    <w:rPr>
                      <w:rFonts w:hint="default" w:ascii="Times New Roman" w:hAnsi="Times New Roman" w:eastAsia="宋体" w:cs="Times New Roman"/>
                      <w:caps w:val="0"/>
                      <w:smallCaps w:val="0"/>
                      <w:color w:val="auto"/>
                      <w:spacing w:val="0"/>
                      <w:kern w:val="21"/>
                      <w:sz w:val="21"/>
                      <w:szCs w:val="21"/>
                      <w:u w:val="none" w:color="auto"/>
                      <w:shd w:val="clear" w:color="auto" w:fill="auto"/>
                    </w:rPr>
                    <w:t>O</w:t>
                  </w:r>
                  <w:r>
                    <w:rPr>
                      <w:rFonts w:hint="default" w:ascii="Times New Roman" w:hAnsi="Times New Roman" w:eastAsia="宋体" w:cs="Times New Roman"/>
                      <w:caps w:val="0"/>
                      <w:smallCaps w:val="0"/>
                      <w:color w:val="auto"/>
                      <w:spacing w:val="0"/>
                      <w:kern w:val="21"/>
                      <w:sz w:val="21"/>
                      <w:szCs w:val="21"/>
                      <w:u w:val="none" w:color="auto"/>
                      <w:shd w:val="clear" w:color="auto" w:fill="auto"/>
                      <w:vertAlign w:val="subscript"/>
                    </w:rPr>
                    <w:t>3</w:t>
                  </w:r>
                </w:p>
              </w:tc>
              <w:tc>
                <w:tcPr>
                  <w:tcW w:w="1174" w:type="pct"/>
                  <w:tcBorders>
                    <w:tl2br w:val="nil"/>
                    <w:tr2bl w:val="nil"/>
                  </w:tcBorders>
                  <w:noWrap w:val="0"/>
                  <w:vAlign w:val="center"/>
                </w:tcPr>
                <w:p w14:paraId="2CD3AB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u w:val="none" w:color="auto"/>
                      <w:shd w:val="clear" w:color="auto" w:fill="auto"/>
                    </w:rPr>
                  </w:pPr>
                  <w:r>
                    <w:rPr>
                      <w:rFonts w:hint="default" w:ascii="宋体" w:hAnsi="宋体" w:eastAsia="宋体" w:cs="Times New Roman"/>
                      <w:caps w:val="0"/>
                      <w:smallCaps w:val="0"/>
                      <w:color w:val="auto"/>
                      <w:spacing w:val="0"/>
                      <w:kern w:val="21"/>
                      <w:sz w:val="21"/>
                      <w:szCs w:val="21"/>
                      <w:u w:val="none" w:color="auto"/>
                      <w:shd w:val="clear" w:color="auto" w:fill="auto"/>
                    </w:rPr>
                    <w:t>第</w:t>
                  </w:r>
                  <w:r>
                    <w:rPr>
                      <w:rFonts w:hint="default" w:ascii="Times New Roman" w:hAnsi="Times New Roman" w:eastAsia="宋体" w:cs="Times New Roman"/>
                      <w:caps w:val="0"/>
                      <w:smallCaps w:val="0"/>
                      <w:color w:val="auto"/>
                      <w:spacing w:val="0"/>
                      <w:kern w:val="21"/>
                      <w:sz w:val="21"/>
                      <w:szCs w:val="21"/>
                      <w:u w:val="none" w:color="auto"/>
                      <w:shd w:val="clear" w:color="auto" w:fill="auto"/>
                    </w:rPr>
                    <w:t>90</w:t>
                  </w:r>
                  <w:r>
                    <w:rPr>
                      <w:rFonts w:hint="default" w:ascii="宋体" w:hAnsi="宋体" w:eastAsia="宋体" w:cs="Times New Roman"/>
                      <w:caps w:val="0"/>
                      <w:smallCaps w:val="0"/>
                      <w:color w:val="auto"/>
                      <w:spacing w:val="0"/>
                      <w:kern w:val="21"/>
                      <w:sz w:val="21"/>
                      <w:szCs w:val="21"/>
                      <w:u w:val="none" w:color="auto"/>
                      <w:shd w:val="clear" w:color="auto" w:fill="auto"/>
                    </w:rPr>
                    <w:t>百分位数日最大</w:t>
                  </w:r>
                  <w:r>
                    <w:rPr>
                      <w:rFonts w:hint="default" w:ascii="Times New Roman" w:hAnsi="Times New Roman" w:eastAsia="宋体" w:cs="Times New Roman"/>
                      <w:caps w:val="0"/>
                      <w:smallCaps w:val="0"/>
                      <w:color w:val="auto"/>
                      <w:spacing w:val="0"/>
                      <w:kern w:val="21"/>
                      <w:sz w:val="21"/>
                      <w:szCs w:val="21"/>
                      <w:u w:val="none" w:color="auto"/>
                      <w:shd w:val="clear" w:color="auto" w:fill="auto"/>
                    </w:rPr>
                    <w:t>8h</w:t>
                  </w:r>
                  <w:r>
                    <w:rPr>
                      <w:rFonts w:hint="default" w:ascii="宋体" w:hAnsi="宋体" w:eastAsia="宋体" w:cs="Times New Roman"/>
                      <w:caps w:val="0"/>
                      <w:smallCaps w:val="0"/>
                      <w:color w:val="auto"/>
                      <w:spacing w:val="0"/>
                      <w:kern w:val="21"/>
                      <w:sz w:val="21"/>
                      <w:szCs w:val="21"/>
                      <w:u w:val="none" w:color="auto"/>
                      <w:shd w:val="clear" w:color="auto" w:fill="auto"/>
                    </w:rPr>
                    <w:t>平均浓度</w:t>
                  </w:r>
                </w:p>
              </w:tc>
              <w:tc>
                <w:tcPr>
                  <w:tcW w:w="948" w:type="pct"/>
                  <w:tcBorders>
                    <w:tl2br w:val="nil"/>
                    <w:tr2bl w:val="nil"/>
                  </w:tcBorders>
                  <w:noWrap w:val="0"/>
                  <w:vAlign w:val="center"/>
                </w:tcPr>
                <w:p w14:paraId="76815E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u w:val="none" w:color="auto"/>
                      <w:shd w:val="clear" w:color="auto" w:fill="auto"/>
                    </w:rPr>
                  </w:pPr>
                  <w:r>
                    <w:rPr>
                      <w:rFonts w:hint="default" w:ascii="Times New Roman" w:hAnsi="Times New Roman" w:eastAsia="宋体" w:cs="Times New Roman"/>
                      <w:caps w:val="0"/>
                      <w:smallCaps w:val="0"/>
                      <w:color w:val="auto"/>
                      <w:spacing w:val="0"/>
                      <w:kern w:val="21"/>
                      <w:sz w:val="21"/>
                      <w:szCs w:val="21"/>
                      <w:u w:val="none" w:color="auto"/>
                      <w:shd w:val="clear" w:color="auto" w:fill="auto"/>
                    </w:rPr>
                    <w:t>78</w:t>
                  </w:r>
                </w:p>
              </w:tc>
              <w:tc>
                <w:tcPr>
                  <w:tcW w:w="733" w:type="pct"/>
                  <w:tcBorders>
                    <w:tl2br w:val="nil"/>
                    <w:tr2bl w:val="nil"/>
                  </w:tcBorders>
                  <w:noWrap w:val="0"/>
                  <w:vAlign w:val="center"/>
                </w:tcPr>
                <w:p w14:paraId="3877BE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u w:val="none" w:color="auto"/>
                      <w:shd w:val="clear" w:color="auto" w:fill="auto"/>
                    </w:rPr>
                  </w:pPr>
                  <w:r>
                    <w:rPr>
                      <w:rFonts w:hint="default" w:ascii="Times New Roman" w:hAnsi="Times New Roman" w:eastAsia="宋体" w:cs="Times New Roman"/>
                      <w:caps w:val="0"/>
                      <w:smallCaps w:val="0"/>
                      <w:color w:val="auto"/>
                      <w:spacing w:val="0"/>
                      <w:kern w:val="21"/>
                      <w:sz w:val="21"/>
                      <w:szCs w:val="21"/>
                      <w:u w:val="none" w:color="auto"/>
                      <w:shd w:val="clear" w:color="auto" w:fill="auto"/>
                    </w:rPr>
                    <w:t>160</w:t>
                  </w:r>
                </w:p>
              </w:tc>
              <w:tc>
                <w:tcPr>
                  <w:tcW w:w="552" w:type="pct"/>
                  <w:tcBorders>
                    <w:tl2br w:val="nil"/>
                    <w:tr2bl w:val="nil"/>
                  </w:tcBorders>
                  <w:shd w:val="clear" w:color="auto" w:fill="auto"/>
                  <w:noWrap w:val="0"/>
                  <w:vAlign w:val="center"/>
                </w:tcPr>
                <w:p w14:paraId="122A09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21"/>
                      <w:sz w:val="21"/>
                      <w:szCs w:val="21"/>
                      <w:u w:val="none" w:color="auto"/>
                      <w:shd w:val="clear" w:color="auto" w:fill="auto"/>
                      <w:lang w:val="en-US" w:eastAsia="zh-CN"/>
                    </w:rPr>
                  </w:pPr>
                  <w:r>
                    <w:rPr>
                      <w:rFonts w:hint="eastAsia" w:ascii="Times New Roman" w:hAnsi="Times New Roman" w:eastAsia="宋体" w:cs="Times New Roman"/>
                      <w:caps w:val="0"/>
                      <w:smallCaps w:val="0"/>
                      <w:color w:val="auto"/>
                      <w:spacing w:val="0"/>
                      <w:kern w:val="21"/>
                      <w:sz w:val="21"/>
                      <w:szCs w:val="21"/>
                      <w:u w:val="none" w:color="auto"/>
                      <w:shd w:val="clear" w:color="auto" w:fill="auto"/>
                      <w:lang w:val="en-US" w:eastAsia="zh-CN"/>
                    </w:rPr>
                    <w:t>48.75</w:t>
                  </w:r>
                </w:p>
              </w:tc>
              <w:tc>
                <w:tcPr>
                  <w:tcW w:w="539" w:type="pct"/>
                  <w:tcBorders>
                    <w:tl2br w:val="nil"/>
                    <w:tr2bl w:val="nil"/>
                  </w:tcBorders>
                  <w:noWrap w:val="0"/>
                  <w:vAlign w:val="center"/>
                </w:tcPr>
                <w:p w14:paraId="36BDAB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0"/>
                      <w:kern w:val="21"/>
                      <w:sz w:val="21"/>
                      <w:szCs w:val="21"/>
                      <w:u w:val="none" w:color="auto"/>
                      <w:shd w:val="clear" w:color="auto" w:fill="auto"/>
                    </w:rPr>
                  </w:pPr>
                  <w:r>
                    <w:rPr>
                      <w:rFonts w:hint="default" w:ascii="宋体" w:hAnsi="宋体" w:eastAsia="宋体" w:cs="Times New Roman"/>
                      <w:caps w:val="0"/>
                      <w:smallCaps w:val="0"/>
                      <w:color w:val="auto"/>
                      <w:spacing w:val="0"/>
                      <w:kern w:val="21"/>
                      <w:sz w:val="21"/>
                      <w:szCs w:val="21"/>
                      <w:u w:val="none" w:color="auto"/>
                      <w:shd w:val="clear" w:color="auto" w:fill="auto"/>
                    </w:rPr>
                    <w:t>达标</w:t>
                  </w:r>
                </w:p>
              </w:tc>
            </w:tr>
          </w:tbl>
          <w:p w14:paraId="7772C827">
            <w:pPr>
              <w:ind w:firstLine="480"/>
              <w:rPr>
                <w:rFonts w:hint="eastAsia"/>
                <w:color w:val="auto"/>
                <w:u w:val="none" w:color="auto"/>
              </w:rPr>
            </w:pPr>
            <w:r>
              <w:rPr>
                <w:rFonts w:hint="eastAsia"/>
                <w:color w:val="auto"/>
                <w:u w:val="none" w:color="auto"/>
              </w:rPr>
              <w:t>由上表可知，永州市</w:t>
            </w:r>
            <w:r>
              <w:rPr>
                <w:rFonts w:hint="eastAsia"/>
                <w:color w:val="auto"/>
                <w:u w:val="none" w:color="auto"/>
                <w:lang w:eastAsia="zh-CN"/>
              </w:rPr>
              <w:t>新田县</w:t>
            </w:r>
            <w:r>
              <w:rPr>
                <w:rFonts w:hint="eastAsia"/>
                <w:color w:val="auto"/>
                <w:u w:val="none" w:color="auto"/>
              </w:rPr>
              <w:t>环境空气中SO</w:t>
            </w:r>
            <w:r>
              <w:rPr>
                <w:rFonts w:hint="eastAsia"/>
                <w:color w:val="auto"/>
                <w:u w:val="none" w:color="auto"/>
                <w:vertAlign w:val="subscript"/>
              </w:rPr>
              <w:t>2</w:t>
            </w:r>
            <w:r>
              <w:rPr>
                <w:rFonts w:hint="eastAsia"/>
                <w:color w:val="auto"/>
                <w:u w:val="none" w:color="auto"/>
              </w:rPr>
              <w:t>、NO</w:t>
            </w:r>
            <w:r>
              <w:rPr>
                <w:rFonts w:hint="eastAsia"/>
                <w:color w:val="auto"/>
                <w:u w:val="none" w:color="auto"/>
                <w:vertAlign w:val="subscript"/>
              </w:rPr>
              <w:t>2</w:t>
            </w:r>
            <w:r>
              <w:rPr>
                <w:rFonts w:hint="eastAsia"/>
                <w:color w:val="auto"/>
                <w:u w:val="none" w:color="auto"/>
              </w:rPr>
              <w:t>、CO、O</w:t>
            </w:r>
            <w:r>
              <w:rPr>
                <w:rFonts w:hint="eastAsia"/>
                <w:color w:val="auto"/>
                <w:u w:val="none" w:color="auto"/>
                <w:vertAlign w:val="subscript"/>
              </w:rPr>
              <w:t>3</w:t>
            </w:r>
            <w:r>
              <w:rPr>
                <w:rFonts w:hint="eastAsia"/>
                <w:color w:val="auto"/>
                <w:u w:val="none" w:color="auto"/>
              </w:rPr>
              <w:t>、PM</w:t>
            </w:r>
            <w:r>
              <w:rPr>
                <w:rFonts w:hint="eastAsia"/>
                <w:color w:val="auto"/>
                <w:u w:val="none" w:color="auto"/>
                <w:vertAlign w:val="subscript"/>
              </w:rPr>
              <w:t>10</w:t>
            </w:r>
            <w:r>
              <w:rPr>
                <w:rFonts w:hint="eastAsia"/>
                <w:color w:val="auto"/>
                <w:u w:val="none" w:color="auto"/>
              </w:rPr>
              <w:t>、PM</w:t>
            </w:r>
            <w:r>
              <w:rPr>
                <w:rFonts w:hint="eastAsia"/>
                <w:color w:val="auto"/>
                <w:u w:val="none" w:color="auto"/>
                <w:vertAlign w:val="subscript"/>
              </w:rPr>
              <w:t>2.5</w:t>
            </w:r>
            <w:r>
              <w:rPr>
                <w:rFonts w:hint="eastAsia"/>
                <w:color w:val="auto"/>
                <w:u w:val="none" w:color="auto"/>
              </w:rPr>
              <w:t>达到《环境空气质量标准》（GB3095-2012）中的二级标准，为达标区。</w:t>
            </w:r>
          </w:p>
          <w:p w14:paraId="0ED634C4">
            <w:pPr>
              <w:bidi w:val="0"/>
              <w:rPr>
                <w:rFonts w:hint="default"/>
                <w:color w:val="auto"/>
                <w:u w:val="none" w:color="auto"/>
              </w:rPr>
            </w:pPr>
            <w:r>
              <w:rPr>
                <w:rFonts w:hint="default"/>
                <w:color w:val="auto"/>
                <w:u w:val="none" w:color="auto"/>
              </w:rPr>
              <w:t>（2）其他污染物环境质量现状补充监测数据</w:t>
            </w:r>
          </w:p>
          <w:p w14:paraId="40E3FC35">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outlineLvl w:val="2"/>
              <w:rPr>
                <w:rFonts w:hint="default" w:ascii="Times New Roman" w:hAnsi="Times New Roman" w:cs="Times New Roman" w:eastAsiaTheme="minorEastAsia"/>
                <w:b w:val="0"/>
                <w:bCs w:val="0"/>
                <w:color w:val="auto"/>
                <w:kern w:val="2"/>
                <w:sz w:val="24"/>
                <w:szCs w:val="22"/>
                <w:highlight w:val="none"/>
                <w:u w:val="none" w:color="auto"/>
                <w:lang w:val="en-US" w:eastAsia="zh-CN" w:bidi="ar-SA"/>
              </w:rPr>
            </w:pPr>
            <w:r>
              <w:rPr>
                <w:rFonts w:hint="default" w:ascii="Times New Roman" w:hAnsi="Times New Roman" w:cs="Times New Roman" w:eastAsiaTheme="minorEastAsia"/>
                <w:b w:val="0"/>
                <w:bCs w:val="0"/>
                <w:color w:val="auto"/>
                <w:kern w:val="2"/>
                <w:sz w:val="24"/>
                <w:szCs w:val="24"/>
                <w:highlight w:val="none"/>
                <w:u w:val="none" w:color="auto"/>
                <w:lang w:val="en-US" w:eastAsia="zh-CN" w:bidi="ar-SA"/>
              </w:rPr>
              <w:t>本项目大气特征污染物为TSP、非甲烷总烃，为更好的了解项目所在地区域环境质量，本报告</w:t>
            </w:r>
            <w:r>
              <w:rPr>
                <w:rFonts w:hint="eastAsia" w:cs="Times New Roman" w:eastAsiaTheme="minorEastAsia"/>
                <w:b w:val="0"/>
                <w:bCs w:val="0"/>
                <w:color w:val="auto"/>
                <w:kern w:val="2"/>
                <w:sz w:val="24"/>
                <w:szCs w:val="24"/>
                <w:highlight w:val="none"/>
                <w:u w:val="none" w:color="auto"/>
                <w:lang w:val="en-US" w:eastAsia="zh-CN" w:bidi="ar-SA"/>
              </w:rPr>
              <w:t>引用</w:t>
            </w:r>
            <w:r>
              <w:rPr>
                <w:rFonts w:hint="default" w:ascii="Times New Roman" w:hAnsi="Times New Roman" w:cs="Times New Roman" w:eastAsiaTheme="minorEastAsia"/>
                <w:b w:val="0"/>
                <w:bCs w:val="0"/>
                <w:color w:val="auto"/>
                <w:kern w:val="2"/>
                <w:sz w:val="24"/>
                <w:szCs w:val="24"/>
                <w:highlight w:val="none"/>
                <w:u w:val="none" w:color="auto"/>
                <w:lang w:val="en-US" w:eastAsia="zh-CN" w:bidi="ar-SA"/>
              </w:rPr>
              <w:t>《湖南鲁丽木业有限公司</w:t>
            </w:r>
            <w:r>
              <w:rPr>
                <w:rFonts w:hint="eastAsia" w:cs="Times New Roman" w:eastAsiaTheme="minorEastAsia"/>
                <w:b w:val="0"/>
                <w:bCs w:val="0"/>
                <w:color w:val="auto"/>
                <w:kern w:val="2"/>
                <w:sz w:val="24"/>
                <w:szCs w:val="24"/>
                <w:highlight w:val="none"/>
                <w:u w:val="none" w:color="auto"/>
                <w:lang w:val="en-US" w:eastAsia="zh-CN" w:bidi="ar-SA"/>
              </w:rPr>
              <w:t>3×170t/h+2</w:t>
            </w:r>
            <w:r>
              <w:rPr>
                <w:rFonts w:hint="default" w:ascii="Times New Roman" w:hAnsi="Times New Roman" w:cs="Times New Roman" w:eastAsiaTheme="minorEastAsia"/>
                <w:b w:val="0"/>
                <w:bCs w:val="0"/>
                <w:color w:val="auto"/>
                <w:kern w:val="2"/>
                <w:sz w:val="24"/>
                <w:szCs w:val="24"/>
                <w:highlight w:val="none"/>
                <w:u w:val="none" w:color="auto"/>
                <w:lang w:val="en-US" w:eastAsia="zh-CN" w:bidi="ar-SA"/>
              </w:rPr>
              <w:t>×</w:t>
            </w:r>
            <w:r>
              <w:rPr>
                <w:rFonts w:hint="eastAsia" w:cs="Times New Roman" w:eastAsiaTheme="minorEastAsia"/>
                <w:b w:val="0"/>
                <w:bCs w:val="0"/>
                <w:color w:val="auto"/>
                <w:kern w:val="2"/>
                <w:sz w:val="24"/>
                <w:szCs w:val="24"/>
                <w:highlight w:val="none"/>
                <w:u w:val="none" w:color="auto"/>
                <w:lang w:val="en-US" w:eastAsia="zh-CN" w:bidi="ar-SA"/>
              </w:rPr>
              <w:t>30MW</w:t>
            </w:r>
            <w:r>
              <w:rPr>
                <w:rFonts w:hint="default" w:ascii="Times New Roman" w:hAnsi="Times New Roman" w:cs="Times New Roman" w:eastAsiaTheme="minorEastAsia"/>
                <w:b w:val="0"/>
                <w:bCs w:val="0"/>
                <w:color w:val="auto"/>
                <w:kern w:val="2"/>
                <w:sz w:val="24"/>
                <w:szCs w:val="24"/>
                <w:highlight w:val="none"/>
                <w:u w:val="none" w:color="auto"/>
                <w:lang w:val="en-US" w:eastAsia="zh-CN" w:bidi="ar-SA"/>
              </w:rPr>
              <w:t>生物质</w:t>
            </w:r>
            <w:r>
              <w:rPr>
                <w:rFonts w:hint="eastAsia" w:cs="Times New Roman" w:eastAsiaTheme="minorEastAsia"/>
                <w:b w:val="0"/>
                <w:bCs w:val="0"/>
                <w:color w:val="auto"/>
                <w:kern w:val="2"/>
                <w:sz w:val="24"/>
                <w:szCs w:val="24"/>
                <w:highlight w:val="none"/>
                <w:u w:val="none" w:color="auto"/>
                <w:lang w:val="en-US" w:eastAsia="zh-CN" w:bidi="ar-SA"/>
              </w:rPr>
              <w:t>电厂</w:t>
            </w:r>
            <w:r>
              <w:rPr>
                <w:rFonts w:hint="default" w:ascii="Times New Roman" w:hAnsi="Times New Roman" w:cs="Times New Roman" w:eastAsiaTheme="minorEastAsia"/>
                <w:b w:val="0"/>
                <w:bCs w:val="0"/>
                <w:color w:val="auto"/>
                <w:kern w:val="2"/>
                <w:sz w:val="24"/>
                <w:szCs w:val="24"/>
                <w:highlight w:val="none"/>
                <w:u w:val="none" w:color="auto"/>
                <w:lang w:val="en-US" w:eastAsia="zh-CN" w:bidi="ar-SA"/>
              </w:rPr>
              <w:t>项目检测报告》</w:t>
            </w:r>
            <w:r>
              <w:rPr>
                <w:rFonts w:hint="eastAsia" w:cs="Times New Roman" w:eastAsiaTheme="minorEastAsia"/>
                <w:b w:val="0"/>
                <w:bCs w:val="0"/>
                <w:color w:val="auto"/>
                <w:kern w:val="2"/>
                <w:sz w:val="24"/>
                <w:szCs w:val="24"/>
                <w:highlight w:val="none"/>
                <w:u w:val="none" w:color="auto"/>
                <w:lang w:val="en-US" w:eastAsia="zh-CN" w:bidi="ar-SA"/>
              </w:rPr>
              <w:t>、《湖南省新煜田新材料有限公司环境影响评价现状检测报告》</w:t>
            </w:r>
            <w:r>
              <w:rPr>
                <w:rFonts w:hint="default" w:ascii="Times New Roman" w:hAnsi="Times New Roman" w:cs="Times New Roman" w:eastAsiaTheme="minorEastAsia"/>
                <w:b w:val="0"/>
                <w:bCs w:val="0"/>
                <w:color w:val="auto"/>
                <w:kern w:val="2"/>
                <w:sz w:val="24"/>
                <w:szCs w:val="24"/>
                <w:highlight w:val="none"/>
                <w:u w:val="none" w:color="auto"/>
                <w:lang w:val="en-US" w:eastAsia="zh-CN" w:bidi="ar-SA"/>
              </w:rPr>
              <w:t>中</w:t>
            </w:r>
            <w:r>
              <w:rPr>
                <w:rFonts w:hint="eastAsia" w:cs="Times New Roman" w:eastAsiaTheme="minorEastAsia"/>
                <w:b w:val="0"/>
                <w:bCs w:val="0"/>
                <w:color w:val="auto"/>
                <w:kern w:val="2"/>
                <w:sz w:val="24"/>
                <w:szCs w:val="24"/>
                <w:highlight w:val="none"/>
                <w:u w:val="none" w:color="auto"/>
                <w:lang w:val="en-US" w:eastAsia="zh-CN" w:bidi="ar-SA"/>
              </w:rPr>
              <w:t>分别</w:t>
            </w:r>
            <w:r>
              <w:rPr>
                <w:rFonts w:hint="default" w:ascii="Times New Roman" w:hAnsi="Times New Roman" w:cs="Times New Roman" w:eastAsiaTheme="minorEastAsia"/>
                <w:b w:val="0"/>
                <w:bCs w:val="0"/>
                <w:color w:val="auto"/>
                <w:kern w:val="2"/>
                <w:sz w:val="24"/>
                <w:szCs w:val="24"/>
                <w:highlight w:val="none"/>
                <w:u w:val="none" w:color="auto"/>
                <w:lang w:val="en-US" w:eastAsia="zh-CN" w:bidi="ar-SA"/>
              </w:rPr>
              <w:t>对</w:t>
            </w:r>
            <w:r>
              <w:rPr>
                <w:rFonts w:hint="eastAsia" w:cs="Times New Roman" w:eastAsiaTheme="minorEastAsia"/>
                <w:b w:val="0"/>
                <w:bCs w:val="0"/>
                <w:color w:val="auto"/>
                <w:kern w:val="2"/>
                <w:sz w:val="24"/>
                <w:szCs w:val="24"/>
                <w:highlight w:val="none"/>
                <w:u w:val="none" w:color="auto"/>
                <w:lang w:val="en-US" w:eastAsia="zh-CN" w:bidi="ar-SA"/>
              </w:rPr>
              <w:t>TSP、</w:t>
            </w:r>
            <w:r>
              <w:rPr>
                <w:rFonts w:hint="default" w:ascii="Times New Roman" w:hAnsi="Times New Roman" w:cs="Times New Roman" w:eastAsiaTheme="minorEastAsia"/>
                <w:b w:val="0"/>
                <w:bCs w:val="0"/>
                <w:color w:val="auto"/>
                <w:kern w:val="2"/>
                <w:sz w:val="24"/>
                <w:szCs w:val="24"/>
                <w:highlight w:val="none"/>
                <w:u w:val="none" w:color="auto"/>
                <w:lang w:val="en-US" w:eastAsia="zh-CN" w:bidi="ar-SA"/>
              </w:rPr>
              <w:t>非甲烷总烃的现状监测数据，监测点</w:t>
            </w:r>
            <w:r>
              <w:rPr>
                <w:rFonts w:hint="eastAsia" w:cs="Times New Roman" w:eastAsiaTheme="minorEastAsia"/>
                <w:b w:val="0"/>
                <w:bCs w:val="0"/>
                <w:color w:val="auto"/>
                <w:kern w:val="2"/>
                <w:sz w:val="24"/>
                <w:szCs w:val="24"/>
                <w:highlight w:val="none"/>
                <w:u w:val="none" w:color="auto"/>
                <w:lang w:val="en-US" w:eastAsia="zh-CN" w:bidi="ar-SA"/>
              </w:rPr>
              <w:t>分别</w:t>
            </w:r>
            <w:r>
              <w:rPr>
                <w:rFonts w:hint="default" w:ascii="Times New Roman" w:hAnsi="Times New Roman" w:cs="Times New Roman" w:eastAsiaTheme="minorEastAsia"/>
                <w:b w:val="0"/>
                <w:bCs w:val="0"/>
                <w:color w:val="auto"/>
                <w:kern w:val="2"/>
                <w:sz w:val="24"/>
                <w:szCs w:val="24"/>
                <w:highlight w:val="none"/>
                <w:u w:val="none" w:color="auto"/>
                <w:lang w:val="en-US" w:eastAsia="zh-CN" w:bidi="ar-SA"/>
              </w:rPr>
              <w:t>位于湖南鲁丽木业有限公司3×170t/h+2×30MW生物质电厂项目拟建厂址中心位置（东经112°11′33.226″，北纬25°52′31.930″）</w:t>
            </w:r>
            <w:r>
              <w:rPr>
                <w:rFonts w:hint="eastAsia" w:ascii="Times New Roman" w:hAnsi="Times New Roman" w:cs="Times New Roman" w:eastAsiaTheme="minorEastAsia"/>
                <w:b w:val="0"/>
                <w:bCs w:val="0"/>
                <w:color w:val="auto"/>
                <w:kern w:val="2"/>
                <w:sz w:val="24"/>
                <w:szCs w:val="24"/>
                <w:highlight w:val="none"/>
                <w:u w:val="none" w:color="auto"/>
                <w:lang w:val="en-US" w:eastAsia="zh-CN" w:bidi="ar-SA"/>
              </w:rPr>
              <w:t>，距本项</w:t>
            </w:r>
            <w:r>
              <w:rPr>
                <w:rFonts w:hint="default" w:ascii="Times New Roman" w:hAnsi="Times New Roman" w:cs="Times New Roman" w:eastAsiaTheme="minorEastAsia"/>
                <w:b w:val="0"/>
                <w:bCs w:val="0"/>
                <w:color w:val="auto"/>
                <w:kern w:val="2"/>
                <w:sz w:val="24"/>
                <w:szCs w:val="24"/>
                <w:highlight w:val="none"/>
                <w:u w:val="none" w:color="auto"/>
                <w:lang w:val="en-US" w:eastAsia="zh-CN" w:bidi="ar-SA"/>
              </w:rPr>
              <w:t>目</w:t>
            </w:r>
            <w:r>
              <w:rPr>
                <w:rFonts w:hint="eastAsia" w:cs="Times New Roman" w:eastAsiaTheme="minorEastAsia"/>
                <w:b w:val="0"/>
                <w:bCs w:val="0"/>
                <w:color w:val="auto"/>
                <w:kern w:val="2"/>
                <w:sz w:val="24"/>
                <w:szCs w:val="24"/>
                <w:highlight w:val="none"/>
                <w:u w:val="none" w:color="auto"/>
                <w:lang w:val="en-US" w:eastAsia="zh-CN" w:bidi="ar-SA"/>
              </w:rPr>
              <w:t>1.12k</w:t>
            </w:r>
            <w:r>
              <w:rPr>
                <w:rFonts w:hint="default" w:ascii="Times New Roman" w:hAnsi="Times New Roman" w:cs="Times New Roman" w:eastAsiaTheme="minorEastAsia"/>
                <w:b w:val="0"/>
                <w:bCs w:val="0"/>
                <w:color w:val="auto"/>
                <w:kern w:val="2"/>
                <w:sz w:val="24"/>
                <w:szCs w:val="24"/>
                <w:highlight w:val="none"/>
                <w:u w:val="none" w:color="auto"/>
                <w:lang w:val="en-US" w:eastAsia="zh-CN" w:bidi="ar-SA"/>
              </w:rPr>
              <w:t>m；湖南省新煜田新材料有限公司（东经112°11′16.061″，北纬25°53′45.953″）</w:t>
            </w:r>
            <w:r>
              <w:rPr>
                <w:rFonts w:hint="eastAsia" w:ascii="Times New Roman" w:hAnsi="Times New Roman" w:cs="Times New Roman" w:eastAsiaTheme="minorEastAsia"/>
                <w:b w:val="0"/>
                <w:bCs w:val="0"/>
                <w:color w:val="auto"/>
                <w:kern w:val="2"/>
                <w:sz w:val="24"/>
                <w:szCs w:val="24"/>
                <w:highlight w:val="none"/>
                <w:u w:val="none" w:color="auto"/>
                <w:lang w:val="en-US" w:eastAsia="zh-CN" w:bidi="ar-SA"/>
              </w:rPr>
              <w:t>，距本项目1</w:t>
            </w:r>
            <w:r>
              <w:rPr>
                <w:rFonts w:hint="eastAsia" w:cs="Times New Roman" w:eastAsiaTheme="minorEastAsia"/>
                <w:b w:val="0"/>
                <w:bCs w:val="0"/>
                <w:color w:val="auto"/>
                <w:kern w:val="2"/>
                <w:sz w:val="24"/>
                <w:szCs w:val="24"/>
                <w:highlight w:val="none"/>
                <w:u w:val="none" w:color="auto"/>
                <w:lang w:val="en-US" w:eastAsia="zh-CN" w:bidi="ar-SA"/>
              </w:rPr>
              <w:t>.2k</w:t>
            </w:r>
            <w:r>
              <w:rPr>
                <w:rFonts w:hint="eastAsia" w:ascii="Times New Roman" w:hAnsi="Times New Roman" w:cs="Times New Roman" w:eastAsiaTheme="minorEastAsia"/>
                <w:b w:val="0"/>
                <w:bCs w:val="0"/>
                <w:color w:val="auto"/>
                <w:kern w:val="2"/>
                <w:sz w:val="24"/>
                <w:szCs w:val="24"/>
                <w:highlight w:val="none"/>
                <w:u w:val="none" w:color="auto"/>
                <w:lang w:val="en-US" w:eastAsia="zh-CN" w:bidi="ar-SA"/>
              </w:rPr>
              <w:t>m</w:t>
            </w:r>
            <w:r>
              <w:rPr>
                <w:rFonts w:hint="eastAsia" w:cs="Times New Roman" w:eastAsiaTheme="minorEastAsia"/>
                <w:b w:val="0"/>
                <w:bCs w:val="0"/>
                <w:color w:val="auto"/>
                <w:kern w:val="2"/>
                <w:sz w:val="24"/>
                <w:szCs w:val="24"/>
                <w:highlight w:val="none"/>
                <w:u w:val="none" w:color="auto"/>
                <w:lang w:val="en-US" w:eastAsia="zh-CN" w:bidi="ar-SA"/>
              </w:rPr>
              <w:t>。以上两个项目</w:t>
            </w:r>
            <w:r>
              <w:rPr>
                <w:rFonts w:hint="default" w:ascii="Times New Roman" w:hAnsi="Times New Roman" w:cs="Times New Roman" w:eastAsiaTheme="minorEastAsia"/>
                <w:b w:val="0"/>
                <w:bCs w:val="0"/>
                <w:color w:val="auto"/>
                <w:kern w:val="2"/>
                <w:sz w:val="24"/>
                <w:szCs w:val="22"/>
                <w:highlight w:val="none"/>
                <w:u w:val="none" w:color="auto"/>
                <w:lang w:val="en-US" w:eastAsia="zh-CN" w:bidi="ar-SA"/>
              </w:rPr>
              <w:t>与本项目距离较近，因此可有效</w:t>
            </w:r>
            <w:r>
              <w:rPr>
                <w:rFonts w:hint="eastAsia" w:cs="Times New Roman" w:eastAsiaTheme="minorEastAsia"/>
                <w:b w:val="0"/>
                <w:bCs w:val="0"/>
                <w:color w:val="auto"/>
                <w:kern w:val="2"/>
                <w:sz w:val="24"/>
                <w:szCs w:val="22"/>
                <w:highlight w:val="none"/>
                <w:u w:val="none" w:color="auto"/>
                <w:lang w:val="en-US" w:eastAsia="zh-CN" w:bidi="ar-SA"/>
              </w:rPr>
              <w:t>反映</w:t>
            </w:r>
            <w:r>
              <w:rPr>
                <w:rFonts w:hint="default" w:ascii="Times New Roman" w:hAnsi="Times New Roman" w:cs="Times New Roman" w:eastAsiaTheme="minorEastAsia"/>
                <w:b w:val="0"/>
                <w:bCs w:val="0"/>
                <w:color w:val="auto"/>
                <w:kern w:val="2"/>
                <w:sz w:val="24"/>
                <w:szCs w:val="22"/>
                <w:highlight w:val="none"/>
                <w:u w:val="none" w:color="auto"/>
                <w:lang w:val="en-US" w:eastAsia="zh-CN" w:bidi="ar-SA"/>
              </w:rPr>
              <w:t>本项目周边环境质量现状。监测结果详见下表。</w:t>
            </w:r>
          </w:p>
          <w:p w14:paraId="082C2BEB">
            <w:pPr>
              <w:spacing w:line="240" w:lineRule="auto"/>
              <w:ind w:firstLine="422"/>
              <w:jc w:val="center"/>
              <w:rPr>
                <w:rFonts w:hint="eastAsia" w:hAnsi="宋体"/>
                <w:b/>
                <w:bCs/>
                <w:color w:val="auto"/>
                <w:sz w:val="21"/>
                <w:szCs w:val="21"/>
                <w:u w:val="none" w:color="auto"/>
                <w:lang w:val="en-US" w:eastAsia="zh-CN"/>
              </w:rPr>
            </w:pPr>
            <w:r>
              <w:rPr>
                <w:rFonts w:hAnsi="宋体"/>
                <w:b/>
                <w:bCs/>
                <w:color w:val="auto"/>
                <w:sz w:val="21"/>
                <w:szCs w:val="21"/>
                <w:u w:val="none" w:color="auto"/>
              </w:rPr>
              <w:t>表</w:t>
            </w:r>
            <w:r>
              <w:rPr>
                <w:rFonts w:hint="eastAsia" w:hAnsi="宋体"/>
                <w:b/>
                <w:bCs/>
                <w:color w:val="auto"/>
                <w:sz w:val="21"/>
                <w:szCs w:val="21"/>
                <w:u w:val="none" w:color="auto"/>
                <w:lang w:val="en-US" w:eastAsia="zh-CN"/>
              </w:rPr>
              <w:t>3-2</w:t>
            </w:r>
            <w:r>
              <w:rPr>
                <w:rFonts w:hAnsi="宋体"/>
                <w:b/>
                <w:bCs/>
                <w:color w:val="auto"/>
                <w:sz w:val="21"/>
                <w:szCs w:val="21"/>
                <w:u w:val="none" w:color="auto"/>
              </w:rPr>
              <w:t xml:space="preserve"> </w:t>
            </w:r>
            <w:r>
              <w:rPr>
                <w:rFonts w:hint="eastAsia" w:hAnsi="宋体"/>
                <w:b/>
                <w:bCs/>
                <w:color w:val="auto"/>
                <w:sz w:val="21"/>
                <w:szCs w:val="21"/>
                <w:u w:val="none" w:color="auto"/>
                <w:lang w:val="en-US" w:eastAsia="zh-CN"/>
              </w:rPr>
              <w:t xml:space="preserve"> </w:t>
            </w:r>
            <w:r>
              <w:rPr>
                <w:rFonts w:hint="default" w:hAnsi="宋体"/>
                <w:b/>
                <w:bCs/>
                <w:color w:val="auto"/>
                <w:sz w:val="21"/>
                <w:szCs w:val="21"/>
                <w:u w:val="none" w:color="auto"/>
                <w:lang w:val="en-US" w:eastAsia="zh-CN"/>
              </w:rPr>
              <w:t>环境空气检测结果</w:t>
            </w:r>
            <w:r>
              <w:rPr>
                <w:rFonts w:hint="eastAsia" w:hAnsi="宋体"/>
                <w:b/>
                <w:bCs/>
                <w:color w:val="auto"/>
                <w:sz w:val="21"/>
                <w:szCs w:val="21"/>
                <w:u w:val="none" w:color="auto"/>
                <w:lang w:val="en-US" w:eastAsia="zh-CN"/>
              </w:rPr>
              <w:t>（TSP）</w:t>
            </w:r>
          </w:p>
          <w:tbl>
            <w:tblPr>
              <w:tblStyle w:val="29"/>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3"/>
              <w:gridCol w:w="674"/>
              <w:gridCol w:w="719"/>
              <w:gridCol w:w="749"/>
              <w:gridCol w:w="734"/>
              <w:gridCol w:w="704"/>
              <w:gridCol w:w="749"/>
              <w:gridCol w:w="749"/>
              <w:gridCol w:w="692"/>
              <w:gridCol w:w="674"/>
              <w:gridCol w:w="793"/>
            </w:tblGrid>
            <w:tr w14:paraId="39591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pct"/>
                  <w:vMerge w:val="restart"/>
                  <w:tcBorders>
                    <w:tl2br w:val="nil"/>
                    <w:tr2bl w:val="nil"/>
                  </w:tcBorders>
                  <w:vAlign w:val="center"/>
                </w:tcPr>
                <w:p w14:paraId="622034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监测地点</w:t>
                  </w:r>
                </w:p>
              </w:tc>
              <w:tc>
                <w:tcPr>
                  <w:tcW w:w="402" w:type="pct"/>
                  <w:vMerge w:val="restart"/>
                  <w:tcBorders>
                    <w:tl2br w:val="nil"/>
                    <w:tr2bl w:val="nil"/>
                  </w:tcBorders>
                  <w:vAlign w:val="center"/>
                </w:tcPr>
                <w:p w14:paraId="420348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检测项目</w:t>
                  </w:r>
                </w:p>
              </w:tc>
              <w:tc>
                <w:tcPr>
                  <w:tcW w:w="3041" w:type="pct"/>
                  <w:gridSpan w:val="7"/>
                  <w:tcBorders>
                    <w:tl2br w:val="nil"/>
                    <w:tr2bl w:val="nil"/>
                  </w:tcBorders>
                  <w:vAlign w:val="center"/>
                </w:tcPr>
                <w:p w14:paraId="0A938D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检测结果</w:t>
                  </w:r>
                </w:p>
              </w:tc>
              <w:tc>
                <w:tcPr>
                  <w:tcW w:w="402" w:type="pct"/>
                  <w:vMerge w:val="restart"/>
                  <w:tcBorders>
                    <w:tl2br w:val="nil"/>
                    <w:tr2bl w:val="nil"/>
                  </w:tcBorders>
                  <w:vAlign w:val="center"/>
                </w:tcPr>
                <w:p w14:paraId="74C2F9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标准限值</w:t>
                  </w:r>
                </w:p>
              </w:tc>
              <w:tc>
                <w:tcPr>
                  <w:tcW w:w="471" w:type="pct"/>
                  <w:vMerge w:val="restart"/>
                  <w:tcBorders>
                    <w:tl2br w:val="nil"/>
                    <w:tr2bl w:val="nil"/>
                  </w:tcBorders>
                  <w:vAlign w:val="center"/>
                </w:tcPr>
                <w:p w14:paraId="705167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单位</w:t>
                  </w:r>
                </w:p>
              </w:tc>
            </w:tr>
            <w:tr w14:paraId="186C7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pct"/>
                  <w:vMerge w:val="continue"/>
                  <w:tcBorders>
                    <w:tl2br w:val="nil"/>
                    <w:tr2bl w:val="nil"/>
                  </w:tcBorders>
                  <w:vAlign w:val="center"/>
                </w:tcPr>
                <w:p w14:paraId="418961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none" w:color="auto"/>
                      <w:lang w:val="en-US" w:eastAsia="zh-CN"/>
                    </w:rPr>
                  </w:pPr>
                </w:p>
              </w:tc>
              <w:tc>
                <w:tcPr>
                  <w:tcW w:w="402" w:type="pct"/>
                  <w:vMerge w:val="continue"/>
                  <w:tcBorders>
                    <w:tl2br w:val="nil"/>
                    <w:tr2bl w:val="nil"/>
                  </w:tcBorders>
                  <w:vAlign w:val="center"/>
                </w:tcPr>
                <w:p w14:paraId="6FB765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none" w:color="auto"/>
                      <w:lang w:val="en-US" w:eastAsia="zh-CN"/>
                    </w:rPr>
                  </w:pPr>
                </w:p>
              </w:tc>
              <w:tc>
                <w:tcPr>
                  <w:tcW w:w="3041" w:type="pct"/>
                  <w:gridSpan w:val="7"/>
                  <w:tcBorders>
                    <w:tl2br w:val="nil"/>
                    <w:tr2bl w:val="nil"/>
                  </w:tcBorders>
                  <w:vAlign w:val="center"/>
                </w:tcPr>
                <w:p w14:paraId="4AA747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2022.4.22-2022.4.28</w:t>
                  </w:r>
                </w:p>
              </w:tc>
              <w:tc>
                <w:tcPr>
                  <w:tcW w:w="402" w:type="pct"/>
                  <w:vMerge w:val="continue"/>
                  <w:tcBorders>
                    <w:tl2br w:val="nil"/>
                    <w:tr2bl w:val="nil"/>
                  </w:tcBorders>
                  <w:vAlign w:val="center"/>
                </w:tcPr>
                <w:p w14:paraId="216B0A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none" w:color="auto"/>
                      <w:lang w:val="en-US" w:eastAsia="zh-CN"/>
                    </w:rPr>
                  </w:pPr>
                </w:p>
              </w:tc>
              <w:tc>
                <w:tcPr>
                  <w:tcW w:w="471" w:type="pct"/>
                  <w:vMerge w:val="continue"/>
                  <w:tcBorders>
                    <w:tl2br w:val="nil"/>
                    <w:tr2bl w:val="nil"/>
                  </w:tcBorders>
                  <w:vAlign w:val="center"/>
                </w:tcPr>
                <w:p w14:paraId="2E8A29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none" w:color="auto"/>
                      <w:lang w:val="en-US" w:eastAsia="zh-CN"/>
                    </w:rPr>
                  </w:pPr>
                </w:p>
              </w:tc>
            </w:tr>
            <w:tr w14:paraId="221D6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pct"/>
                  <w:tcBorders>
                    <w:tl2br w:val="nil"/>
                    <w:tr2bl w:val="nil"/>
                  </w:tcBorders>
                  <w:vAlign w:val="center"/>
                </w:tcPr>
                <w:p w14:paraId="5C7312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湖南鲁丽木业有限公司（距本项目1.12km）</w:t>
                  </w:r>
                </w:p>
              </w:tc>
              <w:tc>
                <w:tcPr>
                  <w:tcW w:w="402" w:type="pct"/>
                  <w:tcBorders>
                    <w:tl2br w:val="nil"/>
                    <w:tr2bl w:val="nil"/>
                  </w:tcBorders>
                  <w:vAlign w:val="center"/>
                </w:tcPr>
                <w:p w14:paraId="197D24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highlight w:val="none"/>
                      <w:u w:val="none" w:color="auto"/>
                      <w:lang w:val="en-US" w:eastAsia="zh-CN"/>
                    </w:rPr>
                  </w:pPr>
                  <w:r>
                    <w:rPr>
                      <w:rFonts w:hint="eastAsia"/>
                      <w:color w:val="auto"/>
                      <w:sz w:val="21"/>
                      <w:szCs w:val="21"/>
                      <w:highlight w:val="none"/>
                      <w:u w:val="none" w:color="auto"/>
                      <w:lang w:val="en-US" w:eastAsia="zh-CN"/>
                    </w:rPr>
                    <w:t>TSP</w:t>
                  </w:r>
                </w:p>
              </w:tc>
              <w:tc>
                <w:tcPr>
                  <w:tcW w:w="429" w:type="pct"/>
                  <w:tcBorders>
                    <w:tl2br w:val="nil"/>
                    <w:tr2bl w:val="nil"/>
                  </w:tcBorders>
                  <w:vAlign w:val="center"/>
                </w:tcPr>
                <w:p w14:paraId="625BAF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0.133</w:t>
                  </w:r>
                </w:p>
              </w:tc>
              <w:tc>
                <w:tcPr>
                  <w:tcW w:w="447" w:type="pct"/>
                  <w:tcBorders>
                    <w:tl2br w:val="nil"/>
                    <w:tr2bl w:val="nil"/>
                  </w:tcBorders>
                  <w:vAlign w:val="center"/>
                </w:tcPr>
                <w:p w14:paraId="02BFC9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0.126</w:t>
                  </w:r>
                </w:p>
              </w:tc>
              <w:tc>
                <w:tcPr>
                  <w:tcW w:w="438" w:type="pct"/>
                  <w:tcBorders>
                    <w:tl2br w:val="nil"/>
                    <w:tr2bl w:val="nil"/>
                  </w:tcBorders>
                  <w:vAlign w:val="center"/>
                </w:tcPr>
                <w:p w14:paraId="154D09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0.137</w:t>
                  </w:r>
                </w:p>
              </w:tc>
              <w:tc>
                <w:tcPr>
                  <w:tcW w:w="420" w:type="pct"/>
                  <w:tcBorders>
                    <w:tl2br w:val="nil"/>
                    <w:tr2bl w:val="nil"/>
                  </w:tcBorders>
                  <w:vAlign w:val="center"/>
                </w:tcPr>
                <w:p w14:paraId="55861B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0.115</w:t>
                  </w:r>
                </w:p>
              </w:tc>
              <w:tc>
                <w:tcPr>
                  <w:tcW w:w="447" w:type="pct"/>
                  <w:tcBorders>
                    <w:tl2br w:val="nil"/>
                    <w:tr2bl w:val="nil"/>
                  </w:tcBorders>
                  <w:vAlign w:val="center"/>
                </w:tcPr>
                <w:p w14:paraId="6FD133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0.108</w:t>
                  </w:r>
                </w:p>
              </w:tc>
              <w:tc>
                <w:tcPr>
                  <w:tcW w:w="447" w:type="pct"/>
                  <w:tcBorders>
                    <w:tl2br w:val="nil"/>
                    <w:tr2bl w:val="nil"/>
                  </w:tcBorders>
                  <w:vAlign w:val="center"/>
                </w:tcPr>
                <w:p w14:paraId="2E6E19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0.144</w:t>
                  </w:r>
                </w:p>
              </w:tc>
              <w:tc>
                <w:tcPr>
                  <w:tcW w:w="411" w:type="pct"/>
                  <w:tcBorders>
                    <w:tl2br w:val="nil"/>
                    <w:tr2bl w:val="nil"/>
                  </w:tcBorders>
                  <w:vAlign w:val="center"/>
                </w:tcPr>
                <w:p w14:paraId="2313E2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0.133</w:t>
                  </w:r>
                </w:p>
              </w:tc>
              <w:tc>
                <w:tcPr>
                  <w:tcW w:w="402" w:type="pct"/>
                  <w:tcBorders>
                    <w:tl2br w:val="nil"/>
                    <w:tr2bl w:val="nil"/>
                  </w:tcBorders>
                  <w:vAlign w:val="center"/>
                </w:tcPr>
                <w:p w14:paraId="2EEA57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0.3</w:t>
                  </w:r>
                </w:p>
              </w:tc>
              <w:tc>
                <w:tcPr>
                  <w:tcW w:w="471" w:type="pct"/>
                  <w:tcBorders>
                    <w:tl2br w:val="nil"/>
                    <w:tr2bl w:val="nil"/>
                  </w:tcBorders>
                  <w:vAlign w:val="center"/>
                </w:tcPr>
                <w:p w14:paraId="307D3A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mg/m</w:t>
                  </w:r>
                  <w:r>
                    <w:rPr>
                      <w:rFonts w:hint="eastAsia"/>
                      <w:color w:val="auto"/>
                      <w:sz w:val="21"/>
                      <w:szCs w:val="21"/>
                      <w:u w:val="none" w:color="auto"/>
                      <w:vertAlign w:val="superscript"/>
                      <w:lang w:val="en-US" w:eastAsia="zh-CN"/>
                    </w:rPr>
                    <w:t>3</w:t>
                  </w:r>
                </w:p>
              </w:tc>
            </w:tr>
            <w:tr w14:paraId="47B01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pct"/>
                  <w:tcBorders>
                    <w:tl2br w:val="nil"/>
                    <w:tr2bl w:val="nil"/>
                  </w:tcBorders>
                  <w:vAlign w:val="center"/>
                </w:tcPr>
                <w:p w14:paraId="19A44F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备注</w:t>
                  </w:r>
                </w:p>
              </w:tc>
              <w:tc>
                <w:tcPr>
                  <w:tcW w:w="4317" w:type="pct"/>
                  <w:gridSpan w:val="10"/>
                  <w:tcBorders>
                    <w:tl2br w:val="nil"/>
                    <w:tr2bl w:val="nil"/>
                  </w:tcBorders>
                  <w:vAlign w:val="center"/>
                </w:tcPr>
                <w:p w14:paraId="4B4D10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color w:val="auto"/>
                      <w:sz w:val="21"/>
                      <w:szCs w:val="21"/>
                      <w:u w:val="none" w:color="auto"/>
                      <w:lang w:val="en-US" w:eastAsia="zh-CN"/>
                    </w:rPr>
                  </w:pPr>
                  <w:r>
                    <w:rPr>
                      <w:rFonts w:hint="eastAsia"/>
                      <w:color w:val="auto"/>
                      <w:sz w:val="21"/>
                      <w:szCs w:val="21"/>
                      <w:u w:val="none" w:color="auto"/>
                      <w:lang w:val="en-US" w:eastAsia="zh-CN"/>
                    </w:rPr>
                    <w:t>执行《环境空气质量标准》（GB3095-2012）二级标准</w:t>
                  </w:r>
                </w:p>
              </w:tc>
            </w:tr>
          </w:tbl>
          <w:p w14:paraId="20F9448B">
            <w:pPr>
              <w:spacing w:line="240" w:lineRule="auto"/>
              <w:ind w:firstLine="422"/>
              <w:jc w:val="center"/>
              <w:rPr>
                <w:rFonts w:hint="eastAsia" w:hAnsi="宋体"/>
                <w:b/>
                <w:bCs/>
                <w:color w:val="auto"/>
                <w:sz w:val="21"/>
                <w:szCs w:val="21"/>
                <w:u w:val="none" w:color="auto"/>
                <w:lang w:val="en-US" w:eastAsia="zh-CN"/>
              </w:rPr>
            </w:pPr>
            <w:r>
              <w:rPr>
                <w:rFonts w:hAnsi="宋体"/>
                <w:b/>
                <w:bCs/>
                <w:color w:val="auto"/>
                <w:sz w:val="21"/>
                <w:szCs w:val="21"/>
                <w:u w:val="none" w:color="auto"/>
              </w:rPr>
              <w:t>表3-</w:t>
            </w:r>
            <w:r>
              <w:rPr>
                <w:rFonts w:hint="eastAsia" w:hAnsi="宋体"/>
                <w:b/>
                <w:bCs/>
                <w:color w:val="auto"/>
                <w:sz w:val="21"/>
                <w:szCs w:val="21"/>
                <w:u w:val="none" w:color="auto"/>
                <w:lang w:val="en-US" w:eastAsia="zh-CN"/>
              </w:rPr>
              <w:t>3</w:t>
            </w:r>
            <w:r>
              <w:rPr>
                <w:rFonts w:hAnsi="宋体"/>
                <w:b/>
                <w:bCs/>
                <w:color w:val="auto"/>
                <w:sz w:val="21"/>
                <w:szCs w:val="21"/>
                <w:u w:val="none" w:color="auto"/>
              </w:rPr>
              <w:t xml:space="preserve">  </w:t>
            </w:r>
            <w:r>
              <w:rPr>
                <w:rFonts w:hint="default" w:hAnsi="宋体"/>
                <w:b/>
                <w:bCs/>
                <w:color w:val="auto"/>
                <w:sz w:val="21"/>
                <w:szCs w:val="21"/>
                <w:u w:val="none" w:color="auto"/>
                <w:lang w:val="en-US" w:eastAsia="zh-CN"/>
              </w:rPr>
              <w:t>环境空气检测结果</w:t>
            </w:r>
            <w:r>
              <w:rPr>
                <w:rFonts w:hint="eastAsia" w:hAnsi="宋体"/>
                <w:b/>
                <w:bCs/>
                <w:color w:val="auto"/>
                <w:sz w:val="21"/>
                <w:szCs w:val="21"/>
                <w:u w:val="none" w:color="auto"/>
                <w:lang w:val="en-US" w:eastAsia="zh-CN"/>
              </w:rPr>
              <w:t>（非甲烷总烃）</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2"/>
              <w:gridCol w:w="1316"/>
              <w:gridCol w:w="1438"/>
              <w:gridCol w:w="1150"/>
              <w:gridCol w:w="1150"/>
              <w:gridCol w:w="1150"/>
              <w:gridCol w:w="1151"/>
            </w:tblGrid>
            <w:tr w14:paraId="63D0A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pct"/>
                  <w:vMerge w:val="restart"/>
                  <w:tcBorders>
                    <w:tl2br w:val="nil"/>
                    <w:tr2bl w:val="nil"/>
                  </w:tcBorders>
                  <w:vAlign w:val="center"/>
                </w:tcPr>
                <w:p w14:paraId="4DB4BA7A">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color="auto"/>
                    </w:rPr>
                  </w:pPr>
                  <w:r>
                    <w:rPr>
                      <w:rFonts w:ascii="Times New Roman" w:hAnsi="Times New Roman" w:eastAsia="宋体" w:cs="Times New Roman"/>
                      <w:color w:val="auto"/>
                      <w:kern w:val="2"/>
                      <w:sz w:val="21"/>
                      <w:szCs w:val="21"/>
                      <w:u w:val="none" w:color="auto"/>
                    </w:rPr>
                    <w:t>点位名称</w:t>
                  </w:r>
                </w:p>
              </w:tc>
              <w:tc>
                <w:tcPr>
                  <w:tcW w:w="785" w:type="pct"/>
                  <w:vMerge w:val="restart"/>
                  <w:tcBorders>
                    <w:tl2br w:val="nil"/>
                    <w:tr2bl w:val="nil"/>
                  </w:tcBorders>
                  <w:vAlign w:val="center"/>
                </w:tcPr>
                <w:p w14:paraId="2E5F0866">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color="auto"/>
                    </w:rPr>
                  </w:pPr>
                  <w:r>
                    <w:rPr>
                      <w:rFonts w:ascii="Times New Roman" w:hAnsi="Times New Roman" w:eastAsia="宋体" w:cs="Times New Roman"/>
                      <w:color w:val="auto"/>
                      <w:kern w:val="2"/>
                      <w:sz w:val="21"/>
                      <w:szCs w:val="21"/>
                      <w:u w:val="none" w:color="auto"/>
                    </w:rPr>
                    <w:t>检测项目</w:t>
                  </w:r>
                </w:p>
              </w:tc>
              <w:tc>
                <w:tcPr>
                  <w:tcW w:w="858" w:type="pct"/>
                  <w:vMerge w:val="restart"/>
                  <w:tcBorders>
                    <w:tl2br w:val="nil"/>
                    <w:tr2bl w:val="nil"/>
                  </w:tcBorders>
                  <w:vAlign w:val="center"/>
                </w:tcPr>
                <w:p w14:paraId="1D6450BF">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color="auto"/>
                    </w:rPr>
                  </w:pPr>
                  <w:r>
                    <w:rPr>
                      <w:rFonts w:ascii="Times New Roman" w:hAnsi="Times New Roman" w:eastAsia="宋体" w:cs="Times New Roman"/>
                      <w:color w:val="auto"/>
                      <w:kern w:val="2"/>
                      <w:sz w:val="21"/>
                      <w:szCs w:val="21"/>
                      <w:u w:val="none" w:color="auto"/>
                    </w:rPr>
                    <w:t>采样日期</w:t>
                  </w:r>
                </w:p>
              </w:tc>
              <w:tc>
                <w:tcPr>
                  <w:tcW w:w="2745" w:type="pct"/>
                  <w:gridSpan w:val="4"/>
                  <w:tcBorders>
                    <w:tl2br w:val="nil"/>
                    <w:tr2bl w:val="nil"/>
                  </w:tcBorders>
                  <w:vAlign w:val="center"/>
                </w:tcPr>
                <w:p w14:paraId="5535F91B">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color="auto"/>
                    </w:rPr>
                  </w:pPr>
                  <w:r>
                    <w:rPr>
                      <w:rFonts w:ascii="Times New Roman" w:hAnsi="Times New Roman" w:eastAsia="宋体" w:cs="Times New Roman"/>
                      <w:color w:val="auto"/>
                      <w:kern w:val="2"/>
                      <w:sz w:val="21"/>
                      <w:szCs w:val="21"/>
                      <w:u w:val="none" w:color="auto"/>
                    </w:rPr>
                    <w:t>检测结果（单位：mg/m</w:t>
                  </w:r>
                  <w:r>
                    <w:rPr>
                      <w:rFonts w:ascii="Times New Roman" w:hAnsi="Times New Roman" w:eastAsia="宋体" w:cs="Times New Roman"/>
                      <w:color w:val="auto"/>
                      <w:kern w:val="2"/>
                      <w:sz w:val="21"/>
                      <w:szCs w:val="21"/>
                      <w:u w:val="none" w:color="auto"/>
                      <w:vertAlign w:val="superscript"/>
                    </w:rPr>
                    <w:t>3</w:t>
                  </w:r>
                  <w:r>
                    <w:rPr>
                      <w:rFonts w:hint="eastAsia" w:eastAsia="宋体" w:cs="Times New Roman"/>
                      <w:color w:val="auto"/>
                      <w:kern w:val="2"/>
                      <w:sz w:val="21"/>
                      <w:szCs w:val="21"/>
                      <w:u w:val="none" w:color="auto"/>
                      <w:vertAlign w:val="superscript"/>
                      <w:lang w:eastAsia="zh-CN"/>
                    </w:rPr>
                    <w:t>）</w:t>
                  </w:r>
                </w:p>
              </w:tc>
            </w:tr>
            <w:tr w14:paraId="5BDC9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pct"/>
                  <w:vMerge w:val="continue"/>
                  <w:tcBorders>
                    <w:tl2br w:val="nil"/>
                    <w:tr2bl w:val="nil"/>
                  </w:tcBorders>
                  <w:vAlign w:val="center"/>
                </w:tcPr>
                <w:p w14:paraId="1FA66BA4">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color="auto"/>
                    </w:rPr>
                  </w:pPr>
                </w:p>
              </w:tc>
              <w:tc>
                <w:tcPr>
                  <w:tcW w:w="785" w:type="pct"/>
                  <w:vMerge w:val="continue"/>
                  <w:tcBorders>
                    <w:tl2br w:val="nil"/>
                    <w:tr2bl w:val="nil"/>
                  </w:tcBorders>
                  <w:vAlign w:val="center"/>
                </w:tcPr>
                <w:p w14:paraId="1267A079">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color="auto"/>
                    </w:rPr>
                  </w:pPr>
                </w:p>
              </w:tc>
              <w:tc>
                <w:tcPr>
                  <w:tcW w:w="858" w:type="pct"/>
                  <w:vMerge w:val="continue"/>
                  <w:tcBorders>
                    <w:tl2br w:val="nil"/>
                    <w:tr2bl w:val="nil"/>
                  </w:tcBorders>
                  <w:vAlign w:val="center"/>
                </w:tcPr>
                <w:p w14:paraId="1EA31C57">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color="auto"/>
                    </w:rPr>
                  </w:pPr>
                </w:p>
              </w:tc>
              <w:tc>
                <w:tcPr>
                  <w:tcW w:w="686" w:type="pct"/>
                  <w:tcBorders>
                    <w:tl2br w:val="nil"/>
                    <w:tr2bl w:val="nil"/>
                  </w:tcBorders>
                  <w:vAlign w:val="center"/>
                </w:tcPr>
                <w:p w14:paraId="0FAB6029">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color="auto"/>
                    </w:rPr>
                  </w:pPr>
                  <w:r>
                    <w:rPr>
                      <w:rFonts w:hint="eastAsia" w:ascii="Times New Roman" w:hAnsi="Times New Roman" w:eastAsia="宋体" w:cs="Times New Roman"/>
                      <w:color w:val="auto"/>
                      <w:kern w:val="2"/>
                      <w:sz w:val="21"/>
                      <w:szCs w:val="21"/>
                      <w:u w:val="none" w:color="auto"/>
                    </w:rPr>
                    <w:t>1次</w:t>
                  </w:r>
                </w:p>
              </w:tc>
              <w:tc>
                <w:tcPr>
                  <w:tcW w:w="686" w:type="pct"/>
                  <w:tcBorders>
                    <w:tl2br w:val="nil"/>
                    <w:tr2bl w:val="nil"/>
                  </w:tcBorders>
                  <w:vAlign w:val="center"/>
                </w:tcPr>
                <w:p w14:paraId="0C551415">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color="auto"/>
                    </w:rPr>
                  </w:pPr>
                  <w:r>
                    <w:rPr>
                      <w:rFonts w:hint="eastAsia" w:ascii="Times New Roman" w:hAnsi="Times New Roman" w:eastAsia="宋体" w:cs="Times New Roman"/>
                      <w:color w:val="auto"/>
                      <w:kern w:val="2"/>
                      <w:sz w:val="21"/>
                      <w:szCs w:val="21"/>
                      <w:u w:val="none" w:color="auto"/>
                    </w:rPr>
                    <w:t>2次</w:t>
                  </w:r>
                </w:p>
              </w:tc>
              <w:tc>
                <w:tcPr>
                  <w:tcW w:w="686" w:type="pct"/>
                  <w:tcBorders>
                    <w:tl2br w:val="nil"/>
                    <w:tr2bl w:val="nil"/>
                  </w:tcBorders>
                  <w:vAlign w:val="center"/>
                </w:tcPr>
                <w:p w14:paraId="5B366F2C">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color="auto"/>
                    </w:rPr>
                  </w:pPr>
                  <w:r>
                    <w:rPr>
                      <w:rFonts w:hint="eastAsia" w:ascii="Times New Roman" w:hAnsi="Times New Roman" w:eastAsia="宋体" w:cs="Times New Roman"/>
                      <w:color w:val="auto"/>
                      <w:kern w:val="2"/>
                      <w:sz w:val="21"/>
                      <w:szCs w:val="21"/>
                      <w:u w:val="none" w:color="auto"/>
                    </w:rPr>
                    <w:t>3次</w:t>
                  </w:r>
                </w:p>
              </w:tc>
              <w:tc>
                <w:tcPr>
                  <w:tcW w:w="686" w:type="pct"/>
                  <w:tcBorders>
                    <w:tl2br w:val="nil"/>
                    <w:tr2bl w:val="nil"/>
                  </w:tcBorders>
                  <w:vAlign w:val="center"/>
                </w:tcPr>
                <w:p w14:paraId="7C9ED51E">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color="auto"/>
                    </w:rPr>
                  </w:pPr>
                  <w:r>
                    <w:rPr>
                      <w:rFonts w:hint="eastAsia" w:ascii="Times New Roman" w:hAnsi="Times New Roman" w:eastAsia="宋体" w:cs="Times New Roman"/>
                      <w:color w:val="auto"/>
                      <w:kern w:val="2"/>
                      <w:sz w:val="21"/>
                      <w:szCs w:val="21"/>
                      <w:u w:val="none" w:color="auto"/>
                    </w:rPr>
                    <w:t>4次</w:t>
                  </w:r>
                </w:p>
              </w:tc>
            </w:tr>
            <w:tr w14:paraId="170C2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pct"/>
                  <w:vMerge w:val="restart"/>
                  <w:tcBorders>
                    <w:tl2br w:val="nil"/>
                    <w:tr2bl w:val="nil"/>
                  </w:tcBorders>
                  <w:vAlign w:val="center"/>
                </w:tcPr>
                <w:p w14:paraId="0E2B1E38">
                  <w:pPr>
                    <w:snapToGrid w:val="0"/>
                    <w:spacing w:line="240" w:lineRule="auto"/>
                    <w:ind w:firstLine="0" w:firstLineChars="0"/>
                    <w:jc w:val="center"/>
                    <w:textAlignment w:val="auto"/>
                    <w:rPr>
                      <w:rFonts w:ascii="Times New Roman" w:hAnsi="Times New Roman" w:eastAsia="宋体" w:cs="Times New Roman"/>
                      <w:color w:val="auto"/>
                      <w:kern w:val="2"/>
                      <w:sz w:val="21"/>
                      <w:szCs w:val="21"/>
                      <w:highlight w:val="none"/>
                      <w:u w:val="none" w:color="auto"/>
                    </w:rPr>
                  </w:pPr>
                  <w:r>
                    <w:rPr>
                      <w:rFonts w:hint="eastAsia" w:ascii="Times New Roman" w:hAnsi="Times New Roman" w:eastAsia="宋体" w:cs="Times New Roman"/>
                      <w:color w:val="auto"/>
                      <w:kern w:val="2"/>
                      <w:sz w:val="21"/>
                      <w:szCs w:val="21"/>
                      <w:highlight w:val="none"/>
                      <w:u w:val="none" w:color="auto"/>
                      <w:lang w:val="en-US" w:eastAsia="zh-CN"/>
                    </w:rPr>
                    <w:t>湖南省新煜田新材料有限公司（距本项目1</w:t>
                  </w:r>
                  <w:r>
                    <w:rPr>
                      <w:rFonts w:hint="eastAsia" w:cs="Times New Roman"/>
                      <w:color w:val="auto"/>
                      <w:kern w:val="2"/>
                      <w:sz w:val="21"/>
                      <w:szCs w:val="21"/>
                      <w:highlight w:val="none"/>
                      <w:u w:val="none" w:color="auto"/>
                      <w:lang w:val="en-US" w:eastAsia="zh-CN"/>
                    </w:rPr>
                    <w:t>.2k</w:t>
                  </w:r>
                  <w:r>
                    <w:rPr>
                      <w:rFonts w:hint="eastAsia" w:ascii="Times New Roman" w:hAnsi="Times New Roman" w:eastAsia="宋体" w:cs="Times New Roman"/>
                      <w:color w:val="auto"/>
                      <w:kern w:val="2"/>
                      <w:sz w:val="21"/>
                      <w:szCs w:val="21"/>
                      <w:highlight w:val="none"/>
                      <w:u w:val="none" w:color="auto"/>
                      <w:lang w:val="en-US" w:eastAsia="zh-CN"/>
                    </w:rPr>
                    <w:t>m）</w:t>
                  </w:r>
                </w:p>
              </w:tc>
              <w:tc>
                <w:tcPr>
                  <w:tcW w:w="785" w:type="pct"/>
                  <w:vMerge w:val="restart"/>
                  <w:tcBorders>
                    <w:tl2br w:val="nil"/>
                    <w:tr2bl w:val="nil"/>
                  </w:tcBorders>
                  <w:shd w:val="clear" w:color="auto" w:fill="auto"/>
                  <w:vAlign w:val="center"/>
                </w:tcPr>
                <w:p w14:paraId="509D735E">
                  <w:pPr>
                    <w:snapToGrid w:val="0"/>
                    <w:spacing w:line="240" w:lineRule="auto"/>
                    <w:ind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rPr>
                    <w:t>非甲烷总烃</w:t>
                  </w:r>
                </w:p>
              </w:tc>
              <w:tc>
                <w:tcPr>
                  <w:tcW w:w="858" w:type="pct"/>
                  <w:tcBorders>
                    <w:tl2br w:val="nil"/>
                    <w:tr2bl w:val="nil"/>
                  </w:tcBorders>
                  <w:shd w:val="clear" w:color="auto" w:fill="auto"/>
                  <w:vAlign w:val="center"/>
                </w:tcPr>
                <w:p w14:paraId="7F05A5F9">
                  <w:pPr>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2023.03.08</w:t>
                  </w:r>
                </w:p>
              </w:tc>
              <w:tc>
                <w:tcPr>
                  <w:tcW w:w="686" w:type="pct"/>
                  <w:tcBorders>
                    <w:tl2br w:val="nil"/>
                    <w:tr2bl w:val="nil"/>
                  </w:tcBorders>
                  <w:shd w:val="clear" w:color="auto" w:fill="auto"/>
                  <w:vAlign w:val="center"/>
                </w:tcPr>
                <w:p w14:paraId="1135020C">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rPr>
                    <w:t>0.45</w:t>
                  </w:r>
                </w:p>
              </w:tc>
              <w:tc>
                <w:tcPr>
                  <w:tcW w:w="686" w:type="pct"/>
                  <w:tcBorders>
                    <w:tl2br w:val="nil"/>
                    <w:tr2bl w:val="nil"/>
                  </w:tcBorders>
                  <w:shd w:val="clear" w:color="auto" w:fill="auto"/>
                  <w:vAlign w:val="center"/>
                </w:tcPr>
                <w:p w14:paraId="77790BEB">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rPr>
                    <w:t>0.37</w:t>
                  </w:r>
                </w:p>
              </w:tc>
              <w:tc>
                <w:tcPr>
                  <w:tcW w:w="686" w:type="pct"/>
                  <w:tcBorders>
                    <w:tl2br w:val="nil"/>
                    <w:tr2bl w:val="nil"/>
                  </w:tcBorders>
                  <w:shd w:val="clear" w:color="auto" w:fill="auto"/>
                  <w:vAlign w:val="center"/>
                </w:tcPr>
                <w:p w14:paraId="0EF5AF0A">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rPr>
                    <w:t>0.41</w:t>
                  </w:r>
                </w:p>
              </w:tc>
              <w:tc>
                <w:tcPr>
                  <w:tcW w:w="686" w:type="pct"/>
                  <w:tcBorders>
                    <w:tl2br w:val="nil"/>
                    <w:tr2bl w:val="nil"/>
                  </w:tcBorders>
                  <w:shd w:val="clear" w:color="auto" w:fill="auto"/>
                  <w:vAlign w:val="center"/>
                </w:tcPr>
                <w:p w14:paraId="4BD71DA6">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rPr>
                    <w:t>0.52</w:t>
                  </w:r>
                </w:p>
              </w:tc>
            </w:tr>
            <w:tr w14:paraId="42134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pct"/>
                  <w:vMerge w:val="continue"/>
                  <w:tcBorders>
                    <w:tl2br w:val="nil"/>
                    <w:tr2bl w:val="nil"/>
                  </w:tcBorders>
                  <w:vAlign w:val="center"/>
                </w:tcPr>
                <w:p w14:paraId="1FE769B0">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color="auto"/>
                    </w:rPr>
                  </w:pPr>
                </w:p>
              </w:tc>
              <w:tc>
                <w:tcPr>
                  <w:tcW w:w="785" w:type="pct"/>
                  <w:vMerge w:val="continue"/>
                  <w:tcBorders>
                    <w:tl2br w:val="nil"/>
                    <w:tr2bl w:val="nil"/>
                  </w:tcBorders>
                  <w:vAlign w:val="center"/>
                </w:tcPr>
                <w:p w14:paraId="1DD3888D">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color="auto"/>
                    </w:rPr>
                  </w:pPr>
                </w:p>
              </w:tc>
              <w:tc>
                <w:tcPr>
                  <w:tcW w:w="858" w:type="pct"/>
                  <w:tcBorders>
                    <w:tl2br w:val="nil"/>
                    <w:tr2bl w:val="nil"/>
                  </w:tcBorders>
                  <w:vAlign w:val="center"/>
                </w:tcPr>
                <w:p w14:paraId="2AA15A38">
                  <w:pPr>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2023.03.09</w:t>
                  </w:r>
                </w:p>
              </w:tc>
              <w:tc>
                <w:tcPr>
                  <w:tcW w:w="686" w:type="pct"/>
                  <w:tcBorders>
                    <w:tl2br w:val="nil"/>
                    <w:tr2bl w:val="nil"/>
                  </w:tcBorders>
                  <w:shd w:val="clear" w:color="auto" w:fill="auto"/>
                  <w:vAlign w:val="center"/>
                </w:tcPr>
                <w:p w14:paraId="465C788E">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rPr>
                    <w:t>0.64</w:t>
                  </w:r>
                </w:p>
              </w:tc>
              <w:tc>
                <w:tcPr>
                  <w:tcW w:w="686" w:type="pct"/>
                  <w:tcBorders>
                    <w:tl2br w:val="nil"/>
                    <w:tr2bl w:val="nil"/>
                  </w:tcBorders>
                  <w:shd w:val="clear" w:color="auto" w:fill="auto"/>
                  <w:vAlign w:val="center"/>
                </w:tcPr>
                <w:p w14:paraId="23612E82">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rPr>
                    <w:t>0.53</w:t>
                  </w:r>
                </w:p>
              </w:tc>
              <w:tc>
                <w:tcPr>
                  <w:tcW w:w="686" w:type="pct"/>
                  <w:tcBorders>
                    <w:tl2br w:val="nil"/>
                    <w:tr2bl w:val="nil"/>
                  </w:tcBorders>
                  <w:shd w:val="clear" w:color="auto" w:fill="auto"/>
                  <w:vAlign w:val="center"/>
                </w:tcPr>
                <w:p w14:paraId="62D9E0C6">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rPr>
                    <w:t>0.61</w:t>
                  </w:r>
                </w:p>
              </w:tc>
              <w:tc>
                <w:tcPr>
                  <w:tcW w:w="686" w:type="pct"/>
                  <w:tcBorders>
                    <w:tl2br w:val="nil"/>
                    <w:tr2bl w:val="nil"/>
                  </w:tcBorders>
                  <w:shd w:val="clear" w:color="auto" w:fill="auto"/>
                  <w:vAlign w:val="center"/>
                </w:tcPr>
                <w:p w14:paraId="6D905BF2">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rPr>
                    <w:t>0.58</w:t>
                  </w:r>
                </w:p>
              </w:tc>
            </w:tr>
            <w:tr w14:paraId="49E38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pct"/>
                  <w:vMerge w:val="continue"/>
                  <w:tcBorders>
                    <w:tl2br w:val="nil"/>
                    <w:tr2bl w:val="nil"/>
                  </w:tcBorders>
                  <w:vAlign w:val="center"/>
                </w:tcPr>
                <w:p w14:paraId="10C29802">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color="auto"/>
                    </w:rPr>
                  </w:pPr>
                </w:p>
              </w:tc>
              <w:tc>
                <w:tcPr>
                  <w:tcW w:w="785" w:type="pct"/>
                  <w:vMerge w:val="continue"/>
                  <w:tcBorders>
                    <w:tl2br w:val="nil"/>
                    <w:tr2bl w:val="nil"/>
                  </w:tcBorders>
                  <w:vAlign w:val="center"/>
                </w:tcPr>
                <w:p w14:paraId="2C7919F6">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color="auto"/>
                    </w:rPr>
                  </w:pPr>
                </w:p>
              </w:tc>
              <w:tc>
                <w:tcPr>
                  <w:tcW w:w="858" w:type="pct"/>
                  <w:tcBorders>
                    <w:tl2br w:val="nil"/>
                    <w:tr2bl w:val="nil"/>
                  </w:tcBorders>
                  <w:vAlign w:val="center"/>
                </w:tcPr>
                <w:p w14:paraId="36FAED01">
                  <w:pPr>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2023.03.10</w:t>
                  </w:r>
                </w:p>
              </w:tc>
              <w:tc>
                <w:tcPr>
                  <w:tcW w:w="686" w:type="pct"/>
                  <w:tcBorders>
                    <w:tl2br w:val="nil"/>
                    <w:tr2bl w:val="nil"/>
                  </w:tcBorders>
                  <w:shd w:val="clear" w:color="auto" w:fill="auto"/>
                  <w:vAlign w:val="center"/>
                </w:tcPr>
                <w:p w14:paraId="4E090499">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rPr>
                    <w:t>0.49</w:t>
                  </w:r>
                </w:p>
              </w:tc>
              <w:tc>
                <w:tcPr>
                  <w:tcW w:w="686" w:type="pct"/>
                  <w:tcBorders>
                    <w:tl2br w:val="nil"/>
                    <w:tr2bl w:val="nil"/>
                  </w:tcBorders>
                  <w:shd w:val="clear" w:color="auto" w:fill="auto"/>
                  <w:vAlign w:val="center"/>
                </w:tcPr>
                <w:p w14:paraId="7384C353">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rPr>
                    <w:t>0.41</w:t>
                  </w:r>
                </w:p>
              </w:tc>
              <w:tc>
                <w:tcPr>
                  <w:tcW w:w="686" w:type="pct"/>
                  <w:tcBorders>
                    <w:tl2br w:val="nil"/>
                    <w:tr2bl w:val="nil"/>
                  </w:tcBorders>
                  <w:shd w:val="clear" w:color="auto" w:fill="auto"/>
                  <w:vAlign w:val="center"/>
                </w:tcPr>
                <w:p w14:paraId="4C4F6470">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rPr>
                    <w:t>0.57</w:t>
                  </w:r>
                </w:p>
              </w:tc>
              <w:tc>
                <w:tcPr>
                  <w:tcW w:w="686" w:type="pct"/>
                  <w:tcBorders>
                    <w:tl2br w:val="nil"/>
                    <w:tr2bl w:val="nil"/>
                  </w:tcBorders>
                  <w:shd w:val="clear" w:color="auto" w:fill="auto"/>
                  <w:vAlign w:val="center"/>
                </w:tcPr>
                <w:p w14:paraId="383E7CFC">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rPr>
                    <w:t>0.50</w:t>
                  </w:r>
                </w:p>
              </w:tc>
            </w:tr>
            <w:tr w14:paraId="49EA1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pct"/>
                  <w:vMerge w:val="continue"/>
                  <w:tcBorders>
                    <w:tl2br w:val="nil"/>
                    <w:tr2bl w:val="nil"/>
                  </w:tcBorders>
                  <w:vAlign w:val="center"/>
                </w:tcPr>
                <w:p w14:paraId="34E2B68A">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color="auto"/>
                    </w:rPr>
                  </w:pPr>
                </w:p>
              </w:tc>
              <w:tc>
                <w:tcPr>
                  <w:tcW w:w="785" w:type="pct"/>
                  <w:vMerge w:val="continue"/>
                  <w:tcBorders>
                    <w:tl2br w:val="nil"/>
                    <w:tr2bl w:val="nil"/>
                  </w:tcBorders>
                  <w:vAlign w:val="center"/>
                </w:tcPr>
                <w:p w14:paraId="74E667C8">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color="auto"/>
                    </w:rPr>
                  </w:pPr>
                </w:p>
              </w:tc>
              <w:tc>
                <w:tcPr>
                  <w:tcW w:w="858" w:type="pct"/>
                  <w:tcBorders>
                    <w:tl2br w:val="nil"/>
                    <w:tr2bl w:val="nil"/>
                  </w:tcBorders>
                  <w:shd w:val="clear" w:color="auto" w:fill="auto"/>
                  <w:vAlign w:val="center"/>
                </w:tcPr>
                <w:p w14:paraId="7B26AF1A">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rPr>
                    <w:t>2023</w:t>
                  </w:r>
                  <w:r>
                    <w:rPr>
                      <w:rFonts w:ascii="Times New Roman" w:hAnsi="Times New Roman" w:eastAsia="宋体" w:cs="Times New Roman"/>
                      <w:color w:val="auto"/>
                      <w:kern w:val="2"/>
                      <w:sz w:val="21"/>
                      <w:szCs w:val="21"/>
                      <w:u w:val="none" w:color="auto"/>
                    </w:rPr>
                    <w:t>.</w:t>
                  </w:r>
                  <w:r>
                    <w:rPr>
                      <w:rFonts w:hint="eastAsia" w:ascii="Times New Roman" w:hAnsi="Times New Roman" w:eastAsia="宋体" w:cs="Times New Roman"/>
                      <w:color w:val="auto"/>
                      <w:kern w:val="2"/>
                      <w:sz w:val="21"/>
                      <w:szCs w:val="21"/>
                      <w:u w:val="none" w:color="auto"/>
                    </w:rPr>
                    <w:t>03.11</w:t>
                  </w:r>
                </w:p>
              </w:tc>
              <w:tc>
                <w:tcPr>
                  <w:tcW w:w="686" w:type="pct"/>
                  <w:tcBorders>
                    <w:tl2br w:val="nil"/>
                    <w:tr2bl w:val="nil"/>
                  </w:tcBorders>
                  <w:shd w:val="clear" w:color="auto" w:fill="auto"/>
                  <w:vAlign w:val="center"/>
                </w:tcPr>
                <w:p w14:paraId="11900BAF">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rPr>
                    <w:t>0.62</w:t>
                  </w:r>
                </w:p>
              </w:tc>
              <w:tc>
                <w:tcPr>
                  <w:tcW w:w="686" w:type="pct"/>
                  <w:tcBorders>
                    <w:tl2br w:val="nil"/>
                    <w:tr2bl w:val="nil"/>
                  </w:tcBorders>
                  <w:shd w:val="clear" w:color="auto" w:fill="auto"/>
                  <w:vAlign w:val="center"/>
                </w:tcPr>
                <w:p w14:paraId="719187E4">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rPr>
                    <w:t>0.49</w:t>
                  </w:r>
                </w:p>
              </w:tc>
              <w:tc>
                <w:tcPr>
                  <w:tcW w:w="686" w:type="pct"/>
                  <w:tcBorders>
                    <w:tl2br w:val="nil"/>
                    <w:tr2bl w:val="nil"/>
                  </w:tcBorders>
                  <w:shd w:val="clear" w:color="auto" w:fill="auto"/>
                  <w:vAlign w:val="center"/>
                </w:tcPr>
                <w:p w14:paraId="57FB8B2B">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rPr>
                    <w:t>0.45</w:t>
                  </w:r>
                </w:p>
              </w:tc>
              <w:tc>
                <w:tcPr>
                  <w:tcW w:w="686" w:type="pct"/>
                  <w:tcBorders>
                    <w:tl2br w:val="nil"/>
                    <w:tr2bl w:val="nil"/>
                  </w:tcBorders>
                  <w:shd w:val="clear" w:color="auto" w:fill="auto"/>
                  <w:vAlign w:val="center"/>
                </w:tcPr>
                <w:p w14:paraId="404D79E3">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rPr>
                    <w:t>0.50</w:t>
                  </w:r>
                </w:p>
              </w:tc>
            </w:tr>
            <w:tr w14:paraId="4FAEF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pct"/>
                  <w:vMerge w:val="continue"/>
                  <w:tcBorders>
                    <w:tl2br w:val="nil"/>
                    <w:tr2bl w:val="nil"/>
                  </w:tcBorders>
                  <w:vAlign w:val="center"/>
                </w:tcPr>
                <w:p w14:paraId="1216A5DB">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color="auto"/>
                    </w:rPr>
                  </w:pPr>
                </w:p>
              </w:tc>
              <w:tc>
                <w:tcPr>
                  <w:tcW w:w="785" w:type="pct"/>
                  <w:vMerge w:val="continue"/>
                  <w:tcBorders>
                    <w:tl2br w:val="nil"/>
                    <w:tr2bl w:val="nil"/>
                  </w:tcBorders>
                  <w:vAlign w:val="center"/>
                </w:tcPr>
                <w:p w14:paraId="5F678E3E">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color="auto"/>
                    </w:rPr>
                  </w:pPr>
                </w:p>
              </w:tc>
              <w:tc>
                <w:tcPr>
                  <w:tcW w:w="858" w:type="pct"/>
                  <w:tcBorders>
                    <w:tl2br w:val="nil"/>
                    <w:tr2bl w:val="nil"/>
                  </w:tcBorders>
                  <w:vAlign w:val="center"/>
                </w:tcPr>
                <w:p w14:paraId="668C35F9">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color="auto"/>
                    </w:rPr>
                  </w:pPr>
                  <w:r>
                    <w:rPr>
                      <w:rFonts w:hint="eastAsia" w:ascii="Times New Roman" w:hAnsi="Times New Roman" w:eastAsia="宋体" w:cs="Times New Roman"/>
                      <w:color w:val="auto"/>
                      <w:kern w:val="2"/>
                      <w:sz w:val="21"/>
                      <w:szCs w:val="21"/>
                      <w:u w:val="none" w:color="auto"/>
                    </w:rPr>
                    <w:t>2023</w:t>
                  </w:r>
                  <w:r>
                    <w:rPr>
                      <w:rFonts w:ascii="Times New Roman" w:hAnsi="Times New Roman" w:eastAsia="宋体" w:cs="Times New Roman"/>
                      <w:color w:val="auto"/>
                      <w:kern w:val="2"/>
                      <w:sz w:val="21"/>
                      <w:szCs w:val="21"/>
                      <w:u w:val="none" w:color="auto"/>
                    </w:rPr>
                    <w:t>.</w:t>
                  </w:r>
                  <w:r>
                    <w:rPr>
                      <w:rFonts w:hint="eastAsia" w:ascii="Times New Roman" w:hAnsi="Times New Roman" w:eastAsia="宋体" w:cs="Times New Roman"/>
                      <w:color w:val="auto"/>
                      <w:kern w:val="2"/>
                      <w:sz w:val="21"/>
                      <w:szCs w:val="21"/>
                      <w:u w:val="none" w:color="auto"/>
                    </w:rPr>
                    <w:t>03.12</w:t>
                  </w:r>
                </w:p>
              </w:tc>
              <w:tc>
                <w:tcPr>
                  <w:tcW w:w="686" w:type="pct"/>
                  <w:tcBorders>
                    <w:tl2br w:val="nil"/>
                    <w:tr2bl w:val="nil"/>
                  </w:tcBorders>
                  <w:shd w:val="clear" w:color="auto" w:fill="auto"/>
                  <w:vAlign w:val="center"/>
                </w:tcPr>
                <w:p w14:paraId="3407E1A1">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rPr>
                    <w:t>0.43</w:t>
                  </w:r>
                </w:p>
              </w:tc>
              <w:tc>
                <w:tcPr>
                  <w:tcW w:w="686" w:type="pct"/>
                  <w:tcBorders>
                    <w:tl2br w:val="nil"/>
                    <w:tr2bl w:val="nil"/>
                  </w:tcBorders>
                  <w:shd w:val="clear" w:color="auto" w:fill="auto"/>
                  <w:vAlign w:val="center"/>
                </w:tcPr>
                <w:p w14:paraId="2B6C1E10">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rPr>
                    <w:t>0.47</w:t>
                  </w:r>
                </w:p>
              </w:tc>
              <w:tc>
                <w:tcPr>
                  <w:tcW w:w="686" w:type="pct"/>
                  <w:tcBorders>
                    <w:tl2br w:val="nil"/>
                    <w:tr2bl w:val="nil"/>
                  </w:tcBorders>
                  <w:shd w:val="clear" w:color="auto" w:fill="auto"/>
                  <w:vAlign w:val="center"/>
                </w:tcPr>
                <w:p w14:paraId="2A1EF0DE">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rPr>
                    <w:t>0.54</w:t>
                  </w:r>
                </w:p>
              </w:tc>
              <w:tc>
                <w:tcPr>
                  <w:tcW w:w="686" w:type="pct"/>
                  <w:tcBorders>
                    <w:tl2br w:val="nil"/>
                    <w:tr2bl w:val="nil"/>
                  </w:tcBorders>
                  <w:shd w:val="clear" w:color="auto" w:fill="auto"/>
                  <w:vAlign w:val="center"/>
                </w:tcPr>
                <w:p w14:paraId="2BB0AA58">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rPr>
                    <w:t>0.59</w:t>
                  </w:r>
                </w:p>
              </w:tc>
            </w:tr>
            <w:tr w14:paraId="04606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pct"/>
                  <w:vMerge w:val="continue"/>
                  <w:tcBorders>
                    <w:tl2br w:val="nil"/>
                    <w:tr2bl w:val="nil"/>
                  </w:tcBorders>
                  <w:vAlign w:val="center"/>
                </w:tcPr>
                <w:p w14:paraId="356E094B">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color="auto"/>
                    </w:rPr>
                  </w:pPr>
                </w:p>
              </w:tc>
              <w:tc>
                <w:tcPr>
                  <w:tcW w:w="785" w:type="pct"/>
                  <w:vMerge w:val="continue"/>
                  <w:tcBorders>
                    <w:tl2br w:val="nil"/>
                    <w:tr2bl w:val="nil"/>
                  </w:tcBorders>
                  <w:vAlign w:val="center"/>
                </w:tcPr>
                <w:p w14:paraId="748E70EF">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color="auto"/>
                    </w:rPr>
                  </w:pPr>
                </w:p>
              </w:tc>
              <w:tc>
                <w:tcPr>
                  <w:tcW w:w="858" w:type="pct"/>
                  <w:tcBorders>
                    <w:tl2br w:val="nil"/>
                    <w:tr2bl w:val="nil"/>
                  </w:tcBorders>
                  <w:shd w:val="clear" w:color="auto" w:fill="auto"/>
                  <w:vAlign w:val="center"/>
                </w:tcPr>
                <w:p w14:paraId="7E970A07">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rPr>
                    <w:t>2023</w:t>
                  </w:r>
                  <w:r>
                    <w:rPr>
                      <w:rFonts w:ascii="Times New Roman" w:hAnsi="Times New Roman" w:eastAsia="宋体" w:cs="Times New Roman"/>
                      <w:color w:val="auto"/>
                      <w:kern w:val="2"/>
                      <w:sz w:val="21"/>
                      <w:szCs w:val="21"/>
                      <w:u w:val="none" w:color="auto"/>
                    </w:rPr>
                    <w:t>.</w:t>
                  </w:r>
                  <w:r>
                    <w:rPr>
                      <w:rFonts w:hint="eastAsia" w:ascii="Times New Roman" w:hAnsi="Times New Roman" w:eastAsia="宋体" w:cs="Times New Roman"/>
                      <w:color w:val="auto"/>
                      <w:kern w:val="2"/>
                      <w:sz w:val="21"/>
                      <w:szCs w:val="21"/>
                      <w:u w:val="none" w:color="auto"/>
                    </w:rPr>
                    <w:t>03.13</w:t>
                  </w:r>
                </w:p>
              </w:tc>
              <w:tc>
                <w:tcPr>
                  <w:tcW w:w="686" w:type="pct"/>
                  <w:tcBorders>
                    <w:tl2br w:val="nil"/>
                    <w:tr2bl w:val="nil"/>
                  </w:tcBorders>
                  <w:shd w:val="clear" w:color="auto" w:fill="auto"/>
                  <w:vAlign w:val="center"/>
                </w:tcPr>
                <w:p w14:paraId="6E9FC93C">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rPr>
                    <w:t>0.55</w:t>
                  </w:r>
                </w:p>
              </w:tc>
              <w:tc>
                <w:tcPr>
                  <w:tcW w:w="686" w:type="pct"/>
                  <w:tcBorders>
                    <w:tl2br w:val="nil"/>
                    <w:tr2bl w:val="nil"/>
                  </w:tcBorders>
                  <w:shd w:val="clear" w:color="auto" w:fill="auto"/>
                  <w:vAlign w:val="center"/>
                </w:tcPr>
                <w:p w14:paraId="1F2AAA18">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rPr>
                    <w:t>0.40</w:t>
                  </w:r>
                </w:p>
              </w:tc>
              <w:tc>
                <w:tcPr>
                  <w:tcW w:w="686" w:type="pct"/>
                  <w:tcBorders>
                    <w:tl2br w:val="nil"/>
                    <w:tr2bl w:val="nil"/>
                  </w:tcBorders>
                  <w:shd w:val="clear" w:color="auto" w:fill="auto"/>
                  <w:vAlign w:val="center"/>
                </w:tcPr>
                <w:p w14:paraId="7C275904">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rPr>
                    <w:t>0.49</w:t>
                  </w:r>
                </w:p>
              </w:tc>
              <w:tc>
                <w:tcPr>
                  <w:tcW w:w="686" w:type="pct"/>
                  <w:tcBorders>
                    <w:tl2br w:val="nil"/>
                    <w:tr2bl w:val="nil"/>
                  </w:tcBorders>
                  <w:shd w:val="clear" w:color="auto" w:fill="auto"/>
                  <w:vAlign w:val="center"/>
                </w:tcPr>
                <w:p w14:paraId="7CEC0C95">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rPr>
                    <w:t>0.59</w:t>
                  </w:r>
                </w:p>
              </w:tc>
            </w:tr>
            <w:tr w14:paraId="555C2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pct"/>
                  <w:vMerge w:val="continue"/>
                  <w:tcBorders>
                    <w:tl2br w:val="nil"/>
                    <w:tr2bl w:val="nil"/>
                  </w:tcBorders>
                  <w:vAlign w:val="center"/>
                </w:tcPr>
                <w:p w14:paraId="7EEBC865">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color="auto"/>
                    </w:rPr>
                  </w:pPr>
                </w:p>
              </w:tc>
              <w:tc>
                <w:tcPr>
                  <w:tcW w:w="785" w:type="pct"/>
                  <w:vMerge w:val="continue"/>
                  <w:tcBorders>
                    <w:tl2br w:val="nil"/>
                    <w:tr2bl w:val="nil"/>
                  </w:tcBorders>
                  <w:vAlign w:val="center"/>
                </w:tcPr>
                <w:p w14:paraId="707424E8">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color="auto"/>
                    </w:rPr>
                  </w:pPr>
                </w:p>
              </w:tc>
              <w:tc>
                <w:tcPr>
                  <w:tcW w:w="858" w:type="pct"/>
                  <w:tcBorders>
                    <w:tl2br w:val="nil"/>
                    <w:tr2bl w:val="nil"/>
                  </w:tcBorders>
                  <w:vAlign w:val="center"/>
                </w:tcPr>
                <w:p w14:paraId="4D177CF9">
                  <w:pPr>
                    <w:snapToGrid w:val="0"/>
                    <w:spacing w:line="240" w:lineRule="auto"/>
                    <w:ind w:firstLine="0" w:firstLineChars="0"/>
                    <w:jc w:val="center"/>
                    <w:textAlignment w:val="auto"/>
                    <w:rPr>
                      <w:rFonts w:ascii="Times New Roman" w:hAnsi="Times New Roman" w:eastAsia="宋体" w:cs="Times New Roman"/>
                      <w:color w:val="auto"/>
                      <w:kern w:val="2"/>
                      <w:sz w:val="21"/>
                      <w:szCs w:val="21"/>
                      <w:u w:val="none" w:color="auto"/>
                    </w:rPr>
                  </w:pPr>
                  <w:r>
                    <w:rPr>
                      <w:rFonts w:hint="eastAsia" w:ascii="Times New Roman" w:hAnsi="Times New Roman" w:eastAsia="宋体" w:cs="Times New Roman"/>
                      <w:color w:val="auto"/>
                      <w:kern w:val="2"/>
                      <w:sz w:val="21"/>
                      <w:szCs w:val="21"/>
                      <w:u w:val="none" w:color="auto"/>
                    </w:rPr>
                    <w:t>2023</w:t>
                  </w:r>
                  <w:r>
                    <w:rPr>
                      <w:rFonts w:ascii="Times New Roman" w:hAnsi="Times New Roman" w:eastAsia="宋体" w:cs="Times New Roman"/>
                      <w:color w:val="auto"/>
                      <w:kern w:val="2"/>
                      <w:sz w:val="21"/>
                      <w:szCs w:val="21"/>
                      <w:u w:val="none" w:color="auto"/>
                    </w:rPr>
                    <w:t>.</w:t>
                  </w:r>
                  <w:r>
                    <w:rPr>
                      <w:rFonts w:hint="eastAsia" w:ascii="Times New Roman" w:hAnsi="Times New Roman" w:eastAsia="宋体" w:cs="Times New Roman"/>
                      <w:color w:val="auto"/>
                      <w:kern w:val="2"/>
                      <w:sz w:val="21"/>
                      <w:szCs w:val="21"/>
                      <w:u w:val="none" w:color="auto"/>
                    </w:rPr>
                    <w:t>03.14</w:t>
                  </w:r>
                </w:p>
              </w:tc>
              <w:tc>
                <w:tcPr>
                  <w:tcW w:w="686" w:type="pct"/>
                  <w:tcBorders>
                    <w:tl2br w:val="nil"/>
                    <w:tr2bl w:val="nil"/>
                  </w:tcBorders>
                  <w:shd w:val="clear" w:color="auto" w:fill="auto"/>
                  <w:vAlign w:val="center"/>
                </w:tcPr>
                <w:p w14:paraId="12B0FD0B">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rPr>
                    <w:t>0.41</w:t>
                  </w:r>
                </w:p>
              </w:tc>
              <w:tc>
                <w:tcPr>
                  <w:tcW w:w="686" w:type="pct"/>
                  <w:tcBorders>
                    <w:tl2br w:val="nil"/>
                    <w:tr2bl w:val="nil"/>
                  </w:tcBorders>
                  <w:shd w:val="clear" w:color="auto" w:fill="auto"/>
                  <w:vAlign w:val="center"/>
                </w:tcPr>
                <w:p w14:paraId="0587CF61">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rPr>
                    <w:t>0.47</w:t>
                  </w:r>
                </w:p>
              </w:tc>
              <w:tc>
                <w:tcPr>
                  <w:tcW w:w="686" w:type="pct"/>
                  <w:tcBorders>
                    <w:tl2br w:val="nil"/>
                    <w:tr2bl w:val="nil"/>
                  </w:tcBorders>
                  <w:shd w:val="clear" w:color="auto" w:fill="auto"/>
                  <w:vAlign w:val="center"/>
                </w:tcPr>
                <w:p w14:paraId="64162FC7">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rPr>
                    <w:t>0.40</w:t>
                  </w:r>
                </w:p>
              </w:tc>
              <w:tc>
                <w:tcPr>
                  <w:tcW w:w="686" w:type="pct"/>
                  <w:tcBorders>
                    <w:right w:val="single" w:color="000000" w:sz="4" w:space="0"/>
                    <w:tl2br w:val="nil"/>
                    <w:tr2bl w:val="nil"/>
                  </w:tcBorders>
                  <w:shd w:val="clear" w:color="auto" w:fill="auto"/>
                  <w:vAlign w:val="center"/>
                </w:tcPr>
                <w:p w14:paraId="71E0642A">
                  <w:pPr>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rPr>
                    <w:t>0.50</w:t>
                  </w:r>
                </w:p>
              </w:tc>
            </w:tr>
          </w:tbl>
          <w:p w14:paraId="6AA14EFD">
            <w:pPr>
              <w:keepNext/>
              <w:keepLines/>
              <w:pageBreakBefore w:val="0"/>
              <w:widowControl w:val="0"/>
              <w:numPr>
                <w:ilvl w:val="0"/>
                <w:numId w:val="0"/>
              </w:numPr>
              <w:kinsoku/>
              <w:wordWrap/>
              <w:overflowPunct/>
              <w:topLinePunct w:val="0"/>
              <w:autoSpaceDE/>
              <w:autoSpaceDN/>
              <w:bidi w:val="0"/>
              <w:adjustRightInd w:val="0"/>
              <w:snapToGrid w:val="0"/>
              <w:spacing w:before="167" w:beforeLines="50" w:line="360" w:lineRule="auto"/>
              <w:ind w:firstLine="480" w:firstLineChars="200"/>
              <w:jc w:val="both"/>
              <w:textAlignment w:val="auto"/>
              <w:outlineLvl w:val="2"/>
              <w:rPr>
                <w:rFonts w:hint="default" w:ascii="Times New Roman" w:hAnsi="Times New Roman" w:cs="Times New Roman" w:eastAsiaTheme="minorEastAsia"/>
                <w:b w:val="0"/>
                <w:bCs w:val="0"/>
                <w:color w:val="auto"/>
                <w:kern w:val="2"/>
                <w:sz w:val="24"/>
                <w:szCs w:val="22"/>
                <w:highlight w:val="none"/>
                <w:u w:val="none" w:color="auto"/>
                <w:lang w:val="en-US" w:eastAsia="zh-CN" w:bidi="ar-SA"/>
              </w:rPr>
            </w:pPr>
            <w:r>
              <w:rPr>
                <w:rFonts w:hint="eastAsia" w:ascii="Times New Roman" w:hAnsi="Times New Roman" w:cs="Times New Roman" w:eastAsiaTheme="minorEastAsia"/>
                <w:b w:val="0"/>
                <w:bCs w:val="0"/>
                <w:color w:val="auto"/>
                <w:kern w:val="2"/>
                <w:sz w:val="24"/>
                <w:szCs w:val="22"/>
                <w:highlight w:val="none"/>
                <w:u w:val="none" w:color="auto"/>
                <w:lang w:val="en-US" w:eastAsia="zh-CN" w:bidi="ar-SA"/>
              </w:rPr>
              <w:t>通过统计结果可见，监测期间，TSP检测结果符合《环境空气质量标准》（GB3095-2012）及其2018年修改单的二级标准，非甲烷总烃检测结果</w:t>
            </w:r>
            <w:r>
              <w:rPr>
                <w:rFonts w:hint="eastAsia" w:cs="Times New Roman" w:eastAsiaTheme="minorEastAsia"/>
                <w:b w:val="0"/>
                <w:bCs w:val="0"/>
                <w:color w:val="auto"/>
                <w:kern w:val="2"/>
                <w:sz w:val="24"/>
                <w:szCs w:val="22"/>
                <w:highlight w:val="none"/>
                <w:u w:val="none" w:color="auto"/>
                <w:lang w:val="en-US" w:eastAsia="zh-CN" w:bidi="ar-SA"/>
              </w:rPr>
              <w:t>满足《环境影响评价技术导则-大气环境HJ2.2-2018》附录D中以TVOC表征的标准值，以及《</w:t>
            </w:r>
            <w:r>
              <w:rPr>
                <w:rFonts w:hint="eastAsia"/>
                <w:color w:val="auto"/>
                <w:u w:val="none" w:color="auto"/>
                <w:lang w:val="en-US" w:eastAsia="zh-CN"/>
              </w:rPr>
              <w:t>大气污染物综合排放标准详解》中的2.0mg/m</w:t>
            </w:r>
            <w:r>
              <w:rPr>
                <w:rFonts w:hint="eastAsia"/>
                <w:color w:val="auto"/>
                <w:u w:val="none" w:color="auto"/>
                <w:vertAlign w:val="superscript"/>
                <w:lang w:val="en-US" w:eastAsia="zh-CN"/>
              </w:rPr>
              <w:t>3</w:t>
            </w:r>
            <w:r>
              <w:rPr>
                <w:rFonts w:hint="eastAsia"/>
                <w:color w:val="auto"/>
                <w:u w:val="none" w:color="auto"/>
                <w:vertAlign w:val="baseline"/>
                <w:lang w:val="en-US" w:eastAsia="zh-CN"/>
              </w:rPr>
              <w:t>的参考标准限值</w:t>
            </w:r>
            <w:r>
              <w:rPr>
                <w:rFonts w:hint="eastAsia" w:ascii="Times New Roman" w:hAnsi="Times New Roman" w:cs="Times New Roman" w:eastAsiaTheme="minorEastAsia"/>
                <w:b w:val="0"/>
                <w:bCs w:val="0"/>
                <w:color w:val="auto"/>
                <w:kern w:val="2"/>
                <w:sz w:val="24"/>
                <w:szCs w:val="22"/>
                <w:highlight w:val="none"/>
                <w:u w:val="none" w:color="auto"/>
                <w:lang w:val="en-US" w:eastAsia="zh-CN" w:bidi="ar-SA"/>
              </w:rPr>
              <w:t>。</w:t>
            </w:r>
          </w:p>
          <w:p w14:paraId="58DBAE33">
            <w:pPr>
              <w:bidi w:val="0"/>
              <w:rPr>
                <w:rFonts w:hint="eastAsia"/>
                <w:color w:val="auto"/>
                <w:u w:val="none" w:color="auto"/>
              </w:rPr>
            </w:pPr>
            <w:r>
              <w:rPr>
                <w:rFonts w:hint="eastAsia"/>
                <w:color w:val="auto"/>
                <w:u w:val="none" w:color="auto"/>
              </w:rPr>
              <w:t>2、声环境质量现状</w:t>
            </w:r>
          </w:p>
          <w:p w14:paraId="243F28C7">
            <w:pPr>
              <w:bidi w:val="0"/>
              <w:rPr>
                <w:rFonts w:hint="eastAsia"/>
                <w:color w:val="auto"/>
                <w:u w:val="none" w:color="auto"/>
              </w:rPr>
            </w:pPr>
            <w:r>
              <w:rPr>
                <w:rFonts w:hint="eastAsia"/>
                <w:color w:val="auto"/>
                <w:u w:val="none" w:color="auto"/>
                <w:lang w:eastAsia="zh-CN"/>
              </w:rPr>
              <w:t>根据《建设项目环境影响报告表编制技术指南（污染影响类）》，</w:t>
            </w:r>
            <w:r>
              <w:rPr>
                <w:rFonts w:hint="eastAsia"/>
                <w:color w:val="auto"/>
                <w:u w:val="none" w:color="auto"/>
              </w:rPr>
              <w:t>厂界外周边50米范围内存在声环境保护目标的建设项目，应监测保护目标声环境质量现状并评价达标情况</w:t>
            </w:r>
            <w:r>
              <w:rPr>
                <w:rFonts w:hint="eastAsia"/>
                <w:color w:val="auto"/>
                <w:u w:val="none" w:color="auto"/>
                <w:lang w:eastAsia="zh-CN"/>
              </w:rPr>
              <w:t>。本</w:t>
            </w:r>
            <w:r>
              <w:rPr>
                <w:rFonts w:hint="eastAsia"/>
                <w:color w:val="auto"/>
                <w:u w:val="none" w:color="auto"/>
              </w:rPr>
              <w:t>项目位于工业园，</w:t>
            </w:r>
            <w:r>
              <w:rPr>
                <w:rFonts w:hint="eastAsia"/>
                <w:color w:val="auto"/>
                <w:u w:val="none" w:color="auto"/>
                <w:lang w:eastAsia="zh-CN"/>
              </w:rPr>
              <w:t>且</w:t>
            </w:r>
            <w:r>
              <w:rPr>
                <w:rFonts w:hint="eastAsia"/>
                <w:color w:val="auto"/>
                <w:u w:val="none" w:color="auto"/>
              </w:rPr>
              <w:t>厂区外50m范围内无居民区等声环境保护目标</w:t>
            </w:r>
            <w:r>
              <w:rPr>
                <w:rFonts w:hint="eastAsia"/>
                <w:color w:val="auto"/>
                <w:u w:val="none" w:color="auto"/>
                <w:lang w:eastAsia="zh-CN"/>
              </w:rPr>
              <w:t>，本次无声环境质量现状监测</w:t>
            </w:r>
            <w:r>
              <w:rPr>
                <w:rFonts w:hint="eastAsia"/>
                <w:color w:val="auto"/>
                <w:u w:val="none" w:color="auto"/>
              </w:rPr>
              <w:t>。</w:t>
            </w:r>
          </w:p>
          <w:p w14:paraId="53CEF5DC">
            <w:pPr>
              <w:bidi w:val="0"/>
              <w:rPr>
                <w:rFonts w:hint="eastAsia"/>
                <w:color w:val="auto"/>
                <w:u w:val="none" w:color="auto"/>
              </w:rPr>
            </w:pPr>
            <w:r>
              <w:rPr>
                <w:rFonts w:hint="eastAsia"/>
                <w:color w:val="auto"/>
                <w:u w:val="none" w:color="auto"/>
              </w:rPr>
              <w:t>3、地表水环境质量现状</w:t>
            </w:r>
          </w:p>
          <w:p w14:paraId="3E6CE0F0">
            <w:pPr>
              <w:bidi w:val="0"/>
              <w:rPr>
                <w:rFonts w:hint="eastAsia"/>
                <w:color w:val="auto"/>
                <w:u w:val="none" w:color="auto"/>
                <w:lang w:eastAsia="zh-CN"/>
              </w:rPr>
            </w:pPr>
            <w:r>
              <w:rPr>
                <w:rFonts w:hint="eastAsia"/>
                <w:color w:val="auto"/>
                <w:u w:val="none" w:color="auto"/>
                <w:lang w:eastAsia="zh-CN"/>
              </w:rPr>
              <w:t>根据《建设项目环境影响报告表编制技术指南（污染影响类）》，地表水环境质量现状引用与建设项目距离近的有效数据，包括近3年的规划环境影响评价的监测数据，所在流域控制单元内国家、地方控制断面监测数据，生态环境主管部门发布的水环境质量数据或地表水达标情况的结论。</w:t>
            </w:r>
          </w:p>
          <w:p w14:paraId="459F1158">
            <w:pPr>
              <w:bidi w:val="0"/>
              <w:rPr>
                <w:rFonts w:hint="default"/>
                <w:color w:val="auto"/>
                <w:u w:val="none" w:color="auto"/>
              </w:rPr>
            </w:pPr>
            <w:r>
              <w:rPr>
                <w:rFonts w:hint="default"/>
                <w:color w:val="auto"/>
                <w:u w:val="none" w:color="auto"/>
              </w:rPr>
              <w:t>为了解项目附近地表水水质现状，本次评价地表水环境质量监测数据引用于永州市生态环境局发布的《关于2023年12月份全市环境质量状况的通报》</w:t>
            </w:r>
            <w:r>
              <w:rPr>
                <w:rFonts w:hint="default"/>
                <w:color w:val="auto"/>
                <w:u w:val="none" w:color="auto"/>
                <w:lang w:eastAsia="zh-CN"/>
              </w:rPr>
              <w:t>（</w:t>
            </w:r>
            <w:r>
              <w:rPr>
                <w:rFonts w:hint="default"/>
                <w:color w:val="auto"/>
                <w:u w:val="none" w:color="auto"/>
                <w:lang w:val="en-US" w:eastAsia="zh-CN"/>
              </w:rPr>
              <w:t>永环函[2024]4号</w:t>
            </w:r>
            <w:r>
              <w:rPr>
                <w:rFonts w:hint="default"/>
                <w:color w:val="auto"/>
                <w:u w:val="none" w:color="auto"/>
                <w:lang w:eastAsia="zh-CN"/>
              </w:rPr>
              <w:t>）</w:t>
            </w:r>
            <w:r>
              <w:rPr>
                <w:rFonts w:hint="default"/>
                <w:color w:val="auto"/>
                <w:u w:val="none" w:color="auto"/>
                <w:lang w:val="en-US" w:eastAsia="zh-CN"/>
              </w:rPr>
              <w:t>中</w:t>
            </w:r>
            <w:r>
              <w:rPr>
                <w:rFonts w:hint="default"/>
                <w:color w:val="auto"/>
                <w:u w:val="none" w:color="auto"/>
              </w:rPr>
              <w:t>统计的环境监测结果，新田河大历县村监测断面与本项目</w:t>
            </w:r>
            <w:r>
              <w:rPr>
                <w:rFonts w:hint="default"/>
                <w:color w:val="auto"/>
                <w:u w:val="none" w:color="auto"/>
                <w:lang w:val="en-US" w:eastAsia="zh-CN"/>
              </w:rPr>
              <w:t>直线</w:t>
            </w:r>
            <w:r>
              <w:rPr>
                <w:rFonts w:hint="default"/>
                <w:color w:val="auto"/>
                <w:u w:val="none" w:color="auto"/>
              </w:rPr>
              <w:t>距离约</w:t>
            </w:r>
            <w:r>
              <w:rPr>
                <w:rFonts w:hint="default"/>
                <w:color w:val="auto"/>
                <w:u w:val="none" w:color="auto"/>
                <w:lang w:val="en-US" w:eastAsia="zh-CN"/>
              </w:rPr>
              <w:t>2.</w:t>
            </w:r>
            <w:r>
              <w:rPr>
                <w:rFonts w:hint="eastAsia"/>
                <w:color w:val="auto"/>
                <w:u w:val="none" w:color="auto"/>
                <w:lang w:val="en-US" w:eastAsia="zh-CN"/>
              </w:rPr>
              <w:t>74</w:t>
            </w:r>
            <w:r>
              <w:rPr>
                <w:rFonts w:hint="default"/>
                <w:color w:val="auto"/>
                <w:u w:val="none" w:color="auto"/>
              </w:rPr>
              <w:t>km，且该监测点位于本项目下游，能有效代表本项目周边水环境质量现状。具体水质情况详见下图。</w:t>
            </w:r>
          </w:p>
          <w:p w14:paraId="086C4D0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firstLine="0" w:firstLineChars="0"/>
              <w:jc w:val="center"/>
              <w:rPr>
                <w:rFonts w:hint="default" w:ascii="Times New Roman" w:hAnsi="Times New Roman" w:cs="Times New Roman" w:eastAsiaTheme="minorEastAsia"/>
                <w:color w:val="auto"/>
                <w:kern w:val="0"/>
                <w:sz w:val="24"/>
                <w:szCs w:val="24"/>
                <w:highlight w:val="none"/>
                <w:u w:val="none" w:color="auto"/>
              </w:rPr>
            </w:pPr>
            <w:r>
              <w:rPr>
                <w:rFonts w:hint="default" w:ascii="Times New Roman" w:hAnsi="Times New Roman" w:cs="Times New Roman" w:eastAsiaTheme="minorEastAsia"/>
                <w:color w:val="auto"/>
                <w:kern w:val="0"/>
                <w:sz w:val="24"/>
                <w:szCs w:val="24"/>
                <w:highlight w:val="none"/>
                <w:u w:val="none" w:color="auto"/>
              </w:rPr>
              <w:drawing>
                <wp:inline distT="0" distB="0" distL="114300" distR="114300">
                  <wp:extent cx="5338445" cy="2026920"/>
                  <wp:effectExtent l="0" t="0" r="14605" b="1143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3"/>
                          <a:stretch>
                            <a:fillRect/>
                          </a:stretch>
                        </pic:blipFill>
                        <pic:spPr>
                          <a:xfrm>
                            <a:off x="0" y="0"/>
                            <a:ext cx="5338445" cy="2026920"/>
                          </a:xfrm>
                          <a:prstGeom prst="rect">
                            <a:avLst/>
                          </a:prstGeom>
                          <a:noFill/>
                          <a:ln>
                            <a:noFill/>
                          </a:ln>
                        </pic:spPr>
                      </pic:pic>
                    </a:graphicData>
                  </a:graphic>
                </wp:inline>
              </w:drawing>
            </w:r>
          </w:p>
          <w:p w14:paraId="0A9392C5">
            <w:pPr>
              <w:spacing w:line="360" w:lineRule="auto"/>
              <w:ind w:firstLine="0" w:firstLineChars="0"/>
              <w:jc w:val="center"/>
              <w:rPr>
                <w:rFonts w:hint="default" w:ascii="Times New Roman" w:hAnsi="Times New Roman" w:cs="Times New Roman" w:eastAsiaTheme="minorEastAsia"/>
                <w:color w:val="auto"/>
                <w:kern w:val="0"/>
                <w:sz w:val="24"/>
                <w:szCs w:val="24"/>
                <w:highlight w:val="none"/>
                <w:u w:val="none" w:color="auto"/>
              </w:rPr>
            </w:pPr>
            <w:r>
              <w:rPr>
                <w:rFonts w:hint="eastAsia" w:cs="Times New Roman"/>
                <w:b/>
                <w:bCs/>
                <w:color w:val="auto"/>
                <w:sz w:val="21"/>
                <w:u w:val="none" w:color="auto"/>
                <w:lang w:val="en-US" w:eastAsia="zh-CN"/>
              </w:rPr>
              <w:t>图3-1</w:t>
            </w:r>
            <w:r>
              <w:rPr>
                <w:rFonts w:ascii="Times New Roman" w:hAnsi="Times New Roman" w:eastAsia="宋体" w:cs="Times New Roman"/>
                <w:b/>
                <w:bCs/>
                <w:color w:val="auto"/>
                <w:sz w:val="21"/>
                <w:u w:val="none" w:color="auto"/>
              </w:rPr>
              <w:t xml:space="preserve">  </w:t>
            </w:r>
            <w:r>
              <w:rPr>
                <w:rFonts w:hint="eastAsia" w:cs="Times New Roman"/>
                <w:b/>
                <w:bCs/>
                <w:color w:val="auto"/>
                <w:sz w:val="21"/>
                <w:u w:val="none" w:color="auto"/>
                <w:lang w:val="en-US" w:eastAsia="zh-CN"/>
              </w:rPr>
              <w:t>地表水环境质量现状图</w:t>
            </w:r>
          </w:p>
          <w:p w14:paraId="209A7667">
            <w:pPr>
              <w:bidi w:val="0"/>
              <w:rPr>
                <w:rFonts w:hint="eastAsia"/>
                <w:color w:val="auto"/>
                <w:u w:val="none" w:color="auto"/>
              </w:rPr>
            </w:pPr>
            <w:r>
              <w:rPr>
                <w:rFonts w:hint="eastAsia"/>
                <w:color w:val="auto"/>
                <w:u w:val="none" w:color="auto"/>
              </w:rPr>
              <w:t>4、地下水、土壤现状调查</w:t>
            </w:r>
          </w:p>
          <w:p w14:paraId="7833C98E">
            <w:pPr>
              <w:bidi w:val="0"/>
              <w:rPr>
                <w:rFonts w:hint="eastAsia"/>
                <w:color w:val="auto"/>
                <w:u w:val="none" w:color="auto"/>
              </w:rPr>
            </w:pPr>
            <w:r>
              <w:rPr>
                <w:rFonts w:hint="eastAsia"/>
                <w:color w:val="auto"/>
                <w:u w:val="none" w:color="auto"/>
              </w:rPr>
              <w:t>根据《建设项目环境影响报告表编制技术指南（污染影响类）》，原则上不开展地下水环境质量现状调查，建设项目存在土壤、地下水环境污染途径的，应结合污染源、保</w:t>
            </w:r>
            <w:r>
              <w:rPr>
                <w:rFonts w:hint="eastAsia" w:ascii="Times New Roman" w:hAnsi="Times New Roman" w:eastAsia="宋体" w:cs="Times New Roman"/>
                <w:color w:val="auto"/>
                <w:u w:val="none" w:color="auto"/>
              </w:rPr>
              <w:t>护目标分布情况开展现状调查以留作背景值。本项目厂区生产车间地面全部进行硬化，</w:t>
            </w:r>
            <w:r>
              <w:rPr>
                <w:rFonts w:hint="eastAsia" w:cs="Times New Roman"/>
                <w:color w:val="auto"/>
                <w:u w:val="none" w:color="auto"/>
                <w:lang w:eastAsia="zh-CN"/>
              </w:rPr>
              <w:t>原料搅拌等产污生产车间为密闭式，污染物无向外扩散途径，</w:t>
            </w:r>
            <w:r>
              <w:rPr>
                <w:rFonts w:hint="eastAsia" w:ascii="Times New Roman" w:hAnsi="Times New Roman" w:eastAsia="宋体" w:cs="Times New Roman"/>
                <w:color w:val="auto"/>
                <w:u w:val="none" w:color="auto"/>
              </w:rPr>
              <w:t>化学品原辅材料仓、危废暂存间等</w:t>
            </w:r>
            <w:r>
              <w:rPr>
                <w:rFonts w:hint="eastAsia" w:cs="Times New Roman"/>
                <w:color w:val="auto"/>
                <w:u w:val="none" w:color="auto"/>
                <w:lang w:eastAsia="zh-CN"/>
              </w:rPr>
              <w:t>采取了</w:t>
            </w:r>
            <w:r>
              <w:rPr>
                <w:rFonts w:hint="eastAsia" w:ascii="Times New Roman" w:hAnsi="Times New Roman" w:eastAsia="宋体" w:cs="Times New Roman"/>
                <w:color w:val="auto"/>
                <w:u w:val="none" w:color="auto"/>
              </w:rPr>
              <w:t>防渗防腐</w:t>
            </w:r>
            <w:r>
              <w:rPr>
                <w:rFonts w:hint="eastAsia" w:cs="Times New Roman"/>
                <w:color w:val="auto"/>
                <w:u w:val="none" w:color="auto"/>
                <w:lang w:eastAsia="zh-CN"/>
              </w:rPr>
              <w:t>措施</w:t>
            </w:r>
            <w:r>
              <w:rPr>
                <w:rFonts w:hint="eastAsia" w:ascii="Times New Roman" w:hAnsi="Times New Roman" w:eastAsia="宋体" w:cs="Times New Roman"/>
                <w:color w:val="auto"/>
                <w:u w:val="none" w:color="auto"/>
              </w:rPr>
              <w:t>，本项目运营</w:t>
            </w:r>
            <w:r>
              <w:rPr>
                <w:rFonts w:hint="eastAsia" w:cs="Times New Roman"/>
                <w:color w:val="auto"/>
                <w:u w:val="none" w:color="auto"/>
                <w:lang w:eastAsia="zh-CN"/>
              </w:rPr>
              <w:t>期间排放的</w:t>
            </w:r>
            <w:r>
              <w:rPr>
                <w:rFonts w:hint="eastAsia"/>
                <w:color w:val="auto"/>
                <w:u w:val="none" w:color="auto"/>
              </w:rPr>
              <w:t>非甲烷总烃废气</w:t>
            </w:r>
            <w:r>
              <w:rPr>
                <w:rFonts w:hint="eastAsia"/>
                <w:color w:val="auto"/>
                <w:u w:val="none" w:color="auto"/>
                <w:lang w:eastAsia="zh-CN"/>
              </w:rPr>
              <w:t>对地下水和土壤几乎不产生影响，无组织排放的含</w:t>
            </w:r>
            <w:r>
              <w:rPr>
                <w:rFonts w:hint="eastAsia" w:cs="Times New Roman"/>
                <w:color w:val="auto"/>
                <w:u w:val="none" w:color="auto"/>
                <w:lang w:eastAsia="zh-CN"/>
              </w:rPr>
              <w:t>镍</w:t>
            </w:r>
            <w:r>
              <w:rPr>
                <w:rFonts w:hint="eastAsia"/>
                <w:color w:val="auto"/>
                <w:u w:val="none" w:color="auto"/>
                <w:lang w:eastAsia="zh-CN"/>
              </w:rPr>
              <w:t>废气主要在车间内沉降完毕</w:t>
            </w:r>
            <w:r>
              <w:rPr>
                <w:rFonts w:hint="eastAsia"/>
                <w:color w:val="auto"/>
                <w:u w:val="none" w:color="auto"/>
              </w:rPr>
              <w:t>，</w:t>
            </w:r>
            <w:r>
              <w:rPr>
                <w:rFonts w:hint="eastAsia"/>
                <w:color w:val="auto"/>
                <w:u w:val="none" w:color="auto"/>
                <w:lang w:eastAsia="zh-CN"/>
              </w:rPr>
              <w:t>洗拖把生产</w:t>
            </w:r>
            <w:r>
              <w:rPr>
                <w:rFonts w:hint="eastAsia"/>
                <w:color w:val="auto"/>
                <w:u w:val="none" w:color="auto"/>
              </w:rPr>
              <w:t>废水经预处理后排入</w:t>
            </w:r>
            <w:r>
              <w:rPr>
                <w:rFonts w:hint="eastAsia"/>
                <w:color w:val="auto"/>
                <w:u w:val="none" w:color="auto"/>
                <w:lang w:eastAsia="zh-CN"/>
              </w:rPr>
              <w:t>新田县污水处理厂；本项目位于工业园，周边为工业用地，附近无地下水及土壤保护目标，</w:t>
            </w:r>
            <w:r>
              <w:rPr>
                <w:rFonts w:hint="eastAsia"/>
                <w:color w:val="auto"/>
                <w:u w:val="none" w:color="auto"/>
              </w:rPr>
              <w:t>故不开展土壤、地下水环境现状调查。</w:t>
            </w:r>
          </w:p>
          <w:p w14:paraId="0DA69472">
            <w:pPr>
              <w:bidi w:val="0"/>
              <w:rPr>
                <w:rFonts w:hint="eastAsia"/>
                <w:color w:val="auto"/>
                <w:u w:val="none" w:color="auto"/>
              </w:rPr>
            </w:pPr>
            <w:r>
              <w:rPr>
                <w:rFonts w:hint="eastAsia"/>
                <w:color w:val="auto"/>
                <w:u w:val="none" w:color="auto"/>
              </w:rPr>
              <w:t>5、生态环境</w:t>
            </w:r>
          </w:p>
          <w:p w14:paraId="02CB6BDA">
            <w:pPr>
              <w:bidi w:val="0"/>
              <w:rPr>
                <w:rFonts w:hint="eastAsia"/>
                <w:color w:val="auto"/>
                <w:u w:val="none" w:color="auto"/>
              </w:rPr>
            </w:pPr>
            <w:r>
              <w:rPr>
                <w:rFonts w:hint="eastAsia"/>
                <w:color w:val="auto"/>
                <w:u w:val="none" w:color="auto"/>
              </w:rPr>
              <w:t>本项目</w:t>
            </w:r>
            <w:r>
              <w:rPr>
                <w:rFonts w:hint="eastAsia"/>
                <w:color w:val="auto"/>
                <w:u w:val="none" w:color="auto"/>
                <w:lang w:val="en-US" w:eastAsia="zh-CN"/>
              </w:rPr>
              <w:t>位于</w:t>
            </w:r>
            <w:r>
              <w:rPr>
                <w:rFonts w:hint="eastAsia"/>
                <w:color w:val="auto"/>
                <w:u w:val="none" w:color="auto"/>
                <w:lang w:eastAsia="zh-CN"/>
              </w:rPr>
              <w:t>工业园区</w:t>
            </w:r>
            <w:r>
              <w:rPr>
                <w:rFonts w:hint="eastAsia"/>
                <w:color w:val="auto"/>
                <w:u w:val="none" w:color="auto"/>
              </w:rPr>
              <w:t>，用地范围内无生态环境保护目标。</w:t>
            </w:r>
          </w:p>
          <w:p w14:paraId="04C8CDC1">
            <w:pPr>
              <w:bidi w:val="0"/>
              <w:rPr>
                <w:rFonts w:hint="eastAsia"/>
                <w:color w:val="auto"/>
                <w:u w:val="none" w:color="auto"/>
              </w:rPr>
            </w:pPr>
            <w:r>
              <w:rPr>
                <w:rFonts w:hint="eastAsia"/>
                <w:color w:val="auto"/>
                <w:u w:val="none" w:color="auto"/>
              </w:rPr>
              <w:t>6、电磁辐射</w:t>
            </w:r>
          </w:p>
          <w:p w14:paraId="4D8A94BD">
            <w:pPr>
              <w:bidi w:val="0"/>
              <w:rPr>
                <w:rFonts w:hint="eastAsia"/>
                <w:color w:val="auto"/>
                <w:u w:val="none" w:color="auto"/>
              </w:rPr>
            </w:pPr>
            <w:r>
              <w:rPr>
                <w:rFonts w:hint="eastAsia"/>
                <w:color w:val="auto"/>
                <w:u w:val="none" w:color="auto"/>
              </w:rPr>
              <w:t>本项目不涉及电磁辐射有关内容。</w:t>
            </w:r>
          </w:p>
        </w:tc>
      </w:tr>
      <w:tr w14:paraId="3E70CC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451" w:type="dxa"/>
            <w:noWrap w:val="0"/>
            <w:vAlign w:val="center"/>
          </w:tcPr>
          <w:p w14:paraId="235772D0">
            <w:pPr>
              <w:pStyle w:val="11"/>
              <w:rPr>
                <w:rFonts w:hint="eastAsia"/>
                <w:color w:val="auto"/>
                <w:u w:val="none" w:color="auto"/>
              </w:rPr>
            </w:pPr>
            <w:r>
              <w:rPr>
                <w:rFonts w:hint="eastAsia"/>
                <w:color w:val="auto"/>
                <w:u w:val="none" w:color="auto"/>
              </w:rPr>
              <w:t>环境</w:t>
            </w:r>
          </w:p>
          <w:p w14:paraId="08EAE02C">
            <w:pPr>
              <w:pStyle w:val="11"/>
              <w:rPr>
                <w:rFonts w:hint="eastAsia"/>
                <w:color w:val="auto"/>
                <w:u w:val="none" w:color="auto"/>
              </w:rPr>
            </w:pPr>
            <w:r>
              <w:rPr>
                <w:rFonts w:hint="eastAsia"/>
                <w:color w:val="auto"/>
                <w:u w:val="none" w:color="auto"/>
              </w:rPr>
              <w:t>保护</w:t>
            </w:r>
          </w:p>
          <w:p w14:paraId="1200861F">
            <w:pPr>
              <w:pStyle w:val="11"/>
              <w:rPr>
                <w:rFonts w:hint="eastAsia"/>
                <w:color w:val="auto"/>
                <w:u w:val="none" w:color="auto"/>
              </w:rPr>
            </w:pPr>
            <w:r>
              <w:rPr>
                <w:rFonts w:hint="eastAsia"/>
                <w:color w:val="auto"/>
                <w:u w:val="none" w:color="auto"/>
              </w:rPr>
              <w:t>目标</w:t>
            </w:r>
          </w:p>
        </w:tc>
        <w:tc>
          <w:tcPr>
            <w:tcW w:w="8610" w:type="dxa"/>
            <w:noWrap w:val="0"/>
            <w:vAlign w:val="center"/>
          </w:tcPr>
          <w:p w14:paraId="54383D14">
            <w:pPr>
              <w:ind w:firstLine="480"/>
              <w:rPr>
                <w:color w:val="auto"/>
                <w:u w:val="none" w:color="auto"/>
              </w:rPr>
            </w:pPr>
            <w:r>
              <w:rPr>
                <w:rFonts w:hint="eastAsia"/>
                <w:color w:val="auto"/>
                <w:u w:val="none" w:color="auto"/>
              </w:rPr>
              <w:t>本项目位于</w:t>
            </w:r>
            <w:r>
              <w:rPr>
                <w:rFonts w:hint="eastAsia"/>
                <w:color w:val="auto"/>
                <w:u w:val="none" w:color="auto"/>
                <w:shd w:val="clear" w:color="auto" w:fill="FFFFFF"/>
                <w:lang w:val="en-US" w:eastAsia="zh-CN"/>
              </w:rPr>
              <w:t>湖南新田县工业园</w:t>
            </w:r>
            <w:r>
              <w:rPr>
                <w:rFonts w:hint="eastAsia"/>
                <w:color w:val="auto"/>
                <w:u w:val="none" w:color="auto"/>
              </w:rPr>
              <w:t>，项目厂界外500m范围内无自然保护区、风景名胜区、文化区，</w:t>
            </w:r>
            <w:r>
              <w:rPr>
                <w:rFonts w:hint="eastAsia"/>
                <w:color w:val="auto"/>
                <w:u w:val="none" w:color="auto"/>
                <w:lang w:val="zh-CN"/>
              </w:rPr>
              <w:t>无地下水集中式饮用水水源和热水、矿泉水、温泉等特殊地下水资源</w:t>
            </w:r>
            <w:r>
              <w:rPr>
                <w:rFonts w:hint="eastAsia"/>
                <w:color w:val="auto"/>
                <w:u w:val="none" w:color="auto"/>
              </w:rPr>
              <w:t>等；本次大气环境保护目标调查列出厂界外500m范围内居住区和农村地区中人群较集中的区域等保护目标的名称及与建设项目厂界位置关系，调查厂界外50m范围内声环境保护目标；确定需纳入保护的</w:t>
            </w:r>
            <w:r>
              <w:rPr>
                <w:color w:val="auto"/>
                <w:u w:val="none" w:color="auto"/>
              </w:rPr>
              <w:t>环境保护目标</w:t>
            </w:r>
            <w:r>
              <w:rPr>
                <w:rFonts w:hint="eastAsia"/>
                <w:color w:val="auto"/>
                <w:u w:val="none" w:color="auto"/>
              </w:rPr>
              <w:t>详</w:t>
            </w:r>
            <w:r>
              <w:rPr>
                <w:color w:val="auto"/>
                <w:u w:val="none" w:color="auto"/>
              </w:rPr>
              <w:t>见表</w:t>
            </w:r>
            <w:r>
              <w:rPr>
                <w:rFonts w:hint="eastAsia"/>
                <w:color w:val="auto"/>
                <w:u w:val="none" w:color="auto"/>
              </w:rPr>
              <w:t>3</w:t>
            </w:r>
            <w:r>
              <w:rPr>
                <w:color w:val="auto"/>
                <w:u w:val="none" w:color="auto"/>
              </w:rPr>
              <w:t>-</w:t>
            </w:r>
            <w:r>
              <w:rPr>
                <w:rFonts w:hint="eastAsia"/>
                <w:color w:val="auto"/>
                <w:u w:val="none" w:color="auto"/>
                <w:lang w:val="en-US" w:eastAsia="zh-CN"/>
              </w:rPr>
              <w:t>4及附图环保目标图</w:t>
            </w:r>
            <w:r>
              <w:rPr>
                <w:rFonts w:hint="eastAsia"/>
                <w:color w:val="auto"/>
                <w:u w:val="none" w:color="auto"/>
              </w:rPr>
              <w:t>。</w:t>
            </w:r>
          </w:p>
          <w:p w14:paraId="34DD7E97">
            <w:pPr>
              <w:spacing w:line="400" w:lineRule="exact"/>
              <w:ind w:firstLine="422"/>
              <w:jc w:val="center"/>
              <w:rPr>
                <w:b/>
                <w:color w:val="auto"/>
                <w:sz w:val="21"/>
                <w:szCs w:val="21"/>
                <w:u w:val="none" w:color="auto"/>
              </w:rPr>
            </w:pPr>
            <w:r>
              <w:rPr>
                <w:b/>
                <w:color w:val="auto"/>
                <w:sz w:val="21"/>
                <w:szCs w:val="21"/>
                <w:u w:val="none" w:color="auto"/>
              </w:rPr>
              <w:t>表</w:t>
            </w:r>
            <w:r>
              <w:rPr>
                <w:rFonts w:hint="eastAsia"/>
                <w:b/>
                <w:color w:val="auto"/>
                <w:sz w:val="21"/>
                <w:szCs w:val="21"/>
                <w:u w:val="none" w:color="auto"/>
              </w:rPr>
              <w:t>3</w:t>
            </w:r>
            <w:r>
              <w:rPr>
                <w:b/>
                <w:color w:val="auto"/>
                <w:sz w:val="21"/>
                <w:szCs w:val="21"/>
                <w:u w:val="none" w:color="auto"/>
              </w:rPr>
              <w:t>-</w:t>
            </w:r>
            <w:r>
              <w:rPr>
                <w:rFonts w:hint="eastAsia"/>
                <w:b/>
                <w:color w:val="auto"/>
                <w:sz w:val="21"/>
                <w:szCs w:val="21"/>
                <w:u w:val="none" w:color="auto"/>
                <w:lang w:val="en-US" w:eastAsia="zh-CN"/>
              </w:rPr>
              <w:t>4</w:t>
            </w:r>
            <w:r>
              <w:rPr>
                <w:b/>
                <w:color w:val="auto"/>
                <w:sz w:val="21"/>
                <w:szCs w:val="21"/>
                <w:u w:val="none" w:color="auto"/>
              </w:rPr>
              <w:t>项目周边主要环境保护目标</w:t>
            </w:r>
          </w:p>
          <w:tbl>
            <w:tblPr>
              <w:tblStyle w:val="28"/>
              <w:tblW w:w="4998"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740"/>
              <w:gridCol w:w="1108"/>
              <w:gridCol w:w="1145"/>
              <w:gridCol w:w="2097"/>
              <w:gridCol w:w="606"/>
              <w:gridCol w:w="758"/>
              <w:gridCol w:w="1185"/>
              <w:gridCol w:w="728"/>
            </w:tblGrid>
            <w:tr w14:paraId="7E4FDF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477" w:type="pct"/>
                  <w:vMerge w:val="restart"/>
                  <w:tcBorders>
                    <w:right w:val="single" w:color="000000" w:sz="4" w:space="0"/>
                  </w:tcBorders>
                  <w:noWrap w:val="0"/>
                  <w:tcMar>
                    <w:top w:w="12" w:type="dxa"/>
                    <w:left w:w="12" w:type="dxa"/>
                    <w:right w:w="12" w:type="dxa"/>
                  </w:tcMar>
                  <w:vAlign w:val="center"/>
                </w:tcPr>
                <w:p w14:paraId="7316E304">
                  <w:pPr>
                    <w:widowControl/>
                    <w:spacing w:line="240" w:lineRule="auto"/>
                    <w:ind w:firstLine="0" w:firstLineChars="0"/>
                    <w:jc w:val="center"/>
                    <w:rPr>
                      <w:rFonts w:hint="eastAsia"/>
                      <w:color w:val="auto"/>
                      <w:kern w:val="0"/>
                      <w:sz w:val="21"/>
                      <w:szCs w:val="21"/>
                      <w:u w:val="none" w:color="auto"/>
                    </w:rPr>
                  </w:pPr>
                  <w:r>
                    <w:rPr>
                      <w:rFonts w:hint="eastAsia"/>
                      <w:color w:val="auto"/>
                      <w:kern w:val="0"/>
                      <w:sz w:val="21"/>
                      <w:szCs w:val="21"/>
                      <w:u w:val="none" w:color="auto"/>
                    </w:rPr>
                    <w:t>名称</w:t>
                  </w:r>
                </w:p>
              </w:tc>
              <w:tc>
                <w:tcPr>
                  <w:tcW w:w="1415" w:type="pct"/>
                  <w:gridSpan w:val="2"/>
                  <w:tcBorders>
                    <w:left w:val="single" w:color="000000" w:sz="4" w:space="0"/>
                  </w:tcBorders>
                  <w:noWrap w:val="0"/>
                  <w:tcMar>
                    <w:top w:w="12" w:type="dxa"/>
                    <w:left w:w="12" w:type="dxa"/>
                    <w:right w:w="12" w:type="dxa"/>
                  </w:tcMar>
                  <w:vAlign w:val="center"/>
                </w:tcPr>
                <w:p w14:paraId="693B516F">
                  <w:pPr>
                    <w:widowControl/>
                    <w:spacing w:line="240" w:lineRule="auto"/>
                    <w:ind w:firstLine="0" w:firstLineChars="0"/>
                    <w:jc w:val="center"/>
                    <w:rPr>
                      <w:rFonts w:hint="eastAsia"/>
                      <w:color w:val="auto"/>
                      <w:kern w:val="0"/>
                      <w:sz w:val="21"/>
                      <w:szCs w:val="21"/>
                      <w:u w:val="none" w:color="auto"/>
                    </w:rPr>
                  </w:pPr>
                  <w:r>
                    <w:rPr>
                      <w:rFonts w:hint="eastAsia"/>
                      <w:color w:val="auto"/>
                      <w:kern w:val="0"/>
                      <w:sz w:val="21"/>
                      <w:szCs w:val="21"/>
                      <w:u w:val="none" w:color="auto"/>
                    </w:rPr>
                    <w:t>坐标/m</w:t>
                  </w:r>
                </w:p>
              </w:tc>
              <w:tc>
                <w:tcPr>
                  <w:tcW w:w="1287" w:type="pct"/>
                  <w:vMerge w:val="restart"/>
                  <w:noWrap w:val="0"/>
                  <w:tcMar>
                    <w:top w:w="12" w:type="dxa"/>
                    <w:left w:w="12" w:type="dxa"/>
                    <w:right w:w="12" w:type="dxa"/>
                  </w:tcMar>
                  <w:vAlign w:val="center"/>
                </w:tcPr>
                <w:p w14:paraId="5CEF4610">
                  <w:pPr>
                    <w:widowControl/>
                    <w:spacing w:line="240" w:lineRule="auto"/>
                    <w:ind w:firstLine="0" w:firstLineChars="0"/>
                    <w:jc w:val="center"/>
                    <w:rPr>
                      <w:color w:val="auto"/>
                      <w:kern w:val="0"/>
                      <w:sz w:val="21"/>
                      <w:szCs w:val="21"/>
                      <w:u w:val="none" w:color="auto"/>
                    </w:rPr>
                  </w:pPr>
                  <w:r>
                    <w:rPr>
                      <w:rFonts w:hint="eastAsia"/>
                      <w:color w:val="auto"/>
                      <w:kern w:val="0"/>
                      <w:sz w:val="21"/>
                      <w:szCs w:val="21"/>
                      <w:u w:val="none" w:color="auto"/>
                    </w:rPr>
                    <w:t>保护对象</w:t>
                  </w:r>
                </w:p>
              </w:tc>
              <w:tc>
                <w:tcPr>
                  <w:tcW w:w="396" w:type="pct"/>
                  <w:vMerge w:val="restart"/>
                  <w:noWrap w:val="0"/>
                  <w:tcMar>
                    <w:top w:w="12" w:type="dxa"/>
                    <w:left w:w="12" w:type="dxa"/>
                    <w:right w:w="12" w:type="dxa"/>
                  </w:tcMar>
                  <w:vAlign w:val="center"/>
                </w:tcPr>
                <w:p w14:paraId="37E9C864">
                  <w:pPr>
                    <w:widowControl/>
                    <w:spacing w:line="240" w:lineRule="auto"/>
                    <w:ind w:firstLine="0" w:firstLineChars="0"/>
                    <w:jc w:val="center"/>
                    <w:rPr>
                      <w:color w:val="auto"/>
                      <w:kern w:val="0"/>
                      <w:sz w:val="21"/>
                      <w:szCs w:val="21"/>
                      <w:u w:val="none" w:color="auto"/>
                    </w:rPr>
                  </w:pPr>
                  <w:r>
                    <w:rPr>
                      <w:rFonts w:hint="eastAsia"/>
                      <w:color w:val="auto"/>
                      <w:kern w:val="0"/>
                      <w:sz w:val="21"/>
                      <w:szCs w:val="21"/>
                      <w:u w:val="none" w:color="auto"/>
                    </w:rPr>
                    <w:t>保护内容</w:t>
                  </w:r>
                </w:p>
              </w:tc>
              <w:tc>
                <w:tcPr>
                  <w:tcW w:w="487" w:type="pct"/>
                  <w:vMerge w:val="restart"/>
                  <w:noWrap w:val="0"/>
                  <w:tcMar>
                    <w:top w:w="12" w:type="dxa"/>
                    <w:left w:w="12" w:type="dxa"/>
                    <w:right w:w="12" w:type="dxa"/>
                  </w:tcMar>
                  <w:vAlign w:val="center"/>
                </w:tcPr>
                <w:p w14:paraId="38C4502D">
                  <w:pPr>
                    <w:widowControl/>
                    <w:spacing w:line="240" w:lineRule="auto"/>
                    <w:ind w:firstLine="0" w:firstLineChars="0"/>
                    <w:jc w:val="center"/>
                    <w:rPr>
                      <w:color w:val="auto"/>
                      <w:kern w:val="0"/>
                      <w:sz w:val="21"/>
                      <w:szCs w:val="21"/>
                      <w:u w:val="none" w:color="auto"/>
                    </w:rPr>
                  </w:pPr>
                  <w:r>
                    <w:rPr>
                      <w:rFonts w:hint="eastAsia"/>
                      <w:color w:val="auto"/>
                      <w:kern w:val="0"/>
                      <w:sz w:val="21"/>
                      <w:szCs w:val="21"/>
                      <w:u w:val="none" w:color="auto"/>
                    </w:rPr>
                    <w:t>环境功能区</w:t>
                  </w:r>
                </w:p>
              </w:tc>
              <w:tc>
                <w:tcPr>
                  <w:tcW w:w="469" w:type="pct"/>
                  <w:vMerge w:val="restart"/>
                  <w:tcBorders>
                    <w:right w:val="single" w:color="auto" w:sz="4" w:space="0"/>
                  </w:tcBorders>
                  <w:noWrap w:val="0"/>
                  <w:tcMar>
                    <w:top w:w="12" w:type="dxa"/>
                    <w:left w:w="12" w:type="dxa"/>
                    <w:right w:w="12" w:type="dxa"/>
                  </w:tcMar>
                  <w:vAlign w:val="center"/>
                </w:tcPr>
                <w:p w14:paraId="69D12027">
                  <w:pPr>
                    <w:widowControl/>
                    <w:spacing w:line="240" w:lineRule="auto"/>
                    <w:ind w:firstLine="0" w:firstLineChars="0"/>
                    <w:jc w:val="center"/>
                    <w:rPr>
                      <w:color w:val="auto"/>
                      <w:kern w:val="0"/>
                      <w:sz w:val="21"/>
                      <w:szCs w:val="21"/>
                      <w:u w:val="none" w:color="auto"/>
                    </w:rPr>
                  </w:pPr>
                  <w:r>
                    <w:rPr>
                      <w:rFonts w:hint="eastAsia"/>
                      <w:color w:val="auto"/>
                      <w:kern w:val="0"/>
                      <w:sz w:val="21"/>
                      <w:szCs w:val="21"/>
                      <w:u w:val="none" w:color="auto"/>
                    </w:rPr>
                    <w:t>方位及距离</w:t>
                  </w:r>
                </w:p>
              </w:tc>
              <w:tc>
                <w:tcPr>
                  <w:tcW w:w="467" w:type="pct"/>
                  <w:vMerge w:val="restart"/>
                  <w:tcBorders>
                    <w:left w:val="single" w:color="auto" w:sz="4" w:space="0"/>
                  </w:tcBorders>
                  <w:noWrap w:val="0"/>
                  <w:tcMar>
                    <w:top w:w="12" w:type="dxa"/>
                    <w:left w:w="12" w:type="dxa"/>
                    <w:right w:w="12" w:type="dxa"/>
                  </w:tcMar>
                  <w:vAlign w:val="center"/>
                </w:tcPr>
                <w:p w14:paraId="558571F3">
                  <w:pPr>
                    <w:widowControl/>
                    <w:spacing w:line="240" w:lineRule="auto"/>
                    <w:ind w:firstLine="0" w:firstLineChars="0"/>
                    <w:jc w:val="center"/>
                    <w:rPr>
                      <w:rFonts w:hint="eastAsia" w:eastAsia="宋体"/>
                      <w:color w:val="auto"/>
                      <w:kern w:val="0"/>
                      <w:sz w:val="21"/>
                      <w:szCs w:val="21"/>
                      <w:u w:val="none" w:color="auto"/>
                      <w:lang w:eastAsia="zh-CN"/>
                    </w:rPr>
                  </w:pPr>
                  <w:r>
                    <w:rPr>
                      <w:rFonts w:hint="eastAsia"/>
                      <w:color w:val="auto"/>
                      <w:kern w:val="0"/>
                      <w:sz w:val="21"/>
                      <w:szCs w:val="21"/>
                      <w:u w:val="none" w:color="auto"/>
                      <w:lang w:eastAsia="zh-CN"/>
                    </w:rPr>
                    <w:t>阻隔情况</w:t>
                  </w:r>
                </w:p>
              </w:tc>
            </w:tr>
            <w:tr w14:paraId="26AB8E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1" w:hRule="atLeast"/>
              </w:trPr>
              <w:tc>
                <w:tcPr>
                  <w:tcW w:w="477" w:type="pct"/>
                  <w:vMerge w:val="continue"/>
                  <w:tcBorders>
                    <w:bottom w:val="single" w:color="000000" w:sz="2" w:space="0"/>
                    <w:right w:val="single" w:color="000000" w:sz="4" w:space="0"/>
                  </w:tcBorders>
                  <w:noWrap w:val="0"/>
                  <w:tcMar>
                    <w:top w:w="12" w:type="dxa"/>
                    <w:left w:w="12" w:type="dxa"/>
                    <w:right w:w="12" w:type="dxa"/>
                  </w:tcMar>
                  <w:vAlign w:val="center"/>
                </w:tcPr>
                <w:p w14:paraId="279A1DF9">
                  <w:pPr>
                    <w:widowControl/>
                    <w:spacing w:line="240" w:lineRule="auto"/>
                    <w:ind w:firstLine="0" w:firstLineChars="0"/>
                    <w:jc w:val="center"/>
                    <w:rPr>
                      <w:rFonts w:hint="eastAsia"/>
                      <w:color w:val="auto"/>
                      <w:kern w:val="0"/>
                      <w:sz w:val="21"/>
                      <w:szCs w:val="21"/>
                      <w:u w:val="none" w:color="auto"/>
                    </w:rPr>
                  </w:pPr>
                </w:p>
              </w:tc>
              <w:tc>
                <w:tcPr>
                  <w:tcW w:w="697" w:type="pct"/>
                  <w:tcBorders>
                    <w:left w:val="single" w:color="000000" w:sz="4" w:space="0"/>
                    <w:bottom w:val="single" w:color="000000" w:sz="2" w:space="0"/>
                  </w:tcBorders>
                  <w:noWrap w:val="0"/>
                  <w:tcMar>
                    <w:top w:w="12" w:type="dxa"/>
                    <w:left w:w="12" w:type="dxa"/>
                    <w:right w:w="12" w:type="dxa"/>
                  </w:tcMar>
                  <w:vAlign w:val="center"/>
                </w:tcPr>
                <w:p w14:paraId="34894865">
                  <w:pPr>
                    <w:widowControl/>
                    <w:spacing w:line="240" w:lineRule="auto"/>
                    <w:ind w:firstLine="0" w:firstLineChars="0"/>
                    <w:jc w:val="center"/>
                    <w:rPr>
                      <w:rFonts w:hint="eastAsia"/>
                      <w:color w:val="auto"/>
                      <w:kern w:val="0"/>
                      <w:sz w:val="21"/>
                      <w:szCs w:val="21"/>
                      <w:u w:val="none" w:color="auto"/>
                    </w:rPr>
                  </w:pPr>
                  <w:r>
                    <w:rPr>
                      <w:rFonts w:hint="eastAsia"/>
                      <w:color w:val="auto"/>
                      <w:kern w:val="0"/>
                      <w:sz w:val="21"/>
                      <w:szCs w:val="21"/>
                      <w:u w:val="none" w:color="auto"/>
                    </w:rPr>
                    <w:t>经度</w:t>
                  </w:r>
                </w:p>
              </w:tc>
              <w:tc>
                <w:tcPr>
                  <w:tcW w:w="717" w:type="pct"/>
                  <w:tcBorders>
                    <w:left w:val="single" w:color="000000" w:sz="4" w:space="0"/>
                    <w:bottom w:val="single" w:color="000000" w:sz="2" w:space="0"/>
                  </w:tcBorders>
                  <w:noWrap w:val="0"/>
                  <w:tcMar>
                    <w:top w:w="12" w:type="dxa"/>
                    <w:left w:w="12" w:type="dxa"/>
                    <w:right w:w="12" w:type="dxa"/>
                  </w:tcMar>
                  <w:vAlign w:val="center"/>
                </w:tcPr>
                <w:p w14:paraId="73CDA13F">
                  <w:pPr>
                    <w:widowControl/>
                    <w:spacing w:line="240" w:lineRule="auto"/>
                    <w:ind w:firstLine="0" w:firstLineChars="0"/>
                    <w:jc w:val="center"/>
                    <w:rPr>
                      <w:color w:val="auto"/>
                      <w:kern w:val="0"/>
                      <w:sz w:val="21"/>
                      <w:szCs w:val="21"/>
                      <w:u w:val="none" w:color="auto"/>
                    </w:rPr>
                  </w:pPr>
                  <w:r>
                    <w:rPr>
                      <w:rFonts w:hint="eastAsia"/>
                      <w:color w:val="auto"/>
                      <w:kern w:val="0"/>
                      <w:sz w:val="21"/>
                      <w:szCs w:val="21"/>
                      <w:u w:val="none" w:color="auto"/>
                    </w:rPr>
                    <w:t>纬度</w:t>
                  </w:r>
                </w:p>
              </w:tc>
              <w:tc>
                <w:tcPr>
                  <w:tcW w:w="1287" w:type="pct"/>
                  <w:vMerge w:val="continue"/>
                  <w:tcBorders>
                    <w:bottom w:val="single" w:color="000000" w:sz="2" w:space="0"/>
                  </w:tcBorders>
                  <w:noWrap w:val="0"/>
                  <w:tcMar>
                    <w:top w:w="12" w:type="dxa"/>
                    <w:left w:w="12" w:type="dxa"/>
                    <w:right w:w="12" w:type="dxa"/>
                  </w:tcMar>
                  <w:vAlign w:val="center"/>
                </w:tcPr>
                <w:p w14:paraId="4B3B7B71">
                  <w:pPr>
                    <w:widowControl/>
                    <w:spacing w:line="240" w:lineRule="auto"/>
                    <w:ind w:firstLine="0" w:firstLineChars="0"/>
                    <w:jc w:val="center"/>
                    <w:rPr>
                      <w:color w:val="auto"/>
                      <w:kern w:val="0"/>
                      <w:sz w:val="21"/>
                      <w:szCs w:val="21"/>
                      <w:u w:val="none" w:color="auto"/>
                    </w:rPr>
                  </w:pPr>
                </w:p>
              </w:tc>
              <w:tc>
                <w:tcPr>
                  <w:tcW w:w="396" w:type="pct"/>
                  <w:vMerge w:val="continue"/>
                  <w:tcBorders>
                    <w:bottom w:val="single" w:color="000000" w:sz="2" w:space="0"/>
                  </w:tcBorders>
                  <w:noWrap w:val="0"/>
                  <w:tcMar>
                    <w:top w:w="12" w:type="dxa"/>
                    <w:left w:w="12" w:type="dxa"/>
                    <w:right w:w="12" w:type="dxa"/>
                  </w:tcMar>
                  <w:vAlign w:val="center"/>
                </w:tcPr>
                <w:p w14:paraId="4FAA3C36">
                  <w:pPr>
                    <w:widowControl/>
                    <w:spacing w:line="240" w:lineRule="auto"/>
                    <w:ind w:firstLine="0" w:firstLineChars="0"/>
                    <w:jc w:val="center"/>
                    <w:rPr>
                      <w:color w:val="auto"/>
                      <w:kern w:val="0"/>
                      <w:sz w:val="21"/>
                      <w:szCs w:val="21"/>
                      <w:u w:val="none" w:color="auto"/>
                    </w:rPr>
                  </w:pPr>
                </w:p>
              </w:tc>
              <w:tc>
                <w:tcPr>
                  <w:tcW w:w="487" w:type="pct"/>
                  <w:vMerge w:val="continue"/>
                  <w:tcBorders>
                    <w:bottom w:val="single" w:color="000000" w:sz="2" w:space="0"/>
                  </w:tcBorders>
                  <w:noWrap w:val="0"/>
                  <w:tcMar>
                    <w:top w:w="12" w:type="dxa"/>
                    <w:left w:w="12" w:type="dxa"/>
                    <w:right w:w="12" w:type="dxa"/>
                  </w:tcMar>
                  <w:vAlign w:val="center"/>
                </w:tcPr>
                <w:p w14:paraId="3A5F1DEA">
                  <w:pPr>
                    <w:widowControl/>
                    <w:spacing w:line="240" w:lineRule="auto"/>
                    <w:ind w:firstLine="0" w:firstLineChars="0"/>
                    <w:jc w:val="center"/>
                    <w:rPr>
                      <w:color w:val="auto"/>
                      <w:kern w:val="0"/>
                      <w:sz w:val="21"/>
                      <w:szCs w:val="21"/>
                      <w:u w:val="none" w:color="auto"/>
                    </w:rPr>
                  </w:pPr>
                </w:p>
              </w:tc>
              <w:tc>
                <w:tcPr>
                  <w:tcW w:w="469" w:type="pct"/>
                  <w:vMerge w:val="continue"/>
                  <w:tcBorders>
                    <w:bottom w:val="single" w:color="000000" w:sz="2" w:space="0"/>
                    <w:right w:val="single" w:color="auto" w:sz="4" w:space="0"/>
                  </w:tcBorders>
                  <w:noWrap w:val="0"/>
                  <w:tcMar>
                    <w:top w:w="12" w:type="dxa"/>
                    <w:left w:w="12" w:type="dxa"/>
                    <w:right w:w="12" w:type="dxa"/>
                  </w:tcMar>
                  <w:vAlign w:val="center"/>
                </w:tcPr>
                <w:p w14:paraId="117E1C5B">
                  <w:pPr>
                    <w:widowControl/>
                    <w:spacing w:line="240" w:lineRule="auto"/>
                    <w:ind w:firstLine="0" w:firstLineChars="0"/>
                    <w:jc w:val="center"/>
                    <w:rPr>
                      <w:color w:val="auto"/>
                      <w:kern w:val="0"/>
                      <w:sz w:val="21"/>
                      <w:szCs w:val="21"/>
                      <w:u w:val="none" w:color="auto"/>
                    </w:rPr>
                  </w:pPr>
                </w:p>
              </w:tc>
              <w:tc>
                <w:tcPr>
                  <w:tcW w:w="467" w:type="pct"/>
                  <w:vMerge w:val="continue"/>
                  <w:tcBorders>
                    <w:left w:val="single" w:color="auto" w:sz="4" w:space="0"/>
                    <w:bottom w:val="single" w:color="000000" w:sz="2" w:space="0"/>
                  </w:tcBorders>
                  <w:noWrap w:val="0"/>
                  <w:tcMar>
                    <w:top w:w="12" w:type="dxa"/>
                    <w:left w:w="12" w:type="dxa"/>
                    <w:right w:w="12" w:type="dxa"/>
                  </w:tcMar>
                  <w:vAlign w:val="center"/>
                </w:tcPr>
                <w:p w14:paraId="1B6CDC9C">
                  <w:pPr>
                    <w:widowControl/>
                    <w:spacing w:line="240" w:lineRule="auto"/>
                    <w:ind w:firstLine="0" w:firstLineChars="0"/>
                    <w:jc w:val="center"/>
                    <w:rPr>
                      <w:color w:val="auto"/>
                      <w:kern w:val="0"/>
                      <w:sz w:val="21"/>
                      <w:szCs w:val="21"/>
                      <w:u w:val="none" w:color="auto"/>
                    </w:rPr>
                  </w:pPr>
                </w:p>
              </w:tc>
            </w:tr>
            <w:tr w14:paraId="4754EC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3" w:hRule="atLeast"/>
              </w:trPr>
              <w:tc>
                <w:tcPr>
                  <w:tcW w:w="477" w:type="pct"/>
                  <w:vMerge w:val="restart"/>
                  <w:tcBorders>
                    <w:top w:val="single" w:color="000000" w:sz="2" w:space="0"/>
                    <w:right w:val="single" w:color="000000" w:sz="4" w:space="0"/>
                  </w:tcBorders>
                  <w:noWrap w:val="0"/>
                  <w:tcMar>
                    <w:top w:w="12" w:type="dxa"/>
                    <w:left w:w="12" w:type="dxa"/>
                    <w:right w:w="12" w:type="dxa"/>
                  </w:tcMar>
                  <w:vAlign w:val="center"/>
                </w:tcPr>
                <w:p w14:paraId="21A38738">
                  <w:pPr>
                    <w:widowControl/>
                    <w:spacing w:line="240" w:lineRule="auto"/>
                    <w:ind w:firstLine="0" w:firstLineChars="0"/>
                    <w:jc w:val="center"/>
                    <w:rPr>
                      <w:rFonts w:hint="eastAsia" w:eastAsia="宋体"/>
                      <w:color w:val="auto"/>
                      <w:kern w:val="0"/>
                      <w:sz w:val="21"/>
                      <w:szCs w:val="21"/>
                      <w:u w:val="none" w:color="auto"/>
                      <w:lang w:eastAsia="zh-CN"/>
                    </w:rPr>
                  </w:pPr>
                  <w:r>
                    <w:rPr>
                      <w:rFonts w:hint="eastAsia"/>
                      <w:color w:val="auto"/>
                      <w:kern w:val="0"/>
                      <w:sz w:val="21"/>
                      <w:szCs w:val="21"/>
                      <w:u w:val="none" w:color="auto"/>
                      <w:lang w:eastAsia="zh-CN"/>
                    </w:rPr>
                    <w:t>大气环境</w:t>
                  </w:r>
                </w:p>
              </w:tc>
              <w:tc>
                <w:tcPr>
                  <w:tcW w:w="697" w:type="pct"/>
                  <w:tcBorders>
                    <w:top w:val="single" w:color="000000" w:sz="2" w:space="0"/>
                    <w:left w:val="single" w:color="000000" w:sz="4" w:space="0"/>
                    <w:bottom w:val="single" w:color="000000" w:sz="4" w:space="0"/>
                  </w:tcBorders>
                  <w:shd w:val="clear" w:color="auto" w:fill="auto"/>
                  <w:noWrap w:val="0"/>
                  <w:tcMar>
                    <w:top w:w="12" w:type="dxa"/>
                    <w:left w:w="12" w:type="dxa"/>
                    <w:right w:w="12" w:type="dxa"/>
                  </w:tcMar>
                  <w:vAlign w:val="center"/>
                </w:tcPr>
                <w:p w14:paraId="559478FB">
                  <w:pPr>
                    <w:widowControl/>
                    <w:spacing w:line="240" w:lineRule="auto"/>
                    <w:ind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color w:val="auto"/>
                      <w:kern w:val="0"/>
                      <w:sz w:val="21"/>
                      <w:szCs w:val="21"/>
                      <w:u w:val="none" w:color="auto"/>
                      <w:lang w:val="en-US" w:eastAsia="zh-CN"/>
                    </w:rPr>
                    <w:t>112.200086</w:t>
                  </w:r>
                </w:p>
              </w:tc>
              <w:tc>
                <w:tcPr>
                  <w:tcW w:w="717" w:type="pct"/>
                  <w:tcBorders>
                    <w:top w:val="single" w:color="000000" w:sz="2" w:space="0"/>
                    <w:left w:val="single" w:color="000000" w:sz="4" w:space="0"/>
                    <w:bottom w:val="single" w:color="000000" w:sz="4" w:space="0"/>
                  </w:tcBorders>
                  <w:shd w:val="clear" w:color="auto" w:fill="auto"/>
                  <w:noWrap w:val="0"/>
                  <w:tcMar>
                    <w:top w:w="12" w:type="dxa"/>
                    <w:left w:w="12" w:type="dxa"/>
                    <w:right w:w="12" w:type="dxa"/>
                  </w:tcMar>
                  <w:vAlign w:val="center"/>
                </w:tcPr>
                <w:p w14:paraId="4C637E26">
                  <w:pPr>
                    <w:widowControl/>
                    <w:spacing w:line="240" w:lineRule="auto"/>
                    <w:ind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color w:val="auto"/>
                      <w:kern w:val="0"/>
                      <w:sz w:val="21"/>
                      <w:szCs w:val="21"/>
                      <w:u w:val="none" w:color="auto"/>
                      <w:lang w:val="en-US" w:eastAsia="zh-CN"/>
                    </w:rPr>
                    <w:t>25.895057</w:t>
                  </w:r>
                </w:p>
              </w:tc>
              <w:tc>
                <w:tcPr>
                  <w:tcW w:w="1287" w:type="pct"/>
                  <w:tcBorders>
                    <w:top w:val="single" w:color="000000" w:sz="2" w:space="0"/>
                    <w:bottom w:val="single" w:color="000000" w:sz="4" w:space="0"/>
                  </w:tcBorders>
                  <w:noWrap w:val="0"/>
                  <w:tcMar>
                    <w:top w:w="12" w:type="dxa"/>
                    <w:left w:w="12" w:type="dxa"/>
                    <w:right w:w="12" w:type="dxa"/>
                  </w:tcMar>
                  <w:vAlign w:val="center"/>
                </w:tcPr>
                <w:p w14:paraId="6A50BD98">
                  <w:pPr>
                    <w:widowControl/>
                    <w:spacing w:line="240" w:lineRule="auto"/>
                    <w:ind w:firstLine="0" w:firstLineChars="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木山塘村居民，约30户</w:t>
                  </w:r>
                </w:p>
              </w:tc>
              <w:tc>
                <w:tcPr>
                  <w:tcW w:w="396" w:type="pct"/>
                  <w:tcBorders>
                    <w:top w:val="single" w:color="000000" w:sz="2" w:space="0"/>
                    <w:bottom w:val="single" w:color="000000" w:sz="4" w:space="0"/>
                  </w:tcBorders>
                  <w:noWrap w:val="0"/>
                  <w:tcMar>
                    <w:top w:w="12" w:type="dxa"/>
                    <w:left w:w="12" w:type="dxa"/>
                    <w:right w:w="12" w:type="dxa"/>
                  </w:tcMar>
                  <w:vAlign w:val="center"/>
                </w:tcPr>
                <w:p w14:paraId="1E674888">
                  <w:pPr>
                    <w:widowControl/>
                    <w:spacing w:line="240" w:lineRule="auto"/>
                    <w:ind w:firstLine="0" w:firstLineChars="0"/>
                    <w:jc w:val="center"/>
                    <w:rPr>
                      <w:rFonts w:hint="eastAsia" w:eastAsia="宋体"/>
                      <w:color w:val="auto"/>
                      <w:kern w:val="0"/>
                      <w:sz w:val="21"/>
                      <w:szCs w:val="21"/>
                      <w:u w:val="none" w:color="auto"/>
                      <w:lang w:eastAsia="zh-CN"/>
                    </w:rPr>
                  </w:pPr>
                  <w:r>
                    <w:rPr>
                      <w:rFonts w:hint="eastAsia"/>
                      <w:color w:val="auto"/>
                      <w:kern w:val="0"/>
                      <w:sz w:val="21"/>
                      <w:szCs w:val="21"/>
                      <w:u w:val="none" w:color="auto"/>
                      <w:lang w:eastAsia="zh-CN"/>
                    </w:rPr>
                    <w:t>人群</w:t>
                  </w:r>
                </w:p>
              </w:tc>
              <w:tc>
                <w:tcPr>
                  <w:tcW w:w="487" w:type="pct"/>
                  <w:tcBorders>
                    <w:top w:val="single" w:color="000000" w:sz="2" w:space="0"/>
                    <w:bottom w:val="single" w:color="000000" w:sz="4" w:space="0"/>
                  </w:tcBorders>
                  <w:noWrap w:val="0"/>
                  <w:tcMar>
                    <w:top w:w="12" w:type="dxa"/>
                    <w:left w:w="12" w:type="dxa"/>
                    <w:right w:w="12" w:type="dxa"/>
                  </w:tcMar>
                  <w:vAlign w:val="center"/>
                </w:tcPr>
                <w:p w14:paraId="0258CC5E">
                  <w:pPr>
                    <w:widowControl/>
                    <w:spacing w:line="240" w:lineRule="auto"/>
                    <w:ind w:firstLine="0" w:firstLineChars="0"/>
                    <w:jc w:val="center"/>
                    <w:rPr>
                      <w:rFonts w:hint="eastAsia" w:eastAsia="宋体"/>
                      <w:color w:val="auto"/>
                      <w:kern w:val="0"/>
                      <w:sz w:val="21"/>
                      <w:szCs w:val="21"/>
                      <w:u w:val="none" w:color="auto"/>
                      <w:lang w:eastAsia="zh-CN"/>
                    </w:rPr>
                  </w:pPr>
                  <w:r>
                    <w:rPr>
                      <w:rFonts w:hint="eastAsia"/>
                      <w:color w:val="auto"/>
                      <w:kern w:val="0"/>
                      <w:sz w:val="21"/>
                      <w:szCs w:val="21"/>
                      <w:u w:val="none" w:color="auto"/>
                      <w:lang w:eastAsia="zh-CN"/>
                    </w:rPr>
                    <w:t>二类区</w:t>
                  </w:r>
                </w:p>
              </w:tc>
              <w:tc>
                <w:tcPr>
                  <w:tcW w:w="469" w:type="pct"/>
                  <w:tcBorders>
                    <w:top w:val="single" w:color="000000" w:sz="2" w:space="0"/>
                    <w:bottom w:val="single" w:color="000000" w:sz="4" w:space="0"/>
                    <w:right w:val="single" w:color="auto" w:sz="4" w:space="0"/>
                  </w:tcBorders>
                  <w:noWrap w:val="0"/>
                  <w:tcMar>
                    <w:top w:w="12" w:type="dxa"/>
                    <w:left w:w="12" w:type="dxa"/>
                    <w:right w:w="12" w:type="dxa"/>
                  </w:tcMar>
                  <w:vAlign w:val="center"/>
                </w:tcPr>
                <w:p w14:paraId="6A7304D5">
                  <w:pPr>
                    <w:widowControl/>
                    <w:spacing w:line="240" w:lineRule="auto"/>
                    <w:ind w:firstLine="0" w:firstLineChars="0"/>
                    <w:jc w:val="center"/>
                    <w:rPr>
                      <w:rFonts w:hint="default" w:eastAsia="宋体"/>
                      <w:color w:val="auto"/>
                      <w:kern w:val="0"/>
                      <w:sz w:val="21"/>
                      <w:szCs w:val="21"/>
                      <w:u w:val="none" w:color="auto"/>
                      <w:lang w:val="en-US" w:eastAsia="zh-CN"/>
                    </w:rPr>
                  </w:pPr>
                  <w:r>
                    <w:rPr>
                      <w:rFonts w:hint="eastAsia"/>
                      <w:color w:val="auto"/>
                      <w:kern w:val="0"/>
                      <w:sz w:val="21"/>
                      <w:szCs w:val="21"/>
                      <w:u w:val="none" w:color="auto"/>
                      <w:lang w:val="en-US" w:eastAsia="zh-CN"/>
                    </w:rPr>
                    <w:t>N,370-800m</w:t>
                  </w:r>
                </w:p>
              </w:tc>
              <w:tc>
                <w:tcPr>
                  <w:tcW w:w="467" w:type="pct"/>
                  <w:tcBorders>
                    <w:top w:val="single" w:color="000000" w:sz="2" w:space="0"/>
                    <w:left w:val="single" w:color="auto" w:sz="4" w:space="0"/>
                    <w:bottom w:val="single" w:color="000000" w:sz="4" w:space="0"/>
                  </w:tcBorders>
                  <w:noWrap w:val="0"/>
                  <w:tcMar>
                    <w:top w:w="12" w:type="dxa"/>
                    <w:left w:w="12" w:type="dxa"/>
                    <w:right w:w="12" w:type="dxa"/>
                  </w:tcMar>
                  <w:vAlign w:val="center"/>
                </w:tcPr>
                <w:p w14:paraId="1AFC97DB">
                  <w:pPr>
                    <w:widowControl/>
                    <w:spacing w:line="240" w:lineRule="auto"/>
                    <w:ind w:firstLine="0" w:firstLineChars="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建筑物阻隔</w:t>
                  </w:r>
                </w:p>
              </w:tc>
            </w:tr>
            <w:tr w14:paraId="5C3581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 w:hRule="atLeast"/>
              </w:trPr>
              <w:tc>
                <w:tcPr>
                  <w:tcW w:w="477" w:type="pct"/>
                  <w:vMerge w:val="continue"/>
                  <w:tcBorders>
                    <w:bottom w:val="single" w:color="000000" w:sz="6" w:space="0"/>
                    <w:right w:val="single" w:color="000000" w:sz="4" w:space="0"/>
                  </w:tcBorders>
                  <w:noWrap w:val="0"/>
                  <w:tcMar>
                    <w:top w:w="12" w:type="dxa"/>
                    <w:left w:w="12" w:type="dxa"/>
                    <w:right w:w="12" w:type="dxa"/>
                  </w:tcMar>
                  <w:vAlign w:val="center"/>
                </w:tcPr>
                <w:p w14:paraId="234F1F57">
                  <w:pPr>
                    <w:widowControl/>
                    <w:spacing w:line="240" w:lineRule="auto"/>
                    <w:ind w:firstLine="0" w:firstLineChars="0"/>
                    <w:jc w:val="center"/>
                    <w:rPr>
                      <w:rFonts w:hint="eastAsia"/>
                      <w:color w:val="auto"/>
                      <w:kern w:val="0"/>
                      <w:sz w:val="21"/>
                      <w:szCs w:val="21"/>
                      <w:u w:val="none" w:color="auto"/>
                      <w:lang w:eastAsia="zh-CN"/>
                    </w:rPr>
                  </w:pPr>
                </w:p>
              </w:tc>
              <w:tc>
                <w:tcPr>
                  <w:tcW w:w="697" w:type="pct"/>
                  <w:tcBorders>
                    <w:top w:val="single" w:color="000000" w:sz="4" w:space="0"/>
                    <w:left w:val="single" w:color="000000" w:sz="4" w:space="0"/>
                    <w:bottom w:val="single" w:color="000000" w:sz="4" w:space="0"/>
                  </w:tcBorders>
                  <w:noWrap w:val="0"/>
                  <w:tcMar>
                    <w:top w:w="12" w:type="dxa"/>
                    <w:left w:w="12" w:type="dxa"/>
                    <w:right w:w="12" w:type="dxa"/>
                  </w:tcMar>
                  <w:vAlign w:val="center"/>
                </w:tcPr>
                <w:p w14:paraId="4AB73F68">
                  <w:pPr>
                    <w:widowControl/>
                    <w:spacing w:line="240" w:lineRule="auto"/>
                    <w:ind w:firstLine="0" w:firstLineChars="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112.195344</w:t>
                  </w:r>
                </w:p>
              </w:tc>
              <w:tc>
                <w:tcPr>
                  <w:tcW w:w="717" w:type="pct"/>
                  <w:tcBorders>
                    <w:top w:val="single" w:color="000000" w:sz="4" w:space="0"/>
                    <w:left w:val="single" w:color="000000" w:sz="4" w:space="0"/>
                    <w:bottom w:val="single" w:color="000000" w:sz="4" w:space="0"/>
                  </w:tcBorders>
                  <w:noWrap w:val="0"/>
                  <w:tcMar>
                    <w:top w:w="12" w:type="dxa"/>
                    <w:left w:w="12" w:type="dxa"/>
                    <w:right w:w="12" w:type="dxa"/>
                  </w:tcMar>
                  <w:vAlign w:val="center"/>
                </w:tcPr>
                <w:p w14:paraId="0EC88DBC">
                  <w:pPr>
                    <w:widowControl/>
                    <w:spacing w:line="240" w:lineRule="auto"/>
                    <w:ind w:firstLine="0" w:firstLineChars="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25.890732</w:t>
                  </w:r>
                </w:p>
              </w:tc>
              <w:tc>
                <w:tcPr>
                  <w:tcW w:w="1287" w:type="pct"/>
                  <w:tcBorders>
                    <w:top w:val="single" w:color="000000" w:sz="4" w:space="0"/>
                    <w:bottom w:val="single" w:color="000000" w:sz="4" w:space="0"/>
                  </w:tcBorders>
                  <w:noWrap w:val="0"/>
                  <w:tcMar>
                    <w:top w:w="12" w:type="dxa"/>
                    <w:left w:w="12" w:type="dxa"/>
                    <w:right w:w="12" w:type="dxa"/>
                  </w:tcMar>
                  <w:vAlign w:val="center"/>
                </w:tcPr>
                <w:p w14:paraId="69740A95">
                  <w:pPr>
                    <w:widowControl/>
                    <w:spacing w:line="240" w:lineRule="auto"/>
                    <w:ind w:firstLine="0" w:firstLineChars="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西侧居民，约30户</w:t>
                  </w:r>
                </w:p>
              </w:tc>
              <w:tc>
                <w:tcPr>
                  <w:tcW w:w="396" w:type="pct"/>
                  <w:tcBorders>
                    <w:top w:val="single" w:color="000000" w:sz="4" w:space="0"/>
                    <w:bottom w:val="single" w:color="000000" w:sz="4" w:space="0"/>
                  </w:tcBorders>
                  <w:shd w:val="clear" w:color="auto" w:fill="auto"/>
                  <w:noWrap w:val="0"/>
                  <w:tcMar>
                    <w:top w:w="12" w:type="dxa"/>
                    <w:left w:w="12" w:type="dxa"/>
                    <w:right w:w="12" w:type="dxa"/>
                  </w:tcMar>
                  <w:vAlign w:val="center"/>
                </w:tcPr>
                <w:p w14:paraId="61161BE9">
                  <w:pPr>
                    <w:widowControl/>
                    <w:spacing w:line="240" w:lineRule="auto"/>
                    <w:ind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color w:val="auto"/>
                      <w:kern w:val="0"/>
                      <w:sz w:val="21"/>
                      <w:szCs w:val="21"/>
                      <w:u w:val="none" w:color="auto"/>
                      <w:lang w:eastAsia="zh-CN"/>
                    </w:rPr>
                    <w:t>人群</w:t>
                  </w:r>
                </w:p>
              </w:tc>
              <w:tc>
                <w:tcPr>
                  <w:tcW w:w="487" w:type="pct"/>
                  <w:tcBorders>
                    <w:top w:val="single" w:color="000000" w:sz="4" w:space="0"/>
                    <w:bottom w:val="single" w:color="000000" w:sz="4" w:space="0"/>
                  </w:tcBorders>
                  <w:shd w:val="clear" w:color="auto" w:fill="auto"/>
                  <w:noWrap w:val="0"/>
                  <w:tcMar>
                    <w:top w:w="12" w:type="dxa"/>
                    <w:left w:w="12" w:type="dxa"/>
                    <w:right w:w="12" w:type="dxa"/>
                  </w:tcMar>
                  <w:vAlign w:val="center"/>
                </w:tcPr>
                <w:p w14:paraId="74AE6A24">
                  <w:pPr>
                    <w:widowControl/>
                    <w:spacing w:line="240" w:lineRule="auto"/>
                    <w:ind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color w:val="auto"/>
                      <w:kern w:val="0"/>
                      <w:sz w:val="21"/>
                      <w:szCs w:val="21"/>
                      <w:u w:val="none" w:color="auto"/>
                      <w:lang w:eastAsia="zh-CN"/>
                    </w:rPr>
                    <w:t>二类区</w:t>
                  </w:r>
                </w:p>
              </w:tc>
              <w:tc>
                <w:tcPr>
                  <w:tcW w:w="469" w:type="pct"/>
                  <w:tcBorders>
                    <w:top w:val="single" w:color="000000" w:sz="4" w:space="0"/>
                    <w:bottom w:val="single" w:color="000000" w:sz="4" w:space="0"/>
                    <w:right w:val="single" w:color="auto" w:sz="4" w:space="0"/>
                  </w:tcBorders>
                  <w:noWrap w:val="0"/>
                  <w:tcMar>
                    <w:top w:w="12" w:type="dxa"/>
                    <w:left w:w="12" w:type="dxa"/>
                    <w:right w:w="12" w:type="dxa"/>
                  </w:tcMar>
                  <w:vAlign w:val="center"/>
                </w:tcPr>
                <w:p w14:paraId="54963A05">
                  <w:pPr>
                    <w:widowControl/>
                    <w:spacing w:line="240" w:lineRule="auto"/>
                    <w:ind w:firstLine="0" w:firstLineChars="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W,320-700m</w:t>
                  </w:r>
                </w:p>
              </w:tc>
              <w:tc>
                <w:tcPr>
                  <w:tcW w:w="467" w:type="pct"/>
                  <w:tcBorders>
                    <w:top w:val="single" w:color="000000" w:sz="4" w:space="0"/>
                    <w:left w:val="single" w:color="auto" w:sz="4" w:space="0"/>
                    <w:bottom w:val="single" w:color="000000" w:sz="4" w:space="0"/>
                  </w:tcBorders>
                  <w:noWrap w:val="0"/>
                  <w:tcMar>
                    <w:top w:w="12" w:type="dxa"/>
                    <w:left w:w="12" w:type="dxa"/>
                    <w:right w:w="12" w:type="dxa"/>
                  </w:tcMar>
                  <w:vAlign w:val="center"/>
                </w:tcPr>
                <w:p w14:paraId="3FF14D53">
                  <w:pPr>
                    <w:widowControl/>
                    <w:spacing w:line="240" w:lineRule="auto"/>
                    <w:ind w:firstLine="0" w:firstLineChars="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建筑物阻隔</w:t>
                  </w:r>
                </w:p>
              </w:tc>
            </w:tr>
            <w:tr w14:paraId="15575E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4" w:hRule="atLeast"/>
              </w:trPr>
              <w:tc>
                <w:tcPr>
                  <w:tcW w:w="477" w:type="pct"/>
                  <w:vMerge w:val="continue"/>
                  <w:tcBorders>
                    <w:bottom w:val="single" w:color="000000" w:sz="6" w:space="0"/>
                    <w:right w:val="single" w:color="000000" w:sz="4" w:space="0"/>
                  </w:tcBorders>
                  <w:noWrap w:val="0"/>
                  <w:tcMar>
                    <w:top w:w="12" w:type="dxa"/>
                    <w:left w:w="12" w:type="dxa"/>
                    <w:right w:w="12" w:type="dxa"/>
                  </w:tcMar>
                  <w:vAlign w:val="center"/>
                </w:tcPr>
                <w:p w14:paraId="054C98A5">
                  <w:pPr>
                    <w:widowControl/>
                    <w:spacing w:line="240" w:lineRule="auto"/>
                    <w:ind w:firstLine="0" w:firstLineChars="0"/>
                    <w:jc w:val="center"/>
                    <w:rPr>
                      <w:rFonts w:hint="eastAsia"/>
                      <w:color w:val="auto"/>
                      <w:kern w:val="0"/>
                      <w:sz w:val="21"/>
                      <w:szCs w:val="21"/>
                      <w:u w:val="none" w:color="auto"/>
                      <w:lang w:eastAsia="zh-CN"/>
                    </w:rPr>
                  </w:pPr>
                </w:p>
              </w:tc>
              <w:tc>
                <w:tcPr>
                  <w:tcW w:w="697" w:type="pct"/>
                  <w:tcBorders>
                    <w:top w:val="single" w:color="000000" w:sz="4" w:space="0"/>
                    <w:left w:val="single" w:color="000000" w:sz="4" w:space="0"/>
                    <w:bottom w:val="single" w:color="000000" w:sz="6" w:space="0"/>
                  </w:tcBorders>
                  <w:noWrap w:val="0"/>
                  <w:tcMar>
                    <w:top w:w="12" w:type="dxa"/>
                    <w:left w:w="12" w:type="dxa"/>
                    <w:right w:w="12" w:type="dxa"/>
                  </w:tcMar>
                  <w:vAlign w:val="center"/>
                </w:tcPr>
                <w:p w14:paraId="162CB129">
                  <w:pPr>
                    <w:widowControl/>
                    <w:spacing w:line="240" w:lineRule="auto"/>
                    <w:ind w:firstLine="0" w:firstLineChars="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112.202103</w:t>
                  </w:r>
                </w:p>
              </w:tc>
              <w:tc>
                <w:tcPr>
                  <w:tcW w:w="717" w:type="pct"/>
                  <w:tcBorders>
                    <w:top w:val="single" w:color="000000" w:sz="4" w:space="0"/>
                    <w:left w:val="single" w:color="000000" w:sz="4" w:space="0"/>
                    <w:bottom w:val="single" w:color="000000" w:sz="6" w:space="0"/>
                  </w:tcBorders>
                  <w:noWrap w:val="0"/>
                  <w:tcMar>
                    <w:top w:w="12" w:type="dxa"/>
                    <w:left w:w="12" w:type="dxa"/>
                    <w:right w:w="12" w:type="dxa"/>
                  </w:tcMar>
                  <w:vAlign w:val="center"/>
                </w:tcPr>
                <w:p w14:paraId="00A58F9B">
                  <w:pPr>
                    <w:widowControl/>
                    <w:spacing w:line="240" w:lineRule="auto"/>
                    <w:ind w:firstLine="0" w:firstLineChars="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25.887527</w:t>
                  </w:r>
                </w:p>
              </w:tc>
              <w:tc>
                <w:tcPr>
                  <w:tcW w:w="1287" w:type="pct"/>
                  <w:tcBorders>
                    <w:top w:val="single" w:color="000000" w:sz="4" w:space="0"/>
                    <w:bottom w:val="single" w:color="000000" w:sz="6" w:space="0"/>
                  </w:tcBorders>
                  <w:noWrap w:val="0"/>
                  <w:tcMar>
                    <w:top w:w="12" w:type="dxa"/>
                    <w:left w:w="12" w:type="dxa"/>
                    <w:right w:w="12" w:type="dxa"/>
                  </w:tcMar>
                  <w:vAlign w:val="center"/>
                </w:tcPr>
                <w:p w14:paraId="6BBB23CB">
                  <w:pPr>
                    <w:widowControl/>
                    <w:spacing w:line="240" w:lineRule="auto"/>
                    <w:ind w:firstLine="0" w:firstLineChars="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德恒实验学校，约1000人</w:t>
                  </w:r>
                </w:p>
              </w:tc>
              <w:tc>
                <w:tcPr>
                  <w:tcW w:w="396" w:type="pct"/>
                  <w:tcBorders>
                    <w:top w:val="single" w:color="000000" w:sz="4" w:space="0"/>
                    <w:bottom w:val="single" w:color="000000" w:sz="6" w:space="0"/>
                  </w:tcBorders>
                  <w:noWrap w:val="0"/>
                  <w:tcMar>
                    <w:top w:w="12" w:type="dxa"/>
                    <w:left w:w="12" w:type="dxa"/>
                    <w:right w:w="12" w:type="dxa"/>
                  </w:tcMar>
                  <w:vAlign w:val="center"/>
                </w:tcPr>
                <w:p w14:paraId="71DEC769">
                  <w:pPr>
                    <w:widowControl/>
                    <w:spacing w:line="240" w:lineRule="auto"/>
                    <w:ind w:firstLine="0" w:firstLineChars="0"/>
                    <w:jc w:val="center"/>
                    <w:rPr>
                      <w:rFonts w:hint="eastAsia"/>
                      <w:color w:val="auto"/>
                      <w:kern w:val="0"/>
                      <w:sz w:val="21"/>
                      <w:szCs w:val="21"/>
                      <w:u w:val="none" w:color="auto"/>
                      <w:lang w:eastAsia="zh-CN"/>
                    </w:rPr>
                  </w:pPr>
                  <w:r>
                    <w:rPr>
                      <w:rFonts w:hint="eastAsia"/>
                      <w:color w:val="auto"/>
                      <w:kern w:val="0"/>
                      <w:sz w:val="21"/>
                      <w:szCs w:val="21"/>
                      <w:u w:val="none" w:color="auto"/>
                      <w:lang w:eastAsia="zh-CN"/>
                    </w:rPr>
                    <w:t>人群</w:t>
                  </w:r>
                </w:p>
              </w:tc>
              <w:tc>
                <w:tcPr>
                  <w:tcW w:w="487" w:type="pct"/>
                  <w:tcBorders>
                    <w:top w:val="single" w:color="000000" w:sz="4" w:space="0"/>
                    <w:bottom w:val="single" w:color="000000" w:sz="6" w:space="0"/>
                  </w:tcBorders>
                  <w:noWrap w:val="0"/>
                  <w:tcMar>
                    <w:top w:w="12" w:type="dxa"/>
                    <w:left w:w="12" w:type="dxa"/>
                    <w:right w:w="12" w:type="dxa"/>
                  </w:tcMar>
                  <w:vAlign w:val="center"/>
                </w:tcPr>
                <w:p w14:paraId="56CDA96C">
                  <w:pPr>
                    <w:widowControl/>
                    <w:spacing w:line="240" w:lineRule="auto"/>
                    <w:ind w:firstLine="0" w:firstLineChars="0"/>
                    <w:jc w:val="center"/>
                    <w:rPr>
                      <w:rFonts w:hint="eastAsia"/>
                      <w:color w:val="auto"/>
                      <w:kern w:val="0"/>
                      <w:sz w:val="21"/>
                      <w:szCs w:val="21"/>
                      <w:u w:val="none" w:color="auto"/>
                      <w:lang w:eastAsia="zh-CN"/>
                    </w:rPr>
                  </w:pPr>
                  <w:r>
                    <w:rPr>
                      <w:rFonts w:hint="eastAsia"/>
                      <w:color w:val="auto"/>
                      <w:kern w:val="0"/>
                      <w:sz w:val="21"/>
                      <w:szCs w:val="21"/>
                      <w:u w:val="none" w:color="auto"/>
                      <w:lang w:eastAsia="zh-CN"/>
                    </w:rPr>
                    <w:t>二类区</w:t>
                  </w:r>
                </w:p>
              </w:tc>
              <w:tc>
                <w:tcPr>
                  <w:tcW w:w="469" w:type="pct"/>
                  <w:tcBorders>
                    <w:top w:val="single" w:color="000000" w:sz="4" w:space="0"/>
                    <w:bottom w:val="single" w:color="000000" w:sz="6" w:space="0"/>
                    <w:right w:val="single" w:color="auto" w:sz="4" w:space="0"/>
                  </w:tcBorders>
                  <w:noWrap w:val="0"/>
                  <w:tcMar>
                    <w:top w:w="12" w:type="dxa"/>
                    <w:left w:w="12" w:type="dxa"/>
                    <w:right w:w="12" w:type="dxa"/>
                  </w:tcMar>
                  <w:vAlign w:val="center"/>
                </w:tcPr>
                <w:p w14:paraId="4E38AF22">
                  <w:pPr>
                    <w:widowControl/>
                    <w:spacing w:line="240" w:lineRule="auto"/>
                    <w:ind w:firstLine="0" w:firstLineChars="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ES,300-670m</w:t>
                  </w:r>
                </w:p>
              </w:tc>
              <w:tc>
                <w:tcPr>
                  <w:tcW w:w="467" w:type="pct"/>
                  <w:tcBorders>
                    <w:top w:val="single" w:color="000000" w:sz="4" w:space="0"/>
                    <w:left w:val="single" w:color="auto" w:sz="4" w:space="0"/>
                    <w:bottom w:val="single" w:color="000000" w:sz="6" w:space="0"/>
                  </w:tcBorders>
                  <w:noWrap w:val="0"/>
                  <w:tcMar>
                    <w:top w:w="12" w:type="dxa"/>
                    <w:left w:w="12" w:type="dxa"/>
                    <w:right w:w="12" w:type="dxa"/>
                  </w:tcMar>
                  <w:vAlign w:val="center"/>
                </w:tcPr>
                <w:p w14:paraId="6BAA40B4">
                  <w:pPr>
                    <w:widowControl/>
                    <w:spacing w:line="240" w:lineRule="auto"/>
                    <w:ind w:firstLine="0" w:firstLineChars="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建筑物阻隔</w:t>
                  </w:r>
                </w:p>
              </w:tc>
            </w:tr>
            <w:tr w14:paraId="047B67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2" w:hRule="atLeast"/>
              </w:trPr>
              <w:tc>
                <w:tcPr>
                  <w:tcW w:w="477" w:type="pct"/>
                  <w:vMerge w:val="continue"/>
                  <w:tcBorders>
                    <w:bottom w:val="single" w:color="000000" w:sz="6" w:space="0"/>
                    <w:right w:val="single" w:color="000000" w:sz="4" w:space="0"/>
                  </w:tcBorders>
                  <w:noWrap w:val="0"/>
                  <w:tcMar>
                    <w:top w:w="12" w:type="dxa"/>
                    <w:left w:w="12" w:type="dxa"/>
                    <w:right w:w="12" w:type="dxa"/>
                  </w:tcMar>
                  <w:vAlign w:val="center"/>
                </w:tcPr>
                <w:p w14:paraId="5FDE553B">
                  <w:pPr>
                    <w:widowControl/>
                    <w:spacing w:line="240" w:lineRule="auto"/>
                    <w:ind w:firstLine="0" w:firstLineChars="0"/>
                    <w:jc w:val="center"/>
                    <w:rPr>
                      <w:rFonts w:hint="eastAsia"/>
                      <w:color w:val="auto"/>
                      <w:kern w:val="0"/>
                      <w:sz w:val="21"/>
                      <w:szCs w:val="21"/>
                      <w:u w:val="none" w:color="auto"/>
                      <w:lang w:eastAsia="zh-CN"/>
                    </w:rPr>
                  </w:pPr>
                </w:p>
              </w:tc>
              <w:tc>
                <w:tcPr>
                  <w:tcW w:w="697" w:type="pct"/>
                  <w:tcBorders>
                    <w:top w:val="single" w:color="000000" w:sz="6" w:space="0"/>
                    <w:left w:val="single" w:color="000000" w:sz="4" w:space="0"/>
                    <w:bottom w:val="single" w:color="000000" w:sz="6" w:space="0"/>
                  </w:tcBorders>
                  <w:noWrap w:val="0"/>
                  <w:tcMar>
                    <w:top w:w="12" w:type="dxa"/>
                    <w:left w:w="12" w:type="dxa"/>
                    <w:right w:w="12" w:type="dxa"/>
                  </w:tcMar>
                  <w:vAlign w:val="center"/>
                </w:tcPr>
                <w:p w14:paraId="1C99533F">
                  <w:pPr>
                    <w:widowControl/>
                    <w:spacing w:line="240" w:lineRule="auto"/>
                    <w:ind w:firstLine="0" w:firstLineChars="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112.196932</w:t>
                  </w:r>
                </w:p>
              </w:tc>
              <w:tc>
                <w:tcPr>
                  <w:tcW w:w="717" w:type="pct"/>
                  <w:tcBorders>
                    <w:top w:val="single" w:color="000000" w:sz="6" w:space="0"/>
                    <w:left w:val="single" w:color="000000" w:sz="4" w:space="0"/>
                    <w:bottom w:val="single" w:color="000000" w:sz="6" w:space="0"/>
                  </w:tcBorders>
                  <w:noWrap w:val="0"/>
                  <w:tcMar>
                    <w:top w:w="12" w:type="dxa"/>
                    <w:left w:w="12" w:type="dxa"/>
                    <w:right w:w="12" w:type="dxa"/>
                  </w:tcMar>
                  <w:vAlign w:val="center"/>
                </w:tcPr>
                <w:p w14:paraId="049EA86C">
                  <w:pPr>
                    <w:widowControl/>
                    <w:spacing w:line="240" w:lineRule="auto"/>
                    <w:ind w:firstLine="0" w:firstLineChars="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25.893917</w:t>
                  </w:r>
                </w:p>
              </w:tc>
              <w:tc>
                <w:tcPr>
                  <w:tcW w:w="1287" w:type="pct"/>
                  <w:tcBorders>
                    <w:top w:val="single" w:color="000000" w:sz="6" w:space="0"/>
                    <w:bottom w:val="single" w:color="000000" w:sz="6" w:space="0"/>
                  </w:tcBorders>
                  <w:noWrap w:val="0"/>
                  <w:tcMar>
                    <w:top w:w="12" w:type="dxa"/>
                    <w:left w:w="12" w:type="dxa"/>
                    <w:right w:w="12" w:type="dxa"/>
                  </w:tcMar>
                  <w:vAlign w:val="center"/>
                </w:tcPr>
                <w:p w14:paraId="157EC952">
                  <w:pPr>
                    <w:widowControl/>
                    <w:spacing w:line="240" w:lineRule="auto"/>
                    <w:ind w:firstLine="0" w:firstLineChars="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易地扶贫安置点，约400户</w:t>
                  </w:r>
                </w:p>
              </w:tc>
              <w:tc>
                <w:tcPr>
                  <w:tcW w:w="396" w:type="pct"/>
                  <w:tcBorders>
                    <w:top w:val="single" w:color="000000" w:sz="6" w:space="0"/>
                    <w:bottom w:val="single" w:color="000000" w:sz="6" w:space="0"/>
                  </w:tcBorders>
                  <w:noWrap w:val="0"/>
                  <w:tcMar>
                    <w:top w:w="12" w:type="dxa"/>
                    <w:left w:w="12" w:type="dxa"/>
                    <w:right w:w="12" w:type="dxa"/>
                  </w:tcMar>
                  <w:vAlign w:val="center"/>
                </w:tcPr>
                <w:p w14:paraId="0FEE2AB8">
                  <w:pPr>
                    <w:widowControl/>
                    <w:spacing w:line="240" w:lineRule="auto"/>
                    <w:ind w:firstLine="0" w:firstLineChars="0"/>
                    <w:jc w:val="center"/>
                    <w:rPr>
                      <w:rFonts w:hint="eastAsia"/>
                      <w:color w:val="auto"/>
                      <w:kern w:val="0"/>
                      <w:sz w:val="21"/>
                      <w:szCs w:val="21"/>
                      <w:u w:val="none" w:color="auto"/>
                      <w:lang w:eastAsia="zh-CN"/>
                    </w:rPr>
                  </w:pPr>
                  <w:r>
                    <w:rPr>
                      <w:rFonts w:hint="eastAsia"/>
                      <w:color w:val="auto"/>
                      <w:kern w:val="0"/>
                      <w:sz w:val="21"/>
                      <w:szCs w:val="21"/>
                      <w:u w:val="none" w:color="auto"/>
                      <w:lang w:eastAsia="zh-CN"/>
                    </w:rPr>
                    <w:t>人群</w:t>
                  </w:r>
                </w:p>
              </w:tc>
              <w:tc>
                <w:tcPr>
                  <w:tcW w:w="487" w:type="pct"/>
                  <w:tcBorders>
                    <w:top w:val="single" w:color="000000" w:sz="6" w:space="0"/>
                    <w:bottom w:val="single" w:color="000000" w:sz="6" w:space="0"/>
                  </w:tcBorders>
                  <w:noWrap w:val="0"/>
                  <w:tcMar>
                    <w:top w:w="12" w:type="dxa"/>
                    <w:left w:w="12" w:type="dxa"/>
                    <w:right w:w="12" w:type="dxa"/>
                  </w:tcMar>
                  <w:vAlign w:val="center"/>
                </w:tcPr>
                <w:p w14:paraId="3EE79DE2">
                  <w:pPr>
                    <w:widowControl/>
                    <w:spacing w:line="240" w:lineRule="auto"/>
                    <w:ind w:firstLine="0" w:firstLineChars="0"/>
                    <w:jc w:val="center"/>
                    <w:rPr>
                      <w:rFonts w:hint="eastAsia"/>
                      <w:color w:val="auto"/>
                      <w:kern w:val="0"/>
                      <w:sz w:val="21"/>
                      <w:szCs w:val="21"/>
                      <w:u w:val="none" w:color="auto"/>
                      <w:lang w:eastAsia="zh-CN"/>
                    </w:rPr>
                  </w:pPr>
                  <w:r>
                    <w:rPr>
                      <w:rFonts w:hint="eastAsia"/>
                      <w:color w:val="auto"/>
                      <w:kern w:val="0"/>
                      <w:sz w:val="21"/>
                      <w:szCs w:val="21"/>
                      <w:u w:val="none" w:color="auto"/>
                      <w:lang w:eastAsia="zh-CN"/>
                    </w:rPr>
                    <w:t>二类区</w:t>
                  </w:r>
                </w:p>
              </w:tc>
              <w:tc>
                <w:tcPr>
                  <w:tcW w:w="469" w:type="pct"/>
                  <w:tcBorders>
                    <w:top w:val="single" w:color="000000" w:sz="6" w:space="0"/>
                    <w:bottom w:val="single" w:color="000000" w:sz="6" w:space="0"/>
                    <w:right w:val="single" w:color="auto" w:sz="4" w:space="0"/>
                  </w:tcBorders>
                  <w:noWrap w:val="0"/>
                  <w:tcMar>
                    <w:top w:w="12" w:type="dxa"/>
                    <w:left w:w="12" w:type="dxa"/>
                    <w:right w:w="12" w:type="dxa"/>
                  </w:tcMar>
                  <w:vAlign w:val="center"/>
                </w:tcPr>
                <w:p w14:paraId="2506E7C2">
                  <w:pPr>
                    <w:widowControl/>
                    <w:spacing w:line="240" w:lineRule="auto"/>
                    <w:ind w:firstLine="0" w:firstLineChars="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N,260-580m</w:t>
                  </w:r>
                </w:p>
              </w:tc>
              <w:tc>
                <w:tcPr>
                  <w:tcW w:w="467" w:type="pct"/>
                  <w:tcBorders>
                    <w:top w:val="single" w:color="000000" w:sz="6" w:space="0"/>
                    <w:left w:val="single" w:color="auto" w:sz="4" w:space="0"/>
                    <w:bottom w:val="single" w:color="000000" w:sz="6" w:space="0"/>
                  </w:tcBorders>
                  <w:noWrap w:val="0"/>
                  <w:tcMar>
                    <w:top w:w="12" w:type="dxa"/>
                    <w:left w:w="12" w:type="dxa"/>
                    <w:right w:w="12" w:type="dxa"/>
                  </w:tcMar>
                  <w:vAlign w:val="center"/>
                </w:tcPr>
                <w:p w14:paraId="660CF646">
                  <w:pPr>
                    <w:widowControl/>
                    <w:spacing w:line="240" w:lineRule="auto"/>
                    <w:ind w:firstLine="0" w:firstLineChars="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建筑物阻隔</w:t>
                  </w:r>
                </w:p>
              </w:tc>
            </w:tr>
            <w:tr w14:paraId="757896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5" w:hRule="atLeast"/>
              </w:trPr>
              <w:tc>
                <w:tcPr>
                  <w:tcW w:w="5000" w:type="pct"/>
                  <w:gridSpan w:val="8"/>
                  <w:tcBorders>
                    <w:top w:val="single" w:color="000000" w:sz="6" w:space="0"/>
                  </w:tcBorders>
                  <w:noWrap w:val="0"/>
                  <w:tcMar>
                    <w:top w:w="12" w:type="dxa"/>
                    <w:left w:w="12" w:type="dxa"/>
                    <w:right w:w="12" w:type="dxa"/>
                  </w:tcMar>
                  <w:vAlign w:val="center"/>
                </w:tcPr>
                <w:p w14:paraId="4982CBC0">
                  <w:pPr>
                    <w:widowControl/>
                    <w:spacing w:line="240" w:lineRule="auto"/>
                    <w:ind w:firstLine="0" w:firstLineChars="0"/>
                    <w:jc w:val="center"/>
                    <w:rPr>
                      <w:rFonts w:hint="eastAsia"/>
                      <w:bCs/>
                      <w:color w:val="auto"/>
                      <w:sz w:val="21"/>
                      <w:szCs w:val="21"/>
                      <w:u w:val="none" w:color="auto"/>
                    </w:rPr>
                  </w:pPr>
                  <w:r>
                    <w:rPr>
                      <w:rFonts w:hint="eastAsia"/>
                      <w:bCs/>
                      <w:color w:val="auto"/>
                      <w:sz w:val="21"/>
                      <w:szCs w:val="21"/>
                      <w:u w:val="none" w:color="auto"/>
                    </w:rPr>
                    <w:t>声环境：厂界外50m范围内无声环境保护目标</w:t>
                  </w:r>
                </w:p>
              </w:tc>
            </w:tr>
            <w:tr w14:paraId="7F4397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 w:hRule="atLeast"/>
              </w:trPr>
              <w:tc>
                <w:tcPr>
                  <w:tcW w:w="477" w:type="pct"/>
                  <w:noWrap w:val="0"/>
                  <w:tcMar>
                    <w:top w:w="12" w:type="dxa"/>
                    <w:left w:w="12" w:type="dxa"/>
                    <w:right w:w="12" w:type="dxa"/>
                  </w:tcMar>
                  <w:vAlign w:val="center"/>
                </w:tcPr>
                <w:p w14:paraId="06623552">
                  <w:pPr>
                    <w:autoSpaceDE w:val="0"/>
                    <w:autoSpaceDN w:val="0"/>
                    <w:spacing w:line="240" w:lineRule="auto"/>
                    <w:ind w:firstLine="0" w:firstLineChars="0"/>
                    <w:jc w:val="center"/>
                    <w:textAlignment w:val="baseline"/>
                    <w:rPr>
                      <w:rFonts w:hint="eastAsia"/>
                      <w:bCs/>
                      <w:color w:val="auto"/>
                      <w:sz w:val="21"/>
                      <w:szCs w:val="21"/>
                      <w:u w:val="none" w:color="auto"/>
                      <w:lang w:val="zh-CN"/>
                    </w:rPr>
                  </w:pPr>
                  <w:r>
                    <w:rPr>
                      <w:rFonts w:hint="eastAsia"/>
                      <w:bCs/>
                      <w:color w:val="auto"/>
                      <w:sz w:val="21"/>
                      <w:szCs w:val="21"/>
                      <w:u w:val="none" w:color="auto"/>
                      <w:lang w:val="zh-CN"/>
                    </w:rPr>
                    <w:t>地下水环境</w:t>
                  </w:r>
                </w:p>
              </w:tc>
              <w:tc>
                <w:tcPr>
                  <w:tcW w:w="4522" w:type="pct"/>
                  <w:gridSpan w:val="7"/>
                  <w:tcBorders>
                    <w:right w:val="single" w:color="auto" w:sz="4" w:space="0"/>
                  </w:tcBorders>
                  <w:noWrap w:val="0"/>
                  <w:tcMar>
                    <w:top w:w="12" w:type="dxa"/>
                    <w:left w:w="12" w:type="dxa"/>
                    <w:right w:w="12" w:type="dxa"/>
                  </w:tcMar>
                  <w:vAlign w:val="center"/>
                </w:tcPr>
                <w:p w14:paraId="30234C88">
                  <w:pPr>
                    <w:autoSpaceDE w:val="0"/>
                    <w:autoSpaceDN w:val="0"/>
                    <w:spacing w:line="240" w:lineRule="auto"/>
                    <w:ind w:firstLine="0" w:firstLineChars="0"/>
                    <w:jc w:val="center"/>
                    <w:textAlignment w:val="baseline"/>
                    <w:rPr>
                      <w:rFonts w:hint="eastAsia"/>
                      <w:bCs/>
                      <w:color w:val="auto"/>
                      <w:sz w:val="21"/>
                      <w:szCs w:val="21"/>
                      <w:u w:val="none" w:color="auto"/>
                      <w:lang w:val="zh-CN"/>
                    </w:rPr>
                  </w:pPr>
                  <w:r>
                    <w:rPr>
                      <w:rFonts w:hint="eastAsia"/>
                      <w:bCs/>
                      <w:color w:val="auto"/>
                      <w:sz w:val="21"/>
                      <w:szCs w:val="21"/>
                      <w:u w:val="none" w:color="auto"/>
                      <w:lang w:val="zh-CN"/>
                    </w:rPr>
                    <w:t>厂界外500米范围内无地下水集中式饮用水水源和热水、矿泉水、温泉等特殊地下水资源</w:t>
                  </w:r>
                </w:p>
              </w:tc>
            </w:tr>
            <w:tr w14:paraId="6D5D75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 w:hRule="atLeast"/>
              </w:trPr>
              <w:tc>
                <w:tcPr>
                  <w:tcW w:w="477" w:type="pct"/>
                  <w:noWrap w:val="0"/>
                  <w:tcMar>
                    <w:top w:w="12" w:type="dxa"/>
                    <w:left w:w="12" w:type="dxa"/>
                    <w:right w:w="12" w:type="dxa"/>
                  </w:tcMar>
                  <w:vAlign w:val="center"/>
                </w:tcPr>
                <w:p w14:paraId="736C7F2C">
                  <w:pPr>
                    <w:autoSpaceDE w:val="0"/>
                    <w:autoSpaceDN w:val="0"/>
                    <w:spacing w:line="240" w:lineRule="auto"/>
                    <w:ind w:firstLine="0" w:firstLineChars="0"/>
                    <w:jc w:val="center"/>
                    <w:textAlignment w:val="baseline"/>
                    <w:rPr>
                      <w:rFonts w:hint="eastAsia"/>
                      <w:bCs/>
                      <w:color w:val="auto"/>
                      <w:sz w:val="21"/>
                      <w:szCs w:val="21"/>
                      <w:u w:val="none" w:color="auto"/>
                      <w:lang w:val="zh-CN"/>
                    </w:rPr>
                  </w:pPr>
                  <w:r>
                    <w:rPr>
                      <w:rFonts w:hint="eastAsia"/>
                      <w:bCs/>
                      <w:color w:val="auto"/>
                      <w:sz w:val="21"/>
                      <w:szCs w:val="21"/>
                      <w:u w:val="none" w:color="auto"/>
                      <w:lang w:val="zh-CN"/>
                    </w:rPr>
                    <w:t>生态环境</w:t>
                  </w:r>
                </w:p>
              </w:tc>
              <w:tc>
                <w:tcPr>
                  <w:tcW w:w="4522" w:type="pct"/>
                  <w:gridSpan w:val="7"/>
                  <w:tcBorders>
                    <w:right w:val="single" w:color="auto" w:sz="4" w:space="0"/>
                  </w:tcBorders>
                  <w:noWrap w:val="0"/>
                  <w:tcMar>
                    <w:top w:w="12" w:type="dxa"/>
                    <w:left w:w="12" w:type="dxa"/>
                    <w:right w:w="12" w:type="dxa"/>
                  </w:tcMar>
                  <w:vAlign w:val="center"/>
                </w:tcPr>
                <w:p w14:paraId="1E6D9AB4">
                  <w:pPr>
                    <w:autoSpaceDE w:val="0"/>
                    <w:autoSpaceDN w:val="0"/>
                    <w:spacing w:line="240" w:lineRule="auto"/>
                    <w:ind w:firstLine="0" w:firstLineChars="0"/>
                    <w:jc w:val="center"/>
                    <w:textAlignment w:val="baseline"/>
                    <w:rPr>
                      <w:rFonts w:hint="eastAsia"/>
                      <w:bCs/>
                      <w:color w:val="auto"/>
                      <w:sz w:val="21"/>
                      <w:szCs w:val="21"/>
                      <w:u w:val="none" w:color="auto"/>
                      <w:lang w:val="zh-CN"/>
                    </w:rPr>
                  </w:pPr>
                  <w:r>
                    <w:rPr>
                      <w:rFonts w:hint="eastAsia"/>
                      <w:bCs/>
                      <w:color w:val="auto"/>
                      <w:sz w:val="21"/>
                      <w:szCs w:val="21"/>
                      <w:u w:val="none" w:color="auto"/>
                      <w:lang w:val="en-US" w:eastAsia="zh-CN"/>
                    </w:rPr>
                    <w:t>工业园规划的工业</w:t>
                  </w:r>
                  <w:r>
                    <w:rPr>
                      <w:rFonts w:hint="eastAsia"/>
                      <w:bCs/>
                      <w:color w:val="auto"/>
                      <w:sz w:val="21"/>
                      <w:szCs w:val="21"/>
                      <w:u w:val="none" w:color="auto"/>
                      <w:lang w:val="zh-CN"/>
                    </w:rPr>
                    <w:t>用地，不涉及生态环境保护目标</w:t>
                  </w:r>
                </w:p>
              </w:tc>
            </w:tr>
          </w:tbl>
          <w:p w14:paraId="6F348A54">
            <w:pPr>
              <w:ind w:firstLine="0" w:firstLineChars="0"/>
              <w:rPr>
                <w:color w:val="auto"/>
                <w:u w:val="none" w:color="auto"/>
              </w:rPr>
            </w:pPr>
          </w:p>
        </w:tc>
      </w:tr>
      <w:tr w14:paraId="76EAFA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451" w:type="dxa"/>
            <w:noWrap w:val="0"/>
            <w:tcMar>
              <w:left w:w="28" w:type="dxa"/>
              <w:right w:w="28" w:type="dxa"/>
            </w:tcMar>
            <w:vAlign w:val="center"/>
          </w:tcPr>
          <w:p w14:paraId="1946051E">
            <w:pPr>
              <w:pStyle w:val="11"/>
              <w:rPr>
                <w:rFonts w:hint="eastAsia"/>
                <w:color w:val="auto"/>
                <w:u w:val="none" w:color="auto"/>
              </w:rPr>
            </w:pPr>
            <w:r>
              <w:rPr>
                <w:rFonts w:hint="eastAsia"/>
                <w:color w:val="auto"/>
                <w:u w:val="none" w:color="auto"/>
              </w:rPr>
              <w:t>污染</w:t>
            </w:r>
          </w:p>
          <w:p w14:paraId="374F51E2">
            <w:pPr>
              <w:pStyle w:val="11"/>
              <w:rPr>
                <w:rFonts w:hint="eastAsia"/>
                <w:color w:val="auto"/>
                <w:u w:val="none" w:color="auto"/>
              </w:rPr>
            </w:pPr>
            <w:r>
              <w:rPr>
                <w:rFonts w:hint="eastAsia"/>
                <w:color w:val="auto"/>
                <w:u w:val="none" w:color="auto"/>
              </w:rPr>
              <w:t>物排</w:t>
            </w:r>
          </w:p>
          <w:p w14:paraId="5056D48E">
            <w:pPr>
              <w:pStyle w:val="11"/>
              <w:rPr>
                <w:rFonts w:hint="eastAsia"/>
                <w:color w:val="auto"/>
                <w:u w:val="none" w:color="auto"/>
              </w:rPr>
            </w:pPr>
            <w:r>
              <w:rPr>
                <w:rFonts w:hint="eastAsia"/>
                <w:color w:val="auto"/>
                <w:u w:val="none" w:color="auto"/>
              </w:rPr>
              <w:t>放控</w:t>
            </w:r>
          </w:p>
          <w:p w14:paraId="37CFA7A9">
            <w:pPr>
              <w:pStyle w:val="11"/>
              <w:rPr>
                <w:rFonts w:hint="eastAsia"/>
                <w:color w:val="auto"/>
                <w:u w:val="none" w:color="auto"/>
              </w:rPr>
            </w:pPr>
            <w:r>
              <w:rPr>
                <w:rFonts w:hint="eastAsia"/>
                <w:color w:val="auto"/>
                <w:u w:val="none" w:color="auto"/>
              </w:rPr>
              <w:t>制标</w:t>
            </w:r>
          </w:p>
          <w:p w14:paraId="20B944FD">
            <w:pPr>
              <w:pStyle w:val="11"/>
              <w:rPr>
                <w:rFonts w:hint="eastAsia"/>
                <w:color w:val="auto"/>
                <w:u w:val="none" w:color="auto"/>
              </w:rPr>
            </w:pPr>
            <w:r>
              <w:rPr>
                <w:rFonts w:hint="eastAsia"/>
                <w:color w:val="auto"/>
                <w:u w:val="none" w:color="auto"/>
              </w:rPr>
              <w:t>准</w:t>
            </w:r>
          </w:p>
        </w:tc>
        <w:tc>
          <w:tcPr>
            <w:tcW w:w="8610" w:type="dxa"/>
            <w:noWrap w:val="0"/>
            <w:vAlign w:val="center"/>
          </w:tcPr>
          <w:p w14:paraId="51F00319">
            <w:pPr>
              <w:bidi w:val="0"/>
              <w:rPr>
                <w:color w:val="auto"/>
                <w:u w:val="none" w:color="auto"/>
              </w:rPr>
            </w:pPr>
            <w:r>
              <w:rPr>
                <w:color w:val="auto"/>
                <w:u w:val="none" w:color="auto"/>
              </w:rPr>
              <w:t>（1）废气</w:t>
            </w:r>
          </w:p>
          <w:p w14:paraId="045D310D">
            <w:pPr>
              <w:bidi w:val="0"/>
              <w:rPr>
                <w:color w:val="auto"/>
                <w:u w:val="none" w:color="auto"/>
              </w:rPr>
            </w:pPr>
            <w:r>
              <w:rPr>
                <w:color w:val="auto"/>
                <w:u w:val="none" w:color="auto"/>
              </w:rPr>
              <w:t>本项目营运期</w:t>
            </w:r>
            <w:r>
              <w:rPr>
                <w:rFonts w:hint="eastAsia"/>
                <w:color w:val="auto"/>
                <w:u w:val="none" w:color="auto"/>
              </w:rPr>
              <w:t>颗粒物</w:t>
            </w:r>
            <w:r>
              <w:rPr>
                <w:rFonts w:hint="eastAsia"/>
                <w:color w:val="auto"/>
                <w:u w:val="none" w:color="auto"/>
                <w:lang w:eastAsia="zh-CN"/>
              </w:rPr>
              <w:t>、</w:t>
            </w:r>
            <w:r>
              <w:rPr>
                <w:rFonts w:hint="eastAsia"/>
                <w:color w:val="auto"/>
                <w:u w:val="none" w:color="auto"/>
              </w:rPr>
              <w:t>非甲烷总烃</w:t>
            </w:r>
            <w:r>
              <w:rPr>
                <w:rFonts w:hint="eastAsia"/>
                <w:color w:val="auto"/>
                <w:u w:val="none" w:color="auto"/>
                <w:lang w:eastAsia="zh-CN"/>
              </w:rPr>
              <w:t>有组织</w:t>
            </w:r>
            <w:r>
              <w:rPr>
                <w:rFonts w:hint="eastAsia"/>
                <w:color w:val="auto"/>
                <w:u w:val="none" w:color="auto"/>
              </w:rPr>
              <w:t>排放执行《电池工业污染物排放标准》(GB30484-2013</w:t>
            </w:r>
            <w:r>
              <w:rPr>
                <w:rFonts w:hint="eastAsia"/>
                <w:color w:val="auto"/>
                <w:u w:val="none" w:color="auto"/>
                <w:lang w:eastAsia="zh-CN"/>
              </w:rPr>
              <w:t>）</w:t>
            </w:r>
            <w:r>
              <w:rPr>
                <w:rFonts w:hint="eastAsia"/>
                <w:color w:val="auto"/>
                <w:u w:val="none" w:color="auto"/>
              </w:rPr>
              <w:t>表</w:t>
            </w:r>
            <w:r>
              <w:rPr>
                <w:rFonts w:hint="eastAsia"/>
                <w:color w:val="auto"/>
                <w:u w:val="none" w:color="auto"/>
                <w:lang w:val="en-US" w:eastAsia="zh-CN"/>
              </w:rPr>
              <w:t>5</w:t>
            </w:r>
            <w:r>
              <w:rPr>
                <w:rFonts w:hint="eastAsia"/>
                <w:color w:val="auto"/>
                <w:u w:val="none" w:color="auto"/>
              </w:rPr>
              <w:t>新建企业大气污染物</w:t>
            </w:r>
            <w:r>
              <w:rPr>
                <w:rFonts w:hint="eastAsia"/>
                <w:color w:val="auto"/>
                <w:u w:val="none" w:color="auto"/>
                <w:lang w:eastAsia="zh-CN"/>
              </w:rPr>
              <w:t>排放</w:t>
            </w:r>
            <w:r>
              <w:rPr>
                <w:rFonts w:hint="eastAsia"/>
                <w:color w:val="auto"/>
                <w:u w:val="none" w:color="auto"/>
              </w:rPr>
              <w:t>限值；颗粒物</w:t>
            </w:r>
            <w:r>
              <w:rPr>
                <w:rFonts w:hint="eastAsia"/>
                <w:color w:val="auto"/>
                <w:u w:val="none" w:color="auto"/>
                <w:lang w:eastAsia="zh-CN"/>
              </w:rPr>
              <w:t>、</w:t>
            </w:r>
            <w:r>
              <w:rPr>
                <w:rFonts w:hint="eastAsia"/>
                <w:color w:val="auto"/>
                <w:u w:val="none" w:color="auto"/>
              </w:rPr>
              <w:t>非甲烷总烃</w:t>
            </w:r>
            <w:r>
              <w:rPr>
                <w:rFonts w:hint="eastAsia"/>
                <w:color w:val="auto"/>
                <w:u w:val="none" w:color="auto"/>
                <w:lang w:eastAsia="zh-CN"/>
              </w:rPr>
              <w:t>无组织</w:t>
            </w:r>
            <w:r>
              <w:rPr>
                <w:rFonts w:hint="eastAsia"/>
                <w:color w:val="auto"/>
                <w:u w:val="none" w:color="auto"/>
              </w:rPr>
              <w:t>排放执行</w:t>
            </w:r>
            <w:r>
              <w:rPr>
                <w:color w:val="auto"/>
                <w:u w:val="none" w:color="auto"/>
              </w:rPr>
              <w:t>《电池工业污染物排放标准》</w:t>
            </w:r>
            <w:r>
              <w:rPr>
                <w:rFonts w:hint="eastAsia"/>
                <w:color w:val="auto"/>
                <w:u w:val="none" w:color="auto"/>
              </w:rPr>
              <w:t>（</w:t>
            </w:r>
            <w:r>
              <w:rPr>
                <w:color w:val="auto"/>
                <w:u w:val="none" w:color="auto"/>
              </w:rPr>
              <w:t>GB30484-2013）</w:t>
            </w:r>
            <w:r>
              <w:rPr>
                <w:rFonts w:hint="eastAsia"/>
                <w:color w:val="auto"/>
                <w:u w:val="none" w:color="auto"/>
              </w:rPr>
              <w:t>表6中</w:t>
            </w:r>
            <w:r>
              <w:rPr>
                <w:rFonts w:hint="eastAsia"/>
                <w:color w:val="auto"/>
                <w:u w:val="none" w:color="auto"/>
                <w:lang w:val="zh-CN" w:eastAsia="zh-CN"/>
              </w:rPr>
              <w:t>企业边界大气污染物浓度限值</w:t>
            </w:r>
            <w:r>
              <w:rPr>
                <w:rFonts w:hint="eastAsia"/>
                <w:color w:val="auto"/>
                <w:u w:val="none" w:color="auto"/>
                <w:lang w:eastAsia="zh-CN"/>
              </w:rPr>
              <w:t>。</w:t>
            </w:r>
          </w:p>
          <w:p w14:paraId="225CF394">
            <w:pPr>
              <w:spacing w:line="400" w:lineRule="exact"/>
              <w:ind w:firstLine="422"/>
              <w:jc w:val="center"/>
              <w:rPr>
                <w:b/>
                <w:color w:val="auto"/>
                <w:sz w:val="21"/>
                <w:szCs w:val="21"/>
                <w:u w:val="none" w:color="auto"/>
              </w:rPr>
            </w:pPr>
            <w:r>
              <w:rPr>
                <w:rFonts w:hint="eastAsia"/>
                <w:b/>
                <w:color w:val="auto"/>
                <w:sz w:val="21"/>
                <w:szCs w:val="21"/>
                <w:u w:val="none" w:color="auto"/>
              </w:rPr>
              <w:t>表3-</w:t>
            </w:r>
            <w:r>
              <w:rPr>
                <w:rFonts w:hint="eastAsia"/>
                <w:b/>
                <w:color w:val="auto"/>
                <w:sz w:val="21"/>
                <w:szCs w:val="21"/>
                <w:u w:val="none" w:color="auto"/>
                <w:lang w:val="en-US" w:eastAsia="zh-CN"/>
              </w:rPr>
              <w:t>5</w:t>
            </w:r>
            <w:r>
              <w:rPr>
                <w:rFonts w:hint="eastAsia"/>
                <w:b/>
                <w:color w:val="auto"/>
                <w:sz w:val="21"/>
                <w:szCs w:val="21"/>
                <w:u w:val="none" w:color="auto"/>
              </w:rPr>
              <w:t>电池工业污染物排放标准（表5、6部分标准）</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1"/>
              <w:gridCol w:w="2504"/>
              <w:gridCol w:w="960"/>
              <w:gridCol w:w="3462"/>
            </w:tblGrid>
            <w:tr w14:paraId="673FD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66" w:type="pct"/>
                  <w:vMerge w:val="restart"/>
                  <w:noWrap w:val="0"/>
                  <w:vAlign w:val="center"/>
                </w:tcPr>
                <w:p w14:paraId="3AE89250">
                  <w:pPr>
                    <w:autoSpaceDE w:val="0"/>
                    <w:autoSpaceDN w:val="0"/>
                    <w:spacing w:line="240" w:lineRule="auto"/>
                    <w:ind w:firstLine="0" w:firstLineChars="0"/>
                    <w:jc w:val="center"/>
                    <w:textAlignment w:val="baseline"/>
                    <w:rPr>
                      <w:bCs/>
                      <w:color w:val="auto"/>
                      <w:sz w:val="21"/>
                      <w:szCs w:val="21"/>
                      <w:u w:val="none" w:color="auto"/>
                      <w:lang w:val="zh-CN"/>
                    </w:rPr>
                  </w:pPr>
                  <w:r>
                    <w:rPr>
                      <w:rFonts w:hint="eastAsia"/>
                      <w:bCs/>
                      <w:color w:val="auto"/>
                      <w:sz w:val="21"/>
                      <w:szCs w:val="21"/>
                      <w:u w:val="none" w:color="auto"/>
                      <w:lang w:val="zh-CN"/>
                    </w:rPr>
                    <w:t>污染物名称</w:t>
                  </w:r>
                </w:p>
              </w:tc>
              <w:tc>
                <w:tcPr>
                  <w:tcW w:w="2067" w:type="pct"/>
                  <w:gridSpan w:val="2"/>
                  <w:vMerge w:val="restart"/>
                  <w:noWrap w:val="0"/>
                  <w:vAlign w:val="center"/>
                </w:tcPr>
                <w:p w14:paraId="6A82700D">
                  <w:pPr>
                    <w:autoSpaceDE w:val="0"/>
                    <w:autoSpaceDN w:val="0"/>
                    <w:spacing w:line="240" w:lineRule="auto"/>
                    <w:ind w:firstLine="0" w:firstLineChars="0"/>
                    <w:jc w:val="center"/>
                    <w:textAlignment w:val="baseline"/>
                    <w:rPr>
                      <w:bCs/>
                      <w:color w:val="auto"/>
                      <w:sz w:val="21"/>
                      <w:szCs w:val="21"/>
                      <w:u w:val="none" w:color="auto"/>
                      <w:lang w:val="zh-CN"/>
                    </w:rPr>
                  </w:pPr>
                  <w:r>
                    <w:rPr>
                      <w:rFonts w:hint="eastAsia"/>
                      <w:bCs/>
                      <w:color w:val="auto"/>
                      <w:sz w:val="21"/>
                      <w:szCs w:val="21"/>
                      <w:u w:val="none" w:color="auto"/>
                      <w:lang w:val="zh-CN"/>
                    </w:rPr>
                    <w:t>表5大气污染物排放限值mg/m</w:t>
                  </w:r>
                  <w:r>
                    <w:rPr>
                      <w:rFonts w:hint="eastAsia"/>
                      <w:bCs/>
                      <w:color w:val="auto"/>
                      <w:sz w:val="21"/>
                      <w:szCs w:val="21"/>
                      <w:u w:val="none" w:color="auto"/>
                      <w:vertAlign w:val="superscript"/>
                      <w:lang w:val="zh-CN"/>
                    </w:rPr>
                    <w:t>3</w:t>
                  </w:r>
                  <w:r>
                    <w:rPr>
                      <w:rFonts w:hint="eastAsia"/>
                      <w:bCs/>
                      <w:color w:val="auto"/>
                      <w:sz w:val="21"/>
                      <w:szCs w:val="21"/>
                      <w:u w:val="none" w:color="auto"/>
                      <w:lang w:val="zh-CN"/>
                    </w:rPr>
                    <w:t>（锂离子/锂电池）</w:t>
                  </w:r>
                </w:p>
              </w:tc>
              <w:tc>
                <w:tcPr>
                  <w:tcW w:w="2066" w:type="pct"/>
                  <w:vMerge w:val="restart"/>
                  <w:noWrap w:val="0"/>
                  <w:vAlign w:val="center"/>
                </w:tcPr>
                <w:p w14:paraId="278D71B3">
                  <w:pPr>
                    <w:autoSpaceDE w:val="0"/>
                    <w:autoSpaceDN w:val="0"/>
                    <w:spacing w:line="240" w:lineRule="auto"/>
                    <w:ind w:firstLine="0" w:firstLineChars="0"/>
                    <w:jc w:val="center"/>
                    <w:textAlignment w:val="baseline"/>
                    <w:rPr>
                      <w:bCs/>
                      <w:color w:val="auto"/>
                      <w:sz w:val="21"/>
                      <w:szCs w:val="21"/>
                      <w:u w:val="none" w:color="auto"/>
                      <w:lang w:val="zh-CN"/>
                    </w:rPr>
                  </w:pPr>
                  <w:r>
                    <w:rPr>
                      <w:rFonts w:hint="eastAsia"/>
                      <w:bCs/>
                      <w:color w:val="auto"/>
                      <w:sz w:val="21"/>
                      <w:szCs w:val="21"/>
                      <w:u w:val="none" w:color="auto"/>
                      <w:lang w:val="zh-CN"/>
                    </w:rPr>
                    <w:t>表6现有和新建企业边界大气污染物浓度限值mg/m</w:t>
                  </w:r>
                  <w:r>
                    <w:rPr>
                      <w:rFonts w:hint="eastAsia"/>
                      <w:bCs/>
                      <w:color w:val="auto"/>
                      <w:sz w:val="21"/>
                      <w:szCs w:val="21"/>
                      <w:u w:val="none" w:color="auto"/>
                      <w:vertAlign w:val="superscript"/>
                      <w:lang w:val="zh-CN"/>
                    </w:rPr>
                    <w:t>3</w:t>
                  </w:r>
                </w:p>
              </w:tc>
            </w:tr>
            <w:tr w14:paraId="6EE06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66" w:type="pct"/>
                  <w:vMerge w:val="continue"/>
                  <w:noWrap w:val="0"/>
                  <w:vAlign w:val="center"/>
                </w:tcPr>
                <w:p w14:paraId="11AD026B">
                  <w:pPr>
                    <w:autoSpaceDE w:val="0"/>
                    <w:autoSpaceDN w:val="0"/>
                    <w:spacing w:line="240" w:lineRule="auto"/>
                    <w:ind w:firstLine="0" w:firstLineChars="0"/>
                    <w:jc w:val="center"/>
                    <w:textAlignment w:val="baseline"/>
                    <w:rPr>
                      <w:bCs/>
                      <w:color w:val="auto"/>
                      <w:sz w:val="21"/>
                      <w:szCs w:val="21"/>
                      <w:u w:val="none" w:color="auto"/>
                      <w:lang w:val="zh-CN"/>
                    </w:rPr>
                  </w:pPr>
                </w:p>
              </w:tc>
              <w:tc>
                <w:tcPr>
                  <w:tcW w:w="2067" w:type="pct"/>
                  <w:gridSpan w:val="2"/>
                  <w:vMerge w:val="continue"/>
                  <w:noWrap w:val="0"/>
                  <w:vAlign w:val="center"/>
                </w:tcPr>
                <w:p w14:paraId="32C67D34">
                  <w:pPr>
                    <w:autoSpaceDE w:val="0"/>
                    <w:autoSpaceDN w:val="0"/>
                    <w:spacing w:line="240" w:lineRule="auto"/>
                    <w:ind w:firstLine="0" w:firstLineChars="0"/>
                    <w:jc w:val="center"/>
                    <w:textAlignment w:val="baseline"/>
                    <w:rPr>
                      <w:bCs/>
                      <w:color w:val="auto"/>
                      <w:sz w:val="21"/>
                      <w:szCs w:val="21"/>
                      <w:u w:val="none" w:color="auto"/>
                      <w:lang w:val="zh-CN"/>
                    </w:rPr>
                  </w:pPr>
                </w:p>
              </w:tc>
              <w:tc>
                <w:tcPr>
                  <w:tcW w:w="2066" w:type="pct"/>
                  <w:vMerge w:val="continue"/>
                  <w:noWrap w:val="0"/>
                  <w:vAlign w:val="center"/>
                </w:tcPr>
                <w:p w14:paraId="47734DCF">
                  <w:pPr>
                    <w:autoSpaceDE w:val="0"/>
                    <w:autoSpaceDN w:val="0"/>
                    <w:spacing w:line="240" w:lineRule="auto"/>
                    <w:ind w:firstLine="0" w:firstLineChars="0"/>
                    <w:jc w:val="center"/>
                    <w:textAlignment w:val="baseline"/>
                    <w:rPr>
                      <w:bCs/>
                      <w:color w:val="auto"/>
                      <w:sz w:val="21"/>
                      <w:szCs w:val="21"/>
                      <w:u w:val="none" w:color="auto"/>
                      <w:lang w:val="zh-CN"/>
                    </w:rPr>
                  </w:pPr>
                </w:p>
              </w:tc>
            </w:tr>
            <w:tr w14:paraId="5A4A1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66" w:type="pct"/>
                  <w:noWrap w:val="0"/>
                  <w:vAlign w:val="center"/>
                </w:tcPr>
                <w:p w14:paraId="722FB18F">
                  <w:pPr>
                    <w:autoSpaceDE w:val="0"/>
                    <w:autoSpaceDN w:val="0"/>
                    <w:spacing w:line="240" w:lineRule="auto"/>
                    <w:ind w:firstLine="0" w:firstLineChars="0"/>
                    <w:jc w:val="center"/>
                    <w:textAlignment w:val="baseline"/>
                    <w:rPr>
                      <w:bCs/>
                      <w:color w:val="auto"/>
                      <w:sz w:val="21"/>
                      <w:szCs w:val="21"/>
                      <w:u w:val="none" w:color="auto"/>
                      <w:lang w:val="zh-CN"/>
                    </w:rPr>
                  </w:pPr>
                  <w:r>
                    <w:rPr>
                      <w:rFonts w:hint="eastAsia"/>
                      <w:bCs/>
                      <w:color w:val="auto"/>
                      <w:sz w:val="21"/>
                      <w:szCs w:val="21"/>
                      <w:u w:val="none" w:color="auto"/>
                      <w:lang w:val="zh-CN"/>
                    </w:rPr>
                    <w:t>非甲烷总烃</w:t>
                  </w:r>
                </w:p>
              </w:tc>
              <w:tc>
                <w:tcPr>
                  <w:tcW w:w="1494" w:type="pct"/>
                  <w:noWrap w:val="0"/>
                  <w:vAlign w:val="center"/>
                </w:tcPr>
                <w:p w14:paraId="01902906">
                  <w:pPr>
                    <w:autoSpaceDE w:val="0"/>
                    <w:autoSpaceDN w:val="0"/>
                    <w:spacing w:line="240" w:lineRule="auto"/>
                    <w:ind w:firstLine="0" w:firstLineChars="0"/>
                    <w:jc w:val="center"/>
                    <w:textAlignment w:val="baseline"/>
                    <w:rPr>
                      <w:bCs/>
                      <w:color w:val="auto"/>
                      <w:sz w:val="21"/>
                      <w:szCs w:val="21"/>
                      <w:u w:val="none" w:color="auto"/>
                      <w:lang w:val="zh-CN"/>
                    </w:rPr>
                  </w:pPr>
                  <w:r>
                    <w:rPr>
                      <w:rFonts w:hint="eastAsia"/>
                      <w:bCs/>
                      <w:color w:val="auto"/>
                      <w:sz w:val="21"/>
                      <w:szCs w:val="21"/>
                      <w:u w:val="none" w:color="auto"/>
                      <w:lang w:val="zh-CN"/>
                    </w:rPr>
                    <w:t>厂房或生产设施排气筒</w:t>
                  </w:r>
                </w:p>
              </w:tc>
              <w:tc>
                <w:tcPr>
                  <w:tcW w:w="572" w:type="pct"/>
                  <w:noWrap w:val="0"/>
                  <w:vAlign w:val="center"/>
                </w:tcPr>
                <w:p w14:paraId="7655C506">
                  <w:pPr>
                    <w:autoSpaceDE w:val="0"/>
                    <w:autoSpaceDN w:val="0"/>
                    <w:spacing w:line="240" w:lineRule="auto"/>
                    <w:ind w:firstLine="0" w:firstLineChars="0"/>
                    <w:jc w:val="center"/>
                    <w:textAlignment w:val="baseline"/>
                    <w:rPr>
                      <w:bCs/>
                      <w:color w:val="auto"/>
                      <w:sz w:val="21"/>
                      <w:szCs w:val="21"/>
                      <w:u w:val="none" w:color="auto"/>
                      <w:lang w:val="zh-CN"/>
                    </w:rPr>
                  </w:pPr>
                  <w:r>
                    <w:rPr>
                      <w:rFonts w:hint="eastAsia"/>
                      <w:bCs/>
                      <w:color w:val="auto"/>
                      <w:sz w:val="21"/>
                      <w:szCs w:val="21"/>
                      <w:u w:val="none" w:color="auto"/>
                      <w:lang w:val="zh-CN"/>
                    </w:rPr>
                    <w:t>50</w:t>
                  </w:r>
                </w:p>
              </w:tc>
              <w:tc>
                <w:tcPr>
                  <w:tcW w:w="2066" w:type="pct"/>
                  <w:noWrap w:val="0"/>
                  <w:vAlign w:val="center"/>
                </w:tcPr>
                <w:p w14:paraId="126891A5">
                  <w:pPr>
                    <w:autoSpaceDE w:val="0"/>
                    <w:autoSpaceDN w:val="0"/>
                    <w:spacing w:line="240" w:lineRule="auto"/>
                    <w:ind w:firstLine="0" w:firstLineChars="0"/>
                    <w:jc w:val="center"/>
                    <w:textAlignment w:val="baseline"/>
                    <w:rPr>
                      <w:bCs/>
                      <w:color w:val="auto"/>
                      <w:sz w:val="21"/>
                      <w:szCs w:val="21"/>
                      <w:u w:val="none" w:color="auto"/>
                      <w:lang w:val="zh-CN"/>
                    </w:rPr>
                  </w:pPr>
                  <w:r>
                    <w:rPr>
                      <w:rFonts w:hint="eastAsia"/>
                      <w:bCs/>
                      <w:color w:val="auto"/>
                      <w:sz w:val="21"/>
                      <w:szCs w:val="21"/>
                      <w:u w:val="none" w:color="auto"/>
                      <w:lang w:val="zh-CN"/>
                    </w:rPr>
                    <w:t>2.0</w:t>
                  </w:r>
                </w:p>
              </w:tc>
            </w:tr>
            <w:tr w14:paraId="51EA9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66" w:type="pct"/>
                  <w:noWrap w:val="0"/>
                  <w:vAlign w:val="center"/>
                </w:tcPr>
                <w:p w14:paraId="2247A451">
                  <w:pPr>
                    <w:autoSpaceDE w:val="0"/>
                    <w:autoSpaceDN w:val="0"/>
                    <w:spacing w:line="240" w:lineRule="auto"/>
                    <w:ind w:firstLine="0" w:firstLineChars="0"/>
                    <w:jc w:val="center"/>
                    <w:textAlignment w:val="baseline"/>
                    <w:rPr>
                      <w:bCs/>
                      <w:color w:val="auto"/>
                      <w:sz w:val="21"/>
                      <w:szCs w:val="21"/>
                      <w:u w:val="none" w:color="auto"/>
                      <w:lang w:val="zh-CN"/>
                    </w:rPr>
                  </w:pPr>
                  <w:r>
                    <w:rPr>
                      <w:rFonts w:hint="eastAsia"/>
                      <w:bCs/>
                      <w:color w:val="auto"/>
                      <w:sz w:val="21"/>
                      <w:szCs w:val="21"/>
                      <w:u w:val="none" w:color="auto"/>
                      <w:lang w:val="zh-CN"/>
                    </w:rPr>
                    <w:t>颗粒物</w:t>
                  </w:r>
                </w:p>
              </w:tc>
              <w:tc>
                <w:tcPr>
                  <w:tcW w:w="2067" w:type="pct"/>
                  <w:gridSpan w:val="2"/>
                  <w:noWrap w:val="0"/>
                  <w:vAlign w:val="center"/>
                </w:tcPr>
                <w:p w14:paraId="64D9D79B">
                  <w:pPr>
                    <w:autoSpaceDE w:val="0"/>
                    <w:autoSpaceDN w:val="0"/>
                    <w:spacing w:line="240" w:lineRule="auto"/>
                    <w:ind w:firstLine="0" w:firstLineChars="0"/>
                    <w:jc w:val="center"/>
                    <w:textAlignment w:val="baseline"/>
                    <w:rPr>
                      <w:bCs/>
                      <w:color w:val="auto"/>
                      <w:sz w:val="21"/>
                      <w:szCs w:val="21"/>
                      <w:u w:val="none" w:color="auto"/>
                      <w:lang w:val="zh-CN"/>
                    </w:rPr>
                  </w:pPr>
                  <w:r>
                    <w:rPr>
                      <w:rFonts w:hint="eastAsia"/>
                      <w:bCs/>
                      <w:color w:val="auto"/>
                      <w:sz w:val="21"/>
                      <w:szCs w:val="21"/>
                      <w:u w:val="none" w:color="auto"/>
                      <w:lang w:val="zh-CN"/>
                    </w:rPr>
                    <w:t>/</w:t>
                  </w:r>
                </w:p>
              </w:tc>
              <w:tc>
                <w:tcPr>
                  <w:tcW w:w="2066" w:type="pct"/>
                  <w:noWrap w:val="0"/>
                  <w:vAlign w:val="center"/>
                </w:tcPr>
                <w:p w14:paraId="080714EC">
                  <w:pPr>
                    <w:autoSpaceDE w:val="0"/>
                    <w:autoSpaceDN w:val="0"/>
                    <w:spacing w:line="240" w:lineRule="auto"/>
                    <w:ind w:firstLine="0" w:firstLineChars="0"/>
                    <w:jc w:val="center"/>
                    <w:textAlignment w:val="baseline"/>
                    <w:rPr>
                      <w:bCs/>
                      <w:color w:val="auto"/>
                      <w:sz w:val="21"/>
                      <w:szCs w:val="21"/>
                      <w:u w:val="none" w:color="auto"/>
                      <w:lang w:val="zh-CN"/>
                    </w:rPr>
                  </w:pPr>
                  <w:r>
                    <w:rPr>
                      <w:rFonts w:hint="eastAsia"/>
                      <w:bCs/>
                      <w:color w:val="auto"/>
                      <w:sz w:val="21"/>
                      <w:szCs w:val="21"/>
                      <w:u w:val="none" w:color="auto"/>
                      <w:lang w:val="zh-CN"/>
                    </w:rPr>
                    <w:t>0.3</w:t>
                  </w:r>
                </w:p>
              </w:tc>
            </w:tr>
          </w:tbl>
          <w:p w14:paraId="202F6A27">
            <w:pPr>
              <w:bidi w:val="0"/>
              <w:rPr>
                <w:color w:val="auto"/>
                <w:u w:val="none" w:color="auto"/>
              </w:rPr>
            </w:pPr>
            <w:r>
              <w:rPr>
                <w:color w:val="auto"/>
                <w:u w:val="none" w:color="auto"/>
              </w:rPr>
              <w:t>（2）废水</w:t>
            </w:r>
          </w:p>
          <w:p w14:paraId="07BDACDF">
            <w:pPr>
              <w:bidi w:val="0"/>
              <w:rPr>
                <w:rFonts w:hint="eastAsia"/>
                <w:color w:val="auto"/>
                <w:u w:val="none" w:color="auto"/>
              </w:rPr>
            </w:pPr>
            <w:r>
              <w:rPr>
                <w:rFonts w:hint="eastAsia"/>
                <w:color w:val="auto"/>
                <w:u w:val="none" w:color="auto"/>
              </w:rPr>
              <w:t>本项目</w:t>
            </w:r>
            <w:r>
              <w:rPr>
                <w:rFonts w:hint="eastAsia"/>
                <w:color w:val="auto"/>
                <w:u w:val="none" w:color="auto"/>
                <w:lang w:eastAsia="zh-CN"/>
              </w:rPr>
              <w:t>废水</w:t>
            </w:r>
            <w:r>
              <w:rPr>
                <w:rFonts w:hint="eastAsia"/>
                <w:color w:val="auto"/>
                <w:u w:val="none" w:color="auto"/>
              </w:rPr>
              <w:t>处理后经园区污水管网排入</w:t>
            </w:r>
            <w:r>
              <w:rPr>
                <w:rFonts w:hint="eastAsia"/>
                <w:color w:val="auto"/>
                <w:u w:val="none" w:color="auto"/>
                <w:lang w:eastAsia="zh-CN"/>
              </w:rPr>
              <w:t>新田县污水处理厂</w:t>
            </w:r>
            <w:r>
              <w:rPr>
                <w:rFonts w:hint="eastAsia"/>
                <w:color w:val="auto"/>
                <w:u w:val="none" w:color="auto"/>
              </w:rPr>
              <w:t>，</w:t>
            </w:r>
            <w:r>
              <w:rPr>
                <w:rFonts w:hint="eastAsia"/>
                <w:color w:val="auto"/>
                <w:u w:val="none" w:color="auto"/>
                <w:lang w:eastAsia="zh-CN"/>
              </w:rPr>
              <w:t>废水排放执行污水处理厂进水水质要求及</w:t>
            </w:r>
            <w:r>
              <w:rPr>
                <w:rFonts w:hint="eastAsia"/>
                <w:color w:val="auto"/>
                <w:u w:val="none" w:color="auto"/>
              </w:rPr>
              <w:t>《电池工业污染物排放标准》（GB30484-2013）表2中排放标准</w:t>
            </w:r>
            <w:r>
              <w:rPr>
                <w:rFonts w:hint="eastAsia"/>
                <w:color w:val="auto"/>
                <w:u w:val="none" w:color="auto"/>
                <w:lang w:eastAsia="zh-CN"/>
              </w:rPr>
              <w:t>；</w:t>
            </w:r>
            <w:r>
              <w:rPr>
                <w:rFonts w:hint="eastAsia"/>
                <w:color w:val="auto"/>
                <w:u w:val="none" w:color="auto"/>
              </w:rPr>
              <w:t>污水处理厂处理后排水执行《城镇污水处理厂污染物排放标准》（GB18918-2002）中一级A标准，摘录部分因子排放标准见表3-</w:t>
            </w:r>
            <w:r>
              <w:rPr>
                <w:rFonts w:hint="eastAsia"/>
                <w:color w:val="auto"/>
                <w:u w:val="none" w:color="auto"/>
                <w:lang w:val="en-US" w:eastAsia="zh-CN"/>
              </w:rPr>
              <w:t>6</w:t>
            </w:r>
            <w:r>
              <w:rPr>
                <w:rFonts w:hint="eastAsia"/>
                <w:color w:val="auto"/>
                <w:u w:val="none" w:color="auto"/>
              </w:rPr>
              <w:t>。</w:t>
            </w:r>
          </w:p>
          <w:p w14:paraId="6785820B">
            <w:pPr>
              <w:spacing w:line="240" w:lineRule="auto"/>
              <w:ind w:firstLine="422"/>
              <w:jc w:val="center"/>
              <w:rPr>
                <w:b/>
                <w:bCs/>
                <w:color w:val="auto"/>
                <w:sz w:val="21"/>
                <w:szCs w:val="21"/>
                <w:u w:val="none" w:color="auto"/>
              </w:rPr>
            </w:pPr>
            <w:r>
              <w:rPr>
                <w:rFonts w:hint="eastAsia"/>
                <w:b/>
                <w:bCs/>
                <w:color w:val="auto"/>
                <w:sz w:val="21"/>
                <w:szCs w:val="21"/>
                <w:u w:val="none" w:color="auto"/>
              </w:rPr>
              <w:t>表</w:t>
            </w:r>
            <w:r>
              <w:rPr>
                <w:rFonts w:hint="eastAsia"/>
                <w:b/>
                <w:color w:val="auto"/>
                <w:sz w:val="21"/>
                <w:szCs w:val="21"/>
                <w:u w:val="none" w:color="auto"/>
              </w:rPr>
              <w:t>3-</w:t>
            </w:r>
            <w:r>
              <w:rPr>
                <w:rFonts w:hint="eastAsia"/>
                <w:b/>
                <w:color w:val="auto"/>
                <w:sz w:val="21"/>
                <w:szCs w:val="21"/>
                <w:u w:val="none" w:color="auto"/>
                <w:lang w:val="en-US" w:eastAsia="zh-CN"/>
              </w:rPr>
              <w:t>6</w:t>
            </w:r>
            <w:r>
              <w:rPr>
                <w:rFonts w:hint="eastAsia"/>
                <w:b/>
                <w:bCs/>
                <w:color w:val="auto"/>
                <w:sz w:val="21"/>
                <w:szCs w:val="21"/>
                <w:u w:val="none" w:color="auto"/>
              </w:rPr>
              <w:t>废水污染物排放标准（节选）</w:t>
            </w:r>
          </w:p>
          <w:tbl>
            <w:tblPr>
              <w:tblStyle w:val="2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8"/>
              <w:gridCol w:w="2260"/>
              <w:gridCol w:w="2260"/>
              <w:gridCol w:w="2260"/>
            </w:tblGrid>
            <w:tr w14:paraId="79ACE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4" w:type="pct"/>
                  <w:noWrap w:val="0"/>
                  <w:vAlign w:val="center"/>
                </w:tcPr>
                <w:p w14:paraId="3F22691E">
                  <w:pPr>
                    <w:widowControl/>
                    <w:spacing w:line="240" w:lineRule="auto"/>
                    <w:ind w:firstLine="0" w:firstLineChars="0"/>
                    <w:jc w:val="center"/>
                    <w:rPr>
                      <w:color w:val="auto"/>
                      <w:kern w:val="0"/>
                      <w:sz w:val="21"/>
                      <w:szCs w:val="21"/>
                      <w:u w:val="none" w:color="auto"/>
                    </w:rPr>
                  </w:pPr>
                  <w:r>
                    <w:rPr>
                      <w:rFonts w:hint="eastAsia"/>
                      <w:color w:val="auto"/>
                      <w:kern w:val="0"/>
                      <w:sz w:val="21"/>
                      <w:szCs w:val="21"/>
                      <w:u w:val="none" w:color="auto"/>
                    </w:rPr>
                    <w:t>污染物</w:t>
                  </w:r>
                </w:p>
              </w:tc>
              <w:tc>
                <w:tcPr>
                  <w:tcW w:w="1348" w:type="pct"/>
                  <w:noWrap w:val="0"/>
                  <w:vAlign w:val="center"/>
                </w:tcPr>
                <w:p w14:paraId="2B681B7E">
                  <w:pPr>
                    <w:widowControl/>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GB30484-2013表2中排放标准</w:t>
                  </w:r>
                </w:p>
              </w:tc>
              <w:tc>
                <w:tcPr>
                  <w:tcW w:w="1348" w:type="pct"/>
                  <w:noWrap w:val="0"/>
                  <w:vAlign w:val="center"/>
                </w:tcPr>
                <w:p w14:paraId="1DCCF725">
                  <w:pPr>
                    <w:widowControl/>
                    <w:spacing w:line="240" w:lineRule="auto"/>
                    <w:ind w:firstLine="0" w:firstLineChars="0"/>
                    <w:jc w:val="center"/>
                    <w:rPr>
                      <w:rFonts w:hint="eastAsia" w:eastAsia="宋体"/>
                      <w:color w:val="auto"/>
                      <w:sz w:val="21"/>
                      <w:szCs w:val="21"/>
                      <w:u w:val="none" w:color="auto"/>
                      <w:lang w:eastAsia="zh-CN"/>
                    </w:rPr>
                  </w:pPr>
                  <w:r>
                    <w:rPr>
                      <w:rFonts w:hint="eastAsia"/>
                      <w:color w:val="auto"/>
                      <w:sz w:val="21"/>
                      <w:szCs w:val="21"/>
                      <w:u w:val="none" w:color="auto"/>
                      <w:lang w:eastAsia="zh-CN"/>
                    </w:rPr>
                    <w:t>污水处理厂进水水质要求</w:t>
                  </w:r>
                </w:p>
              </w:tc>
              <w:tc>
                <w:tcPr>
                  <w:tcW w:w="1348" w:type="pct"/>
                  <w:noWrap w:val="0"/>
                  <w:vAlign w:val="center"/>
                </w:tcPr>
                <w:p w14:paraId="596C0908">
                  <w:pPr>
                    <w:widowControl/>
                    <w:spacing w:line="240" w:lineRule="auto"/>
                    <w:ind w:firstLine="0" w:firstLineChars="0"/>
                    <w:jc w:val="center"/>
                    <w:rPr>
                      <w:color w:val="auto"/>
                      <w:kern w:val="0"/>
                      <w:sz w:val="21"/>
                      <w:szCs w:val="21"/>
                      <w:u w:val="none" w:color="auto"/>
                    </w:rPr>
                  </w:pPr>
                  <w:r>
                    <w:rPr>
                      <w:rFonts w:hint="eastAsia"/>
                      <w:color w:val="auto"/>
                      <w:sz w:val="21"/>
                      <w:szCs w:val="21"/>
                      <w:u w:val="none" w:color="auto"/>
                    </w:rPr>
                    <w:t>一级A标准</w:t>
                  </w:r>
                </w:p>
              </w:tc>
            </w:tr>
            <w:tr w14:paraId="6BCEA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4" w:type="pct"/>
                  <w:noWrap w:val="0"/>
                  <w:vAlign w:val="center"/>
                </w:tcPr>
                <w:p w14:paraId="31FC49A3">
                  <w:pPr>
                    <w:widowControl/>
                    <w:spacing w:line="240" w:lineRule="auto"/>
                    <w:ind w:firstLine="0" w:firstLineChars="0"/>
                    <w:jc w:val="center"/>
                    <w:rPr>
                      <w:color w:val="auto"/>
                      <w:kern w:val="0"/>
                      <w:sz w:val="21"/>
                      <w:szCs w:val="21"/>
                      <w:u w:val="none" w:color="auto"/>
                    </w:rPr>
                  </w:pPr>
                  <w:r>
                    <w:rPr>
                      <w:rFonts w:hint="eastAsia"/>
                      <w:color w:val="auto"/>
                      <w:kern w:val="0"/>
                      <w:sz w:val="21"/>
                      <w:szCs w:val="21"/>
                      <w:u w:val="none" w:color="auto"/>
                    </w:rPr>
                    <w:t>PH</w:t>
                  </w:r>
                </w:p>
              </w:tc>
              <w:tc>
                <w:tcPr>
                  <w:tcW w:w="1348" w:type="pct"/>
                  <w:noWrap w:val="0"/>
                  <w:vAlign w:val="center"/>
                </w:tcPr>
                <w:p w14:paraId="6E6A8651">
                  <w:pPr>
                    <w:widowControl/>
                    <w:spacing w:line="240" w:lineRule="auto"/>
                    <w:ind w:firstLine="0" w:firstLineChars="0"/>
                    <w:jc w:val="center"/>
                    <w:rPr>
                      <w:rFonts w:hint="default" w:eastAsia="宋体"/>
                      <w:color w:val="auto"/>
                      <w:sz w:val="21"/>
                      <w:szCs w:val="21"/>
                      <w:u w:val="none" w:color="auto"/>
                      <w:lang w:val="en-US" w:eastAsia="zh-CN"/>
                    </w:rPr>
                  </w:pPr>
                  <w:r>
                    <w:rPr>
                      <w:rFonts w:hint="eastAsia"/>
                      <w:color w:val="auto"/>
                      <w:sz w:val="21"/>
                      <w:szCs w:val="21"/>
                      <w:u w:val="none" w:color="auto"/>
                      <w:lang w:val="en-US" w:eastAsia="zh-CN"/>
                    </w:rPr>
                    <w:t>6-9</w:t>
                  </w:r>
                </w:p>
              </w:tc>
              <w:tc>
                <w:tcPr>
                  <w:tcW w:w="1348" w:type="pct"/>
                  <w:noWrap w:val="0"/>
                  <w:vAlign w:val="center"/>
                </w:tcPr>
                <w:p w14:paraId="443C9024">
                  <w:pPr>
                    <w:widowControl/>
                    <w:spacing w:line="240" w:lineRule="auto"/>
                    <w:ind w:firstLine="0" w:firstLineChars="0"/>
                    <w:jc w:val="center"/>
                    <w:rPr>
                      <w:rFonts w:hint="eastAsia" w:eastAsia="宋体"/>
                      <w:color w:val="auto"/>
                      <w:kern w:val="0"/>
                      <w:sz w:val="21"/>
                      <w:szCs w:val="21"/>
                      <w:u w:val="none" w:color="auto"/>
                      <w:lang w:val="en-US" w:eastAsia="zh-CN"/>
                    </w:rPr>
                  </w:pPr>
                  <w:r>
                    <w:rPr>
                      <w:rFonts w:hint="eastAsia"/>
                      <w:color w:val="auto"/>
                      <w:kern w:val="0"/>
                      <w:sz w:val="21"/>
                      <w:szCs w:val="21"/>
                      <w:u w:val="none" w:color="auto"/>
                      <w:lang w:val="en-US" w:eastAsia="zh-CN"/>
                    </w:rPr>
                    <w:t>/</w:t>
                  </w:r>
                </w:p>
              </w:tc>
              <w:tc>
                <w:tcPr>
                  <w:tcW w:w="1348" w:type="pct"/>
                  <w:noWrap w:val="0"/>
                  <w:vAlign w:val="center"/>
                </w:tcPr>
                <w:p w14:paraId="46B10582">
                  <w:pPr>
                    <w:widowControl/>
                    <w:spacing w:line="240" w:lineRule="auto"/>
                    <w:ind w:firstLine="0" w:firstLineChars="0"/>
                    <w:jc w:val="center"/>
                    <w:rPr>
                      <w:color w:val="auto"/>
                      <w:kern w:val="0"/>
                      <w:sz w:val="21"/>
                      <w:szCs w:val="21"/>
                      <w:u w:val="none" w:color="auto"/>
                    </w:rPr>
                  </w:pPr>
                  <w:r>
                    <w:rPr>
                      <w:rFonts w:hint="eastAsia"/>
                      <w:color w:val="auto"/>
                      <w:kern w:val="0"/>
                      <w:sz w:val="21"/>
                      <w:szCs w:val="21"/>
                      <w:u w:val="none" w:color="auto"/>
                    </w:rPr>
                    <w:t>6~9</w:t>
                  </w:r>
                </w:p>
              </w:tc>
            </w:tr>
            <w:tr w14:paraId="0DA8F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4" w:type="pct"/>
                  <w:noWrap w:val="0"/>
                  <w:vAlign w:val="center"/>
                </w:tcPr>
                <w:p w14:paraId="2A6A8C65">
                  <w:pPr>
                    <w:widowControl/>
                    <w:spacing w:line="240" w:lineRule="auto"/>
                    <w:ind w:firstLine="0" w:firstLineChars="0"/>
                    <w:jc w:val="center"/>
                    <w:rPr>
                      <w:color w:val="auto"/>
                      <w:kern w:val="0"/>
                      <w:sz w:val="21"/>
                      <w:szCs w:val="21"/>
                      <w:u w:val="none" w:color="auto"/>
                    </w:rPr>
                  </w:pPr>
                  <w:r>
                    <w:rPr>
                      <w:rFonts w:hint="eastAsia"/>
                      <w:color w:val="auto"/>
                      <w:kern w:val="0"/>
                      <w:sz w:val="21"/>
                      <w:szCs w:val="21"/>
                      <w:u w:val="none" w:color="auto"/>
                    </w:rPr>
                    <w:t>COD</w:t>
                  </w:r>
                </w:p>
              </w:tc>
              <w:tc>
                <w:tcPr>
                  <w:tcW w:w="1348" w:type="pct"/>
                  <w:noWrap w:val="0"/>
                  <w:vAlign w:val="center"/>
                </w:tcPr>
                <w:p w14:paraId="1078183D">
                  <w:pPr>
                    <w:widowControl/>
                    <w:spacing w:line="240" w:lineRule="auto"/>
                    <w:ind w:firstLine="0" w:firstLineChars="0"/>
                    <w:jc w:val="center"/>
                    <w:rPr>
                      <w:rFonts w:hint="default" w:eastAsia="宋体"/>
                      <w:color w:val="auto"/>
                      <w:kern w:val="0"/>
                      <w:sz w:val="21"/>
                      <w:szCs w:val="21"/>
                      <w:u w:val="none" w:color="auto"/>
                      <w:lang w:val="en-US" w:eastAsia="zh-CN"/>
                    </w:rPr>
                  </w:pPr>
                  <w:r>
                    <w:rPr>
                      <w:rFonts w:hint="eastAsia"/>
                      <w:color w:val="auto"/>
                      <w:kern w:val="0"/>
                      <w:sz w:val="21"/>
                      <w:szCs w:val="21"/>
                      <w:u w:val="none" w:color="auto"/>
                      <w:lang w:val="en-US" w:eastAsia="zh-CN"/>
                    </w:rPr>
                    <w:t>150</w:t>
                  </w:r>
                  <w:r>
                    <w:rPr>
                      <w:rFonts w:hint="eastAsia"/>
                      <w:color w:val="auto"/>
                      <w:kern w:val="0"/>
                      <w:sz w:val="21"/>
                      <w:szCs w:val="21"/>
                      <w:u w:val="none" w:color="auto"/>
                    </w:rPr>
                    <w:t>mg/L</w:t>
                  </w:r>
                </w:p>
              </w:tc>
              <w:tc>
                <w:tcPr>
                  <w:tcW w:w="1348" w:type="pct"/>
                  <w:noWrap w:val="0"/>
                  <w:vAlign w:val="center"/>
                </w:tcPr>
                <w:p w14:paraId="69A07E35">
                  <w:pPr>
                    <w:widowControl/>
                    <w:spacing w:line="240" w:lineRule="auto"/>
                    <w:ind w:firstLine="0" w:firstLineChars="0"/>
                    <w:jc w:val="center"/>
                    <w:rPr>
                      <w:rFonts w:hint="default" w:eastAsia="宋体"/>
                      <w:color w:val="auto"/>
                      <w:kern w:val="0"/>
                      <w:sz w:val="21"/>
                      <w:szCs w:val="21"/>
                      <w:u w:val="none" w:color="auto"/>
                      <w:lang w:val="en-US" w:eastAsia="zh-CN"/>
                    </w:rPr>
                  </w:pPr>
                  <w:r>
                    <w:rPr>
                      <w:rFonts w:hint="eastAsia"/>
                      <w:color w:val="auto"/>
                      <w:kern w:val="0"/>
                      <w:sz w:val="21"/>
                      <w:szCs w:val="21"/>
                      <w:u w:val="none" w:color="auto"/>
                      <w:lang w:val="en-US" w:eastAsia="zh-CN"/>
                    </w:rPr>
                    <w:t>250</w:t>
                  </w:r>
                </w:p>
              </w:tc>
              <w:tc>
                <w:tcPr>
                  <w:tcW w:w="1348" w:type="pct"/>
                  <w:noWrap w:val="0"/>
                  <w:vAlign w:val="center"/>
                </w:tcPr>
                <w:p w14:paraId="73283251">
                  <w:pPr>
                    <w:widowControl/>
                    <w:spacing w:line="240" w:lineRule="auto"/>
                    <w:ind w:firstLine="0" w:firstLineChars="0"/>
                    <w:jc w:val="center"/>
                    <w:rPr>
                      <w:color w:val="auto"/>
                      <w:kern w:val="0"/>
                      <w:sz w:val="21"/>
                      <w:szCs w:val="21"/>
                      <w:u w:val="none" w:color="auto"/>
                    </w:rPr>
                  </w:pPr>
                  <w:r>
                    <w:rPr>
                      <w:rFonts w:hint="eastAsia"/>
                      <w:color w:val="auto"/>
                      <w:kern w:val="0"/>
                      <w:sz w:val="21"/>
                      <w:szCs w:val="21"/>
                      <w:u w:val="none" w:color="auto"/>
                    </w:rPr>
                    <w:t>50mg/L</w:t>
                  </w:r>
                </w:p>
              </w:tc>
            </w:tr>
            <w:tr w14:paraId="716B4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4" w:type="pct"/>
                  <w:noWrap w:val="0"/>
                  <w:vAlign w:val="center"/>
                </w:tcPr>
                <w:p w14:paraId="73FE1625">
                  <w:pPr>
                    <w:widowControl/>
                    <w:spacing w:line="240" w:lineRule="auto"/>
                    <w:ind w:firstLine="0" w:firstLineChars="0"/>
                    <w:jc w:val="center"/>
                    <w:rPr>
                      <w:color w:val="auto"/>
                      <w:kern w:val="0"/>
                      <w:sz w:val="21"/>
                      <w:szCs w:val="21"/>
                      <w:u w:val="none" w:color="auto"/>
                    </w:rPr>
                  </w:pPr>
                  <w:r>
                    <w:rPr>
                      <w:rFonts w:hint="eastAsia"/>
                      <w:color w:val="auto"/>
                      <w:kern w:val="0"/>
                      <w:sz w:val="21"/>
                      <w:szCs w:val="21"/>
                      <w:u w:val="none" w:color="auto"/>
                    </w:rPr>
                    <w:t>BOD</w:t>
                  </w:r>
                  <w:r>
                    <w:rPr>
                      <w:rFonts w:hint="eastAsia"/>
                      <w:color w:val="auto"/>
                      <w:kern w:val="0"/>
                      <w:sz w:val="21"/>
                      <w:szCs w:val="21"/>
                      <w:u w:val="none" w:color="auto"/>
                      <w:vertAlign w:val="subscript"/>
                    </w:rPr>
                    <w:t>5</w:t>
                  </w:r>
                </w:p>
              </w:tc>
              <w:tc>
                <w:tcPr>
                  <w:tcW w:w="1348" w:type="pct"/>
                  <w:noWrap w:val="0"/>
                  <w:vAlign w:val="center"/>
                </w:tcPr>
                <w:p w14:paraId="4B2988D1">
                  <w:pPr>
                    <w:widowControl/>
                    <w:spacing w:line="240" w:lineRule="auto"/>
                    <w:ind w:firstLine="0" w:firstLineChars="0"/>
                    <w:jc w:val="center"/>
                    <w:rPr>
                      <w:rFonts w:hint="eastAsia" w:eastAsia="宋体"/>
                      <w:color w:val="auto"/>
                      <w:kern w:val="0"/>
                      <w:sz w:val="21"/>
                      <w:szCs w:val="21"/>
                      <w:u w:val="none" w:color="auto"/>
                      <w:lang w:val="en-US" w:eastAsia="zh-CN"/>
                    </w:rPr>
                  </w:pPr>
                  <w:r>
                    <w:rPr>
                      <w:rFonts w:hint="eastAsia"/>
                      <w:color w:val="auto"/>
                      <w:kern w:val="0"/>
                      <w:sz w:val="21"/>
                      <w:szCs w:val="21"/>
                      <w:u w:val="none" w:color="auto"/>
                      <w:lang w:val="en-US" w:eastAsia="zh-CN"/>
                    </w:rPr>
                    <w:t>/</w:t>
                  </w:r>
                </w:p>
              </w:tc>
              <w:tc>
                <w:tcPr>
                  <w:tcW w:w="1348" w:type="pct"/>
                  <w:noWrap w:val="0"/>
                  <w:vAlign w:val="center"/>
                </w:tcPr>
                <w:p w14:paraId="512A7459">
                  <w:pPr>
                    <w:widowControl/>
                    <w:spacing w:line="240" w:lineRule="auto"/>
                    <w:ind w:firstLine="0" w:firstLineChars="0"/>
                    <w:jc w:val="center"/>
                    <w:rPr>
                      <w:rFonts w:hint="default" w:eastAsia="宋体"/>
                      <w:color w:val="auto"/>
                      <w:kern w:val="0"/>
                      <w:sz w:val="21"/>
                      <w:szCs w:val="21"/>
                      <w:u w:val="none" w:color="auto"/>
                      <w:lang w:val="en-US" w:eastAsia="zh-CN"/>
                    </w:rPr>
                  </w:pPr>
                  <w:r>
                    <w:rPr>
                      <w:rFonts w:hint="eastAsia"/>
                      <w:color w:val="auto"/>
                      <w:kern w:val="0"/>
                      <w:sz w:val="21"/>
                      <w:szCs w:val="21"/>
                      <w:u w:val="none" w:color="auto"/>
                      <w:lang w:val="en-US" w:eastAsia="zh-CN"/>
                    </w:rPr>
                    <w:t>150</w:t>
                  </w:r>
                </w:p>
              </w:tc>
              <w:tc>
                <w:tcPr>
                  <w:tcW w:w="1348" w:type="pct"/>
                  <w:noWrap w:val="0"/>
                  <w:vAlign w:val="center"/>
                </w:tcPr>
                <w:p w14:paraId="76F2E70C">
                  <w:pPr>
                    <w:widowControl/>
                    <w:spacing w:line="240" w:lineRule="auto"/>
                    <w:ind w:firstLine="0" w:firstLineChars="0"/>
                    <w:jc w:val="center"/>
                    <w:rPr>
                      <w:color w:val="auto"/>
                      <w:kern w:val="0"/>
                      <w:sz w:val="21"/>
                      <w:szCs w:val="21"/>
                      <w:u w:val="none" w:color="auto"/>
                    </w:rPr>
                  </w:pPr>
                  <w:r>
                    <w:rPr>
                      <w:rFonts w:hint="eastAsia"/>
                      <w:color w:val="auto"/>
                      <w:kern w:val="0"/>
                      <w:sz w:val="21"/>
                      <w:szCs w:val="21"/>
                      <w:u w:val="none" w:color="auto"/>
                    </w:rPr>
                    <w:t>10mg/L</w:t>
                  </w:r>
                </w:p>
              </w:tc>
            </w:tr>
            <w:tr w14:paraId="7EEE2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4" w:type="pct"/>
                  <w:noWrap w:val="0"/>
                  <w:vAlign w:val="center"/>
                </w:tcPr>
                <w:p w14:paraId="051122FB">
                  <w:pPr>
                    <w:widowControl/>
                    <w:spacing w:line="240" w:lineRule="auto"/>
                    <w:ind w:firstLine="0" w:firstLineChars="0"/>
                    <w:jc w:val="center"/>
                    <w:rPr>
                      <w:color w:val="auto"/>
                      <w:kern w:val="0"/>
                      <w:sz w:val="21"/>
                      <w:szCs w:val="21"/>
                      <w:u w:val="none" w:color="auto"/>
                    </w:rPr>
                  </w:pPr>
                  <w:r>
                    <w:rPr>
                      <w:rFonts w:hint="eastAsia"/>
                      <w:color w:val="auto"/>
                      <w:kern w:val="0"/>
                      <w:sz w:val="21"/>
                      <w:szCs w:val="21"/>
                      <w:u w:val="none" w:color="auto"/>
                    </w:rPr>
                    <w:t>NH</w:t>
                  </w:r>
                  <w:r>
                    <w:rPr>
                      <w:rFonts w:hint="eastAsia"/>
                      <w:color w:val="auto"/>
                      <w:kern w:val="0"/>
                      <w:sz w:val="21"/>
                      <w:szCs w:val="21"/>
                      <w:u w:val="none" w:color="auto"/>
                      <w:vertAlign w:val="subscript"/>
                    </w:rPr>
                    <w:t>3</w:t>
                  </w:r>
                  <w:r>
                    <w:rPr>
                      <w:rFonts w:hint="eastAsia"/>
                      <w:color w:val="auto"/>
                      <w:kern w:val="0"/>
                      <w:sz w:val="21"/>
                      <w:szCs w:val="21"/>
                      <w:u w:val="none" w:color="auto"/>
                    </w:rPr>
                    <w:t>-N</w:t>
                  </w:r>
                </w:p>
              </w:tc>
              <w:tc>
                <w:tcPr>
                  <w:tcW w:w="1348" w:type="pct"/>
                  <w:noWrap w:val="0"/>
                  <w:vAlign w:val="center"/>
                </w:tcPr>
                <w:p w14:paraId="4A35EE63">
                  <w:pPr>
                    <w:widowControl/>
                    <w:spacing w:line="240" w:lineRule="auto"/>
                    <w:ind w:firstLine="0" w:firstLineChars="0"/>
                    <w:jc w:val="center"/>
                    <w:rPr>
                      <w:rFonts w:hint="default" w:eastAsia="宋体"/>
                      <w:color w:val="auto"/>
                      <w:kern w:val="0"/>
                      <w:sz w:val="21"/>
                      <w:szCs w:val="21"/>
                      <w:u w:val="none" w:color="auto"/>
                      <w:lang w:val="en-US" w:eastAsia="zh-CN"/>
                    </w:rPr>
                  </w:pPr>
                  <w:r>
                    <w:rPr>
                      <w:rFonts w:hint="eastAsia"/>
                      <w:color w:val="auto"/>
                      <w:kern w:val="0"/>
                      <w:sz w:val="21"/>
                      <w:szCs w:val="21"/>
                      <w:u w:val="none" w:color="auto"/>
                      <w:lang w:val="en-US" w:eastAsia="zh-CN"/>
                    </w:rPr>
                    <w:t>30</w:t>
                  </w:r>
                  <w:r>
                    <w:rPr>
                      <w:rFonts w:hint="eastAsia"/>
                      <w:color w:val="auto"/>
                      <w:kern w:val="0"/>
                      <w:sz w:val="21"/>
                      <w:szCs w:val="21"/>
                      <w:u w:val="none" w:color="auto"/>
                    </w:rPr>
                    <w:t>mg/L</w:t>
                  </w:r>
                </w:p>
              </w:tc>
              <w:tc>
                <w:tcPr>
                  <w:tcW w:w="1348" w:type="pct"/>
                  <w:noWrap w:val="0"/>
                  <w:vAlign w:val="center"/>
                </w:tcPr>
                <w:p w14:paraId="7719BD85">
                  <w:pPr>
                    <w:widowControl/>
                    <w:spacing w:line="240" w:lineRule="auto"/>
                    <w:ind w:firstLine="0" w:firstLineChars="0"/>
                    <w:jc w:val="center"/>
                    <w:rPr>
                      <w:rFonts w:hint="default" w:eastAsia="宋体"/>
                      <w:color w:val="auto"/>
                      <w:kern w:val="0"/>
                      <w:sz w:val="21"/>
                      <w:szCs w:val="21"/>
                      <w:u w:val="none" w:color="auto"/>
                      <w:lang w:val="en-US" w:eastAsia="zh-CN"/>
                    </w:rPr>
                  </w:pPr>
                  <w:r>
                    <w:rPr>
                      <w:rFonts w:hint="eastAsia"/>
                      <w:color w:val="auto"/>
                      <w:kern w:val="0"/>
                      <w:sz w:val="21"/>
                      <w:szCs w:val="21"/>
                      <w:u w:val="none" w:color="auto"/>
                      <w:lang w:val="en-US" w:eastAsia="zh-CN"/>
                    </w:rPr>
                    <w:t>30</w:t>
                  </w:r>
                </w:p>
              </w:tc>
              <w:tc>
                <w:tcPr>
                  <w:tcW w:w="1348" w:type="pct"/>
                  <w:noWrap w:val="0"/>
                  <w:vAlign w:val="center"/>
                </w:tcPr>
                <w:p w14:paraId="28205F12">
                  <w:pPr>
                    <w:widowControl/>
                    <w:spacing w:line="240" w:lineRule="auto"/>
                    <w:ind w:firstLine="0" w:firstLineChars="0"/>
                    <w:jc w:val="center"/>
                    <w:rPr>
                      <w:color w:val="auto"/>
                      <w:kern w:val="0"/>
                      <w:sz w:val="21"/>
                      <w:szCs w:val="21"/>
                      <w:u w:val="none" w:color="auto"/>
                    </w:rPr>
                  </w:pPr>
                  <w:r>
                    <w:rPr>
                      <w:rFonts w:hint="eastAsia"/>
                      <w:color w:val="auto"/>
                      <w:kern w:val="0"/>
                      <w:sz w:val="21"/>
                      <w:szCs w:val="21"/>
                      <w:u w:val="none" w:color="auto"/>
                    </w:rPr>
                    <w:t>5</w:t>
                  </w:r>
                  <w:r>
                    <w:rPr>
                      <w:rFonts w:hint="eastAsia"/>
                      <w:color w:val="auto"/>
                      <w:kern w:val="0"/>
                      <w:sz w:val="21"/>
                      <w:szCs w:val="21"/>
                      <w:u w:val="none" w:color="auto"/>
                      <w:lang w:eastAsia="zh-CN"/>
                    </w:rPr>
                    <w:t>(</w:t>
                  </w:r>
                  <w:r>
                    <w:rPr>
                      <w:rFonts w:hint="eastAsia"/>
                      <w:color w:val="auto"/>
                      <w:kern w:val="0"/>
                      <w:sz w:val="21"/>
                      <w:szCs w:val="21"/>
                      <w:u w:val="none" w:color="auto"/>
                    </w:rPr>
                    <w:t>8</w:t>
                  </w:r>
                  <w:r>
                    <w:rPr>
                      <w:rFonts w:hint="eastAsia"/>
                      <w:color w:val="auto"/>
                      <w:kern w:val="0"/>
                      <w:sz w:val="21"/>
                      <w:szCs w:val="21"/>
                      <w:u w:val="none" w:color="auto"/>
                      <w:lang w:eastAsia="zh-CN"/>
                    </w:rPr>
                    <w:t>)</w:t>
                  </w:r>
                  <w:r>
                    <w:rPr>
                      <w:rFonts w:hint="eastAsia"/>
                      <w:color w:val="auto"/>
                      <w:kern w:val="0"/>
                      <w:sz w:val="21"/>
                      <w:szCs w:val="21"/>
                      <w:u w:val="none" w:color="auto"/>
                    </w:rPr>
                    <w:t>mg/L</w:t>
                  </w:r>
                </w:p>
              </w:tc>
            </w:tr>
            <w:tr w14:paraId="5A759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4" w:type="pct"/>
                  <w:noWrap w:val="0"/>
                  <w:vAlign w:val="center"/>
                </w:tcPr>
                <w:p w14:paraId="2A3DC99F">
                  <w:pPr>
                    <w:widowControl/>
                    <w:spacing w:line="240" w:lineRule="auto"/>
                    <w:ind w:firstLine="0" w:firstLineChars="0"/>
                    <w:jc w:val="center"/>
                    <w:rPr>
                      <w:color w:val="auto"/>
                      <w:kern w:val="0"/>
                      <w:sz w:val="21"/>
                      <w:szCs w:val="21"/>
                      <w:u w:val="none" w:color="auto"/>
                    </w:rPr>
                  </w:pPr>
                  <w:r>
                    <w:rPr>
                      <w:rFonts w:hint="eastAsia"/>
                      <w:color w:val="auto"/>
                      <w:kern w:val="0"/>
                      <w:sz w:val="21"/>
                      <w:szCs w:val="21"/>
                      <w:u w:val="none" w:color="auto"/>
                    </w:rPr>
                    <w:t>SS</w:t>
                  </w:r>
                </w:p>
              </w:tc>
              <w:tc>
                <w:tcPr>
                  <w:tcW w:w="1348" w:type="pct"/>
                  <w:noWrap w:val="0"/>
                  <w:vAlign w:val="center"/>
                </w:tcPr>
                <w:p w14:paraId="02212823">
                  <w:pPr>
                    <w:widowControl/>
                    <w:spacing w:line="240" w:lineRule="auto"/>
                    <w:ind w:firstLine="0" w:firstLineChars="0"/>
                    <w:jc w:val="center"/>
                    <w:rPr>
                      <w:rFonts w:hint="default" w:eastAsia="宋体"/>
                      <w:color w:val="auto"/>
                      <w:kern w:val="0"/>
                      <w:sz w:val="21"/>
                      <w:szCs w:val="21"/>
                      <w:u w:val="none" w:color="auto"/>
                      <w:lang w:val="en-US" w:eastAsia="zh-CN"/>
                    </w:rPr>
                  </w:pPr>
                  <w:r>
                    <w:rPr>
                      <w:rFonts w:hint="eastAsia"/>
                      <w:color w:val="auto"/>
                      <w:kern w:val="0"/>
                      <w:sz w:val="21"/>
                      <w:szCs w:val="21"/>
                      <w:u w:val="none" w:color="auto"/>
                      <w:lang w:val="en-US" w:eastAsia="zh-CN"/>
                    </w:rPr>
                    <w:t>140</w:t>
                  </w:r>
                  <w:r>
                    <w:rPr>
                      <w:rFonts w:hint="eastAsia"/>
                      <w:color w:val="auto"/>
                      <w:kern w:val="0"/>
                      <w:sz w:val="21"/>
                      <w:szCs w:val="21"/>
                      <w:u w:val="none" w:color="auto"/>
                    </w:rPr>
                    <w:t>mg/L</w:t>
                  </w:r>
                </w:p>
              </w:tc>
              <w:tc>
                <w:tcPr>
                  <w:tcW w:w="1348" w:type="pct"/>
                  <w:noWrap w:val="0"/>
                  <w:vAlign w:val="center"/>
                </w:tcPr>
                <w:p w14:paraId="33E748EB">
                  <w:pPr>
                    <w:widowControl/>
                    <w:spacing w:line="240" w:lineRule="auto"/>
                    <w:ind w:firstLine="0" w:firstLineChars="0"/>
                    <w:jc w:val="center"/>
                    <w:rPr>
                      <w:rFonts w:hint="default" w:eastAsia="宋体"/>
                      <w:color w:val="auto"/>
                      <w:kern w:val="0"/>
                      <w:sz w:val="21"/>
                      <w:szCs w:val="21"/>
                      <w:u w:val="none" w:color="auto"/>
                      <w:lang w:val="en-US" w:eastAsia="zh-CN"/>
                    </w:rPr>
                  </w:pPr>
                  <w:r>
                    <w:rPr>
                      <w:rFonts w:hint="eastAsia"/>
                      <w:color w:val="auto"/>
                      <w:kern w:val="0"/>
                      <w:sz w:val="21"/>
                      <w:szCs w:val="21"/>
                      <w:u w:val="none" w:color="auto"/>
                      <w:lang w:val="en-US" w:eastAsia="zh-CN"/>
                    </w:rPr>
                    <w:t>200</w:t>
                  </w:r>
                </w:p>
              </w:tc>
              <w:tc>
                <w:tcPr>
                  <w:tcW w:w="1348" w:type="pct"/>
                  <w:noWrap w:val="0"/>
                  <w:vAlign w:val="center"/>
                </w:tcPr>
                <w:p w14:paraId="21C6B76F">
                  <w:pPr>
                    <w:widowControl/>
                    <w:spacing w:line="240" w:lineRule="auto"/>
                    <w:ind w:firstLine="0" w:firstLineChars="0"/>
                    <w:jc w:val="center"/>
                    <w:rPr>
                      <w:color w:val="auto"/>
                      <w:kern w:val="0"/>
                      <w:sz w:val="21"/>
                      <w:szCs w:val="21"/>
                      <w:u w:val="none" w:color="auto"/>
                    </w:rPr>
                  </w:pPr>
                  <w:r>
                    <w:rPr>
                      <w:rFonts w:hint="eastAsia"/>
                      <w:color w:val="auto"/>
                      <w:kern w:val="0"/>
                      <w:sz w:val="21"/>
                      <w:szCs w:val="21"/>
                      <w:u w:val="none" w:color="auto"/>
                    </w:rPr>
                    <w:t>10mg/L</w:t>
                  </w:r>
                </w:p>
              </w:tc>
            </w:tr>
            <w:tr w14:paraId="4EBE6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4" w:type="pct"/>
                  <w:noWrap w:val="0"/>
                  <w:vAlign w:val="center"/>
                </w:tcPr>
                <w:p w14:paraId="0246D34A">
                  <w:pPr>
                    <w:widowControl/>
                    <w:spacing w:line="240" w:lineRule="auto"/>
                    <w:ind w:firstLine="0" w:firstLineChars="0"/>
                    <w:jc w:val="center"/>
                    <w:rPr>
                      <w:color w:val="auto"/>
                      <w:kern w:val="0"/>
                      <w:sz w:val="21"/>
                      <w:szCs w:val="21"/>
                      <w:u w:val="none" w:color="auto"/>
                    </w:rPr>
                  </w:pPr>
                  <w:r>
                    <w:rPr>
                      <w:rFonts w:hint="eastAsia"/>
                      <w:color w:val="auto"/>
                      <w:kern w:val="0"/>
                      <w:sz w:val="21"/>
                      <w:szCs w:val="21"/>
                      <w:u w:val="none" w:color="auto"/>
                    </w:rPr>
                    <w:t>TP</w:t>
                  </w:r>
                </w:p>
              </w:tc>
              <w:tc>
                <w:tcPr>
                  <w:tcW w:w="1348" w:type="pct"/>
                  <w:noWrap w:val="0"/>
                  <w:vAlign w:val="center"/>
                </w:tcPr>
                <w:p w14:paraId="4E46CCE4">
                  <w:pPr>
                    <w:widowControl/>
                    <w:spacing w:line="240" w:lineRule="auto"/>
                    <w:ind w:firstLine="0" w:firstLineChars="0"/>
                    <w:jc w:val="center"/>
                    <w:rPr>
                      <w:rFonts w:hint="default" w:eastAsia="宋体"/>
                      <w:color w:val="auto"/>
                      <w:kern w:val="0"/>
                      <w:sz w:val="21"/>
                      <w:szCs w:val="21"/>
                      <w:u w:val="none" w:color="auto"/>
                      <w:lang w:val="en-US" w:eastAsia="zh-CN"/>
                    </w:rPr>
                  </w:pPr>
                  <w:r>
                    <w:rPr>
                      <w:rFonts w:hint="eastAsia"/>
                      <w:color w:val="auto"/>
                      <w:kern w:val="0"/>
                      <w:sz w:val="21"/>
                      <w:szCs w:val="21"/>
                      <w:u w:val="none" w:color="auto"/>
                      <w:lang w:val="en-US" w:eastAsia="zh-CN"/>
                    </w:rPr>
                    <w:t>2.0</w:t>
                  </w:r>
                  <w:r>
                    <w:rPr>
                      <w:rFonts w:hint="eastAsia"/>
                      <w:color w:val="auto"/>
                      <w:kern w:val="0"/>
                      <w:sz w:val="21"/>
                      <w:szCs w:val="21"/>
                      <w:u w:val="none" w:color="auto"/>
                    </w:rPr>
                    <w:t>mg/L</w:t>
                  </w:r>
                </w:p>
              </w:tc>
              <w:tc>
                <w:tcPr>
                  <w:tcW w:w="1348" w:type="pct"/>
                  <w:noWrap w:val="0"/>
                  <w:vAlign w:val="center"/>
                </w:tcPr>
                <w:p w14:paraId="6B8EA784">
                  <w:pPr>
                    <w:widowControl/>
                    <w:spacing w:line="240" w:lineRule="auto"/>
                    <w:ind w:firstLine="0" w:firstLineChars="0"/>
                    <w:jc w:val="center"/>
                    <w:rPr>
                      <w:rFonts w:hint="eastAsia" w:eastAsia="宋体"/>
                      <w:color w:val="auto"/>
                      <w:kern w:val="0"/>
                      <w:sz w:val="21"/>
                      <w:szCs w:val="21"/>
                      <w:u w:val="none" w:color="auto"/>
                      <w:lang w:val="en-US" w:eastAsia="zh-CN"/>
                    </w:rPr>
                  </w:pPr>
                  <w:r>
                    <w:rPr>
                      <w:rFonts w:hint="eastAsia"/>
                      <w:color w:val="auto"/>
                      <w:kern w:val="0"/>
                      <w:sz w:val="21"/>
                      <w:szCs w:val="21"/>
                      <w:u w:val="none" w:color="auto"/>
                      <w:lang w:val="en-US" w:eastAsia="zh-CN"/>
                    </w:rPr>
                    <w:t>4</w:t>
                  </w:r>
                </w:p>
              </w:tc>
              <w:tc>
                <w:tcPr>
                  <w:tcW w:w="1348" w:type="pct"/>
                  <w:noWrap w:val="0"/>
                  <w:vAlign w:val="center"/>
                </w:tcPr>
                <w:p w14:paraId="3B4C1A5B">
                  <w:pPr>
                    <w:widowControl/>
                    <w:spacing w:line="240" w:lineRule="auto"/>
                    <w:ind w:firstLine="0" w:firstLineChars="0"/>
                    <w:jc w:val="center"/>
                    <w:rPr>
                      <w:color w:val="auto"/>
                      <w:kern w:val="0"/>
                      <w:sz w:val="21"/>
                      <w:szCs w:val="21"/>
                      <w:u w:val="none" w:color="auto"/>
                    </w:rPr>
                  </w:pPr>
                  <w:r>
                    <w:rPr>
                      <w:rFonts w:hint="eastAsia"/>
                      <w:color w:val="auto"/>
                      <w:kern w:val="0"/>
                      <w:sz w:val="21"/>
                      <w:szCs w:val="21"/>
                      <w:u w:val="none" w:color="auto"/>
                    </w:rPr>
                    <w:t>0.5mg/L</w:t>
                  </w:r>
                </w:p>
              </w:tc>
            </w:tr>
            <w:tr w14:paraId="0DB27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4" w:type="pct"/>
                  <w:noWrap w:val="0"/>
                  <w:vAlign w:val="center"/>
                </w:tcPr>
                <w:p w14:paraId="1396519A">
                  <w:pPr>
                    <w:widowControl/>
                    <w:spacing w:line="240" w:lineRule="auto"/>
                    <w:ind w:firstLine="0" w:firstLineChars="0"/>
                    <w:jc w:val="center"/>
                    <w:rPr>
                      <w:color w:val="auto"/>
                      <w:kern w:val="0"/>
                      <w:sz w:val="21"/>
                      <w:szCs w:val="21"/>
                      <w:u w:val="none" w:color="auto"/>
                    </w:rPr>
                  </w:pPr>
                  <w:r>
                    <w:rPr>
                      <w:rFonts w:hint="eastAsia"/>
                      <w:color w:val="auto"/>
                      <w:kern w:val="0"/>
                      <w:sz w:val="21"/>
                      <w:szCs w:val="21"/>
                      <w:u w:val="none" w:color="auto"/>
                    </w:rPr>
                    <w:t>TN</w:t>
                  </w:r>
                </w:p>
              </w:tc>
              <w:tc>
                <w:tcPr>
                  <w:tcW w:w="1348" w:type="pct"/>
                  <w:noWrap w:val="0"/>
                  <w:vAlign w:val="center"/>
                </w:tcPr>
                <w:p w14:paraId="39B27D6E">
                  <w:pPr>
                    <w:widowControl/>
                    <w:spacing w:line="240" w:lineRule="auto"/>
                    <w:ind w:firstLine="0" w:firstLineChars="0"/>
                    <w:jc w:val="center"/>
                    <w:rPr>
                      <w:rFonts w:hint="default" w:eastAsia="宋体"/>
                      <w:color w:val="auto"/>
                      <w:kern w:val="0"/>
                      <w:sz w:val="21"/>
                      <w:szCs w:val="21"/>
                      <w:u w:val="none" w:color="auto"/>
                      <w:lang w:val="en-US" w:eastAsia="zh-CN"/>
                    </w:rPr>
                  </w:pPr>
                  <w:r>
                    <w:rPr>
                      <w:rFonts w:hint="eastAsia"/>
                      <w:color w:val="auto"/>
                      <w:kern w:val="0"/>
                      <w:sz w:val="21"/>
                      <w:szCs w:val="21"/>
                      <w:u w:val="none" w:color="auto"/>
                      <w:lang w:val="en-US" w:eastAsia="zh-CN"/>
                    </w:rPr>
                    <w:t>40</w:t>
                  </w:r>
                  <w:r>
                    <w:rPr>
                      <w:rFonts w:hint="eastAsia"/>
                      <w:color w:val="auto"/>
                      <w:kern w:val="0"/>
                      <w:sz w:val="21"/>
                      <w:szCs w:val="21"/>
                      <w:u w:val="none" w:color="auto"/>
                    </w:rPr>
                    <w:t>mg/L</w:t>
                  </w:r>
                </w:p>
              </w:tc>
              <w:tc>
                <w:tcPr>
                  <w:tcW w:w="1348" w:type="pct"/>
                  <w:noWrap w:val="0"/>
                  <w:vAlign w:val="center"/>
                </w:tcPr>
                <w:p w14:paraId="0023227D">
                  <w:pPr>
                    <w:widowControl/>
                    <w:spacing w:line="240" w:lineRule="auto"/>
                    <w:ind w:firstLine="0" w:firstLineChars="0"/>
                    <w:jc w:val="center"/>
                    <w:rPr>
                      <w:rFonts w:hint="eastAsia" w:eastAsia="宋体"/>
                      <w:color w:val="auto"/>
                      <w:kern w:val="0"/>
                      <w:sz w:val="21"/>
                      <w:szCs w:val="21"/>
                      <w:u w:val="none" w:color="auto"/>
                      <w:lang w:eastAsia="zh-CN"/>
                    </w:rPr>
                  </w:pPr>
                  <w:r>
                    <w:rPr>
                      <w:rFonts w:hint="eastAsia"/>
                      <w:color w:val="auto"/>
                      <w:kern w:val="0"/>
                      <w:sz w:val="21"/>
                      <w:szCs w:val="21"/>
                      <w:u w:val="none" w:color="auto"/>
                      <w:lang w:val="en-US" w:eastAsia="zh-CN"/>
                    </w:rPr>
                    <w:t>/</w:t>
                  </w:r>
                </w:p>
              </w:tc>
              <w:tc>
                <w:tcPr>
                  <w:tcW w:w="1348" w:type="pct"/>
                  <w:noWrap w:val="0"/>
                  <w:vAlign w:val="center"/>
                </w:tcPr>
                <w:p w14:paraId="3237DD1E">
                  <w:pPr>
                    <w:widowControl/>
                    <w:spacing w:line="240" w:lineRule="auto"/>
                    <w:ind w:firstLine="0" w:firstLineChars="0"/>
                    <w:jc w:val="center"/>
                    <w:rPr>
                      <w:color w:val="auto"/>
                      <w:kern w:val="0"/>
                      <w:sz w:val="21"/>
                      <w:szCs w:val="21"/>
                      <w:u w:val="none" w:color="auto"/>
                    </w:rPr>
                  </w:pPr>
                  <w:r>
                    <w:rPr>
                      <w:rFonts w:hint="eastAsia"/>
                      <w:color w:val="auto"/>
                      <w:kern w:val="0"/>
                      <w:sz w:val="21"/>
                      <w:szCs w:val="21"/>
                      <w:u w:val="none" w:color="auto"/>
                    </w:rPr>
                    <w:t>15mg/L</w:t>
                  </w:r>
                </w:p>
              </w:tc>
            </w:tr>
            <w:tr w14:paraId="1223D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4" w:type="pct"/>
                  <w:noWrap w:val="0"/>
                  <w:vAlign w:val="center"/>
                </w:tcPr>
                <w:p w14:paraId="364A432B">
                  <w:pPr>
                    <w:widowControl/>
                    <w:spacing w:line="240" w:lineRule="auto"/>
                    <w:ind w:firstLine="0" w:firstLineChars="0"/>
                    <w:jc w:val="center"/>
                    <w:rPr>
                      <w:rFonts w:hint="default" w:eastAsia="宋体"/>
                      <w:color w:val="auto"/>
                      <w:kern w:val="0"/>
                      <w:sz w:val="21"/>
                      <w:szCs w:val="21"/>
                      <w:u w:val="none" w:color="auto"/>
                      <w:lang w:val="en-US" w:eastAsia="zh-CN"/>
                    </w:rPr>
                  </w:pPr>
                  <w:r>
                    <w:rPr>
                      <w:rFonts w:hint="eastAsia"/>
                      <w:color w:val="auto"/>
                      <w:kern w:val="0"/>
                      <w:sz w:val="21"/>
                      <w:szCs w:val="21"/>
                      <w:u w:val="none" w:color="auto"/>
                      <w:lang w:val="en-US" w:eastAsia="zh-CN"/>
                    </w:rPr>
                    <w:t>总钴</w:t>
                  </w:r>
                </w:p>
              </w:tc>
              <w:tc>
                <w:tcPr>
                  <w:tcW w:w="1348" w:type="pct"/>
                  <w:noWrap w:val="0"/>
                  <w:vAlign w:val="center"/>
                </w:tcPr>
                <w:p w14:paraId="42EE599A">
                  <w:pPr>
                    <w:widowControl/>
                    <w:spacing w:line="240" w:lineRule="auto"/>
                    <w:ind w:firstLine="0" w:firstLineChars="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0.1</w:t>
                  </w:r>
                  <w:r>
                    <w:rPr>
                      <w:rFonts w:hint="eastAsia"/>
                      <w:color w:val="auto"/>
                      <w:kern w:val="0"/>
                      <w:sz w:val="21"/>
                      <w:szCs w:val="21"/>
                      <w:u w:val="none" w:color="auto"/>
                    </w:rPr>
                    <w:t>mg/L</w:t>
                  </w:r>
                </w:p>
              </w:tc>
              <w:tc>
                <w:tcPr>
                  <w:tcW w:w="1348" w:type="pct"/>
                  <w:noWrap w:val="0"/>
                  <w:vAlign w:val="center"/>
                </w:tcPr>
                <w:p w14:paraId="22987F73">
                  <w:pPr>
                    <w:widowControl/>
                    <w:spacing w:line="240" w:lineRule="auto"/>
                    <w:ind w:firstLine="0" w:firstLineChars="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w:t>
                  </w:r>
                </w:p>
              </w:tc>
              <w:tc>
                <w:tcPr>
                  <w:tcW w:w="1348" w:type="pct"/>
                  <w:noWrap w:val="0"/>
                  <w:vAlign w:val="center"/>
                </w:tcPr>
                <w:p w14:paraId="4E53BA24">
                  <w:pPr>
                    <w:widowControl/>
                    <w:spacing w:line="240" w:lineRule="auto"/>
                    <w:ind w:firstLine="0" w:firstLineChars="0"/>
                    <w:jc w:val="center"/>
                    <w:rPr>
                      <w:rFonts w:hint="eastAsia" w:eastAsia="宋体"/>
                      <w:color w:val="auto"/>
                      <w:kern w:val="0"/>
                      <w:sz w:val="21"/>
                      <w:szCs w:val="21"/>
                      <w:u w:val="none" w:color="auto"/>
                      <w:lang w:val="en-US" w:eastAsia="zh-CN"/>
                    </w:rPr>
                  </w:pPr>
                  <w:r>
                    <w:rPr>
                      <w:rFonts w:hint="eastAsia"/>
                      <w:color w:val="auto"/>
                      <w:kern w:val="0"/>
                      <w:sz w:val="21"/>
                      <w:szCs w:val="21"/>
                      <w:u w:val="none" w:color="auto"/>
                      <w:lang w:val="en-US" w:eastAsia="zh-CN"/>
                    </w:rPr>
                    <w:t>/</w:t>
                  </w:r>
                </w:p>
              </w:tc>
            </w:tr>
            <w:tr w14:paraId="58725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4" w:type="pct"/>
                  <w:noWrap w:val="0"/>
                  <w:vAlign w:val="center"/>
                </w:tcPr>
                <w:p w14:paraId="6500E4D7">
                  <w:pPr>
                    <w:widowControl/>
                    <w:spacing w:line="240" w:lineRule="auto"/>
                    <w:ind w:firstLine="0" w:firstLineChars="0"/>
                    <w:jc w:val="center"/>
                    <w:rPr>
                      <w:rFonts w:hint="eastAsia" w:eastAsia="宋体"/>
                      <w:color w:val="auto"/>
                      <w:kern w:val="0"/>
                      <w:sz w:val="21"/>
                      <w:szCs w:val="21"/>
                      <w:u w:val="none" w:color="auto"/>
                      <w:lang w:val="en-US" w:eastAsia="zh-CN"/>
                    </w:rPr>
                  </w:pPr>
                  <w:r>
                    <w:rPr>
                      <w:rFonts w:hint="eastAsia"/>
                      <w:color w:val="auto"/>
                      <w:kern w:val="0"/>
                      <w:sz w:val="21"/>
                      <w:szCs w:val="21"/>
                      <w:u w:val="none" w:color="auto"/>
                      <w:lang w:val="en-US" w:eastAsia="zh-CN"/>
                    </w:rPr>
                    <w:t>总镍</w:t>
                  </w:r>
                </w:p>
              </w:tc>
              <w:tc>
                <w:tcPr>
                  <w:tcW w:w="1348" w:type="pct"/>
                  <w:noWrap w:val="0"/>
                  <w:vAlign w:val="center"/>
                </w:tcPr>
                <w:p w14:paraId="2335A337">
                  <w:pPr>
                    <w:widowControl/>
                    <w:spacing w:line="240" w:lineRule="auto"/>
                    <w:ind w:firstLine="0" w:firstLineChars="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w:t>
                  </w:r>
                </w:p>
              </w:tc>
              <w:tc>
                <w:tcPr>
                  <w:tcW w:w="1348" w:type="pct"/>
                  <w:noWrap w:val="0"/>
                  <w:vAlign w:val="center"/>
                </w:tcPr>
                <w:p w14:paraId="2AE3BC0F">
                  <w:pPr>
                    <w:widowControl/>
                    <w:spacing w:line="240" w:lineRule="auto"/>
                    <w:ind w:firstLine="0" w:firstLineChars="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w:t>
                  </w:r>
                </w:p>
              </w:tc>
              <w:tc>
                <w:tcPr>
                  <w:tcW w:w="1348" w:type="pct"/>
                  <w:noWrap w:val="0"/>
                  <w:vAlign w:val="center"/>
                </w:tcPr>
                <w:p w14:paraId="5192F8AF">
                  <w:pPr>
                    <w:widowControl/>
                    <w:spacing w:line="240" w:lineRule="auto"/>
                    <w:ind w:firstLine="0" w:firstLineChars="0"/>
                    <w:jc w:val="center"/>
                    <w:rPr>
                      <w:rFonts w:hint="eastAsia" w:eastAsia="宋体"/>
                      <w:color w:val="auto"/>
                      <w:kern w:val="0"/>
                      <w:sz w:val="21"/>
                      <w:szCs w:val="21"/>
                      <w:u w:val="none" w:color="auto"/>
                      <w:lang w:val="en-US" w:eastAsia="zh-CN"/>
                    </w:rPr>
                  </w:pPr>
                  <w:r>
                    <w:rPr>
                      <w:rFonts w:hint="eastAsia"/>
                      <w:color w:val="auto"/>
                      <w:kern w:val="0"/>
                      <w:sz w:val="21"/>
                      <w:szCs w:val="21"/>
                      <w:u w:val="none" w:color="auto"/>
                      <w:lang w:val="en-US" w:eastAsia="zh-CN"/>
                    </w:rPr>
                    <w:t>/</w:t>
                  </w:r>
                </w:p>
              </w:tc>
            </w:tr>
            <w:tr w14:paraId="519F2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4" w:type="pct"/>
                  <w:noWrap w:val="0"/>
                  <w:vAlign w:val="center"/>
                </w:tcPr>
                <w:p w14:paraId="623ED984">
                  <w:pPr>
                    <w:widowControl/>
                    <w:spacing w:line="240" w:lineRule="auto"/>
                    <w:ind w:firstLine="0" w:firstLineChars="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单位基准排水量</w:t>
                  </w:r>
                </w:p>
              </w:tc>
              <w:tc>
                <w:tcPr>
                  <w:tcW w:w="1348" w:type="pct"/>
                  <w:noWrap w:val="0"/>
                  <w:vAlign w:val="center"/>
                </w:tcPr>
                <w:p w14:paraId="23982B68">
                  <w:pPr>
                    <w:widowControl/>
                    <w:spacing w:line="240" w:lineRule="auto"/>
                    <w:ind w:firstLine="0" w:firstLineChars="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0.8m</w:t>
                  </w:r>
                  <w:r>
                    <w:rPr>
                      <w:rFonts w:hint="eastAsia"/>
                      <w:color w:val="auto"/>
                      <w:kern w:val="0"/>
                      <w:sz w:val="21"/>
                      <w:szCs w:val="21"/>
                      <w:u w:val="none" w:color="auto"/>
                      <w:vertAlign w:val="superscript"/>
                      <w:lang w:val="en-US" w:eastAsia="zh-CN"/>
                    </w:rPr>
                    <w:t>3</w:t>
                  </w:r>
                  <w:r>
                    <w:rPr>
                      <w:rFonts w:hint="eastAsia"/>
                      <w:color w:val="auto"/>
                      <w:kern w:val="0"/>
                      <w:sz w:val="21"/>
                      <w:szCs w:val="21"/>
                      <w:u w:val="none" w:color="auto"/>
                      <w:lang w:val="en-US" w:eastAsia="zh-CN"/>
                    </w:rPr>
                    <w:t>/万只</w:t>
                  </w:r>
                </w:p>
              </w:tc>
              <w:tc>
                <w:tcPr>
                  <w:tcW w:w="1348" w:type="pct"/>
                  <w:noWrap w:val="0"/>
                  <w:vAlign w:val="center"/>
                </w:tcPr>
                <w:p w14:paraId="07ED7E52">
                  <w:pPr>
                    <w:widowControl/>
                    <w:spacing w:line="240" w:lineRule="auto"/>
                    <w:ind w:firstLine="0" w:firstLineChars="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w:t>
                  </w:r>
                </w:p>
              </w:tc>
              <w:tc>
                <w:tcPr>
                  <w:tcW w:w="1348" w:type="pct"/>
                  <w:noWrap w:val="0"/>
                  <w:vAlign w:val="center"/>
                </w:tcPr>
                <w:p w14:paraId="27659B8C">
                  <w:pPr>
                    <w:widowControl/>
                    <w:spacing w:line="240" w:lineRule="auto"/>
                    <w:ind w:firstLine="0" w:firstLineChars="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w:t>
                  </w:r>
                </w:p>
              </w:tc>
            </w:tr>
          </w:tbl>
          <w:p w14:paraId="45590C32">
            <w:pPr>
              <w:ind w:firstLine="480"/>
              <w:rPr>
                <w:color w:val="auto"/>
                <w:u w:val="none" w:color="auto"/>
              </w:rPr>
            </w:pPr>
            <w:r>
              <w:rPr>
                <w:color w:val="auto"/>
                <w:u w:val="none" w:color="auto"/>
              </w:rPr>
              <w:t>（3）噪声</w:t>
            </w:r>
          </w:p>
          <w:p w14:paraId="000E9FAE">
            <w:pPr>
              <w:ind w:firstLine="480"/>
              <w:rPr>
                <w:color w:val="auto"/>
                <w:u w:val="none" w:color="auto"/>
              </w:rPr>
            </w:pPr>
            <w:r>
              <w:rPr>
                <w:rFonts w:hint="eastAsia"/>
                <w:color w:val="auto"/>
                <w:u w:val="none" w:color="auto"/>
              </w:rPr>
              <w:t>项目位于工业园</w:t>
            </w:r>
            <w:r>
              <w:rPr>
                <w:rFonts w:hint="eastAsia"/>
                <w:color w:val="auto"/>
                <w:u w:val="none" w:color="auto"/>
                <w:lang w:val="en-US" w:eastAsia="zh-CN"/>
              </w:rPr>
              <w:t>区</w:t>
            </w:r>
            <w:r>
              <w:rPr>
                <w:rFonts w:hint="eastAsia"/>
                <w:color w:val="auto"/>
                <w:u w:val="none" w:color="auto"/>
              </w:rPr>
              <w:t>，</w:t>
            </w:r>
            <w:r>
              <w:rPr>
                <w:rFonts w:hint="eastAsia"/>
                <w:color w:val="auto"/>
                <w:u w:val="none" w:color="auto"/>
                <w:lang w:eastAsia="zh-CN"/>
              </w:rPr>
              <w:t>噪声排放</w:t>
            </w:r>
            <w:r>
              <w:rPr>
                <w:color w:val="auto"/>
                <w:u w:val="none" w:color="auto"/>
              </w:rPr>
              <w:t>执行《工业企业厂界环境噪声排放标准》（GB12348-2008）中</w:t>
            </w:r>
            <w:r>
              <w:rPr>
                <w:rFonts w:hint="eastAsia"/>
                <w:color w:val="auto"/>
                <w:u w:val="none" w:color="auto"/>
              </w:rPr>
              <w:t>3</w:t>
            </w:r>
            <w:r>
              <w:rPr>
                <w:color w:val="auto"/>
                <w:u w:val="none" w:color="auto"/>
              </w:rPr>
              <w:t>类标准。</w:t>
            </w:r>
          </w:p>
          <w:p w14:paraId="095F07CB">
            <w:pPr>
              <w:pStyle w:val="16"/>
              <w:spacing w:line="400" w:lineRule="exact"/>
              <w:ind w:firstLine="422"/>
              <w:rPr>
                <w:rFonts w:hAnsi="Times New Roman"/>
                <w:b/>
                <w:color w:val="auto"/>
                <w:sz w:val="21"/>
                <w:szCs w:val="21"/>
                <w:u w:val="none" w:color="auto"/>
              </w:rPr>
            </w:pPr>
            <w:r>
              <w:rPr>
                <w:rFonts w:hAnsi="Times New Roman"/>
                <w:b/>
                <w:color w:val="auto"/>
                <w:sz w:val="21"/>
                <w:szCs w:val="21"/>
                <w:u w:val="none" w:color="auto"/>
              </w:rPr>
              <w:t>表</w:t>
            </w:r>
            <w:r>
              <w:rPr>
                <w:rFonts w:hint="eastAsia" w:hAnsi="Times New Roman"/>
                <w:b/>
                <w:color w:val="auto"/>
                <w:sz w:val="21"/>
                <w:szCs w:val="21"/>
                <w:u w:val="none" w:color="auto"/>
                <w:lang w:val="en-US"/>
              </w:rPr>
              <w:t>3</w:t>
            </w:r>
            <w:r>
              <w:rPr>
                <w:rFonts w:hAnsi="Times New Roman"/>
                <w:b/>
                <w:color w:val="auto"/>
                <w:sz w:val="21"/>
                <w:szCs w:val="21"/>
                <w:u w:val="none" w:color="auto"/>
              </w:rPr>
              <w:t>-</w:t>
            </w:r>
            <w:r>
              <w:rPr>
                <w:rFonts w:hint="eastAsia" w:hAnsi="Times New Roman"/>
                <w:b/>
                <w:color w:val="auto"/>
                <w:sz w:val="21"/>
                <w:szCs w:val="21"/>
                <w:u w:val="none" w:color="auto"/>
                <w:lang w:val="en-US" w:eastAsia="zh-CN"/>
              </w:rPr>
              <w:t>7</w:t>
            </w:r>
            <w:r>
              <w:rPr>
                <w:rFonts w:hAnsi="Times New Roman"/>
                <w:b/>
                <w:color w:val="auto"/>
                <w:sz w:val="21"/>
                <w:szCs w:val="21"/>
                <w:u w:val="none" w:color="auto"/>
              </w:rPr>
              <w:t>噪声评价</w:t>
            </w:r>
            <w:r>
              <w:rPr>
                <w:rFonts w:hint="eastAsia" w:hAnsi="Times New Roman"/>
                <w:b/>
                <w:color w:val="auto"/>
                <w:sz w:val="21"/>
                <w:szCs w:val="21"/>
                <w:u w:val="none" w:color="auto"/>
                <w:lang w:eastAsia="zh-CN"/>
              </w:rPr>
              <w:t>标准</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8"/>
              <w:gridCol w:w="2780"/>
              <w:gridCol w:w="2781"/>
            </w:tblGrid>
            <w:tr w14:paraId="09140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8" w:type="dxa"/>
                  <w:noWrap w:val="0"/>
                  <w:vAlign w:val="center"/>
                </w:tcPr>
                <w:p w14:paraId="07AA6CEF">
                  <w:pPr>
                    <w:widowControl/>
                    <w:spacing w:line="240" w:lineRule="auto"/>
                    <w:ind w:firstLine="0" w:firstLineChars="0"/>
                    <w:jc w:val="center"/>
                    <w:rPr>
                      <w:color w:val="auto"/>
                      <w:kern w:val="0"/>
                      <w:sz w:val="21"/>
                      <w:szCs w:val="21"/>
                      <w:u w:val="none" w:color="auto"/>
                    </w:rPr>
                  </w:pPr>
                  <w:r>
                    <w:rPr>
                      <w:rFonts w:hint="eastAsia"/>
                      <w:color w:val="auto"/>
                      <w:kern w:val="0"/>
                      <w:sz w:val="21"/>
                      <w:szCs w:val="21"/>
                      <w:u w:val="none" w:color="auto"/>
                    </w:rPr>
                    <w:t>类别</w:t>
                  </w:r>
                </w:p>
              </w:tc>
              <w:tc>
                <w:tcPr>
                  <w:tcW w:w="2780" w:type="dxa"/>
                  <w:noWrap w:val="0"/>
                  <w:vAlign w:val="center"/>
                </w:tcPr>
                <w:p w14:paraId="5BE09856">
                  <w:pPr>
                    <w:widowControl/>
                    <w:spacing w:line="240" w:lineRule="auto"/>
                    <w:ind w:firstLine="0" w:firstLineChars="0"/>
                    <w:jc w:val="center"/>
                    <w:rPr>
                      <w:color w:val="auto"/>
                      <w:kern w:val="0"/>
                      <w:sz w:val="21"/>
                      <w:szCs w:val="21"/>
                      <w:u w:val="none" w:color="auto"/>
                    </w:rPr>
                  </w:pPr>
                  <w:r>
                    <w:rPr>
                      <w:rFonts w:hint="eastAsia"/>
                      <w:color w:val="auto"/>
                      <w:kern w:val="0"/>
                      <w:sz w:val="21"/>
                      <w:szCs w:val="21"/>
                      <w:u w:val="none" w:color="auto"/>
                    </w:rPr>
                    <w:t>昼间</w:t>
                  </w:r>
                </w:p>
              </w:tc>
              <w:tc>
                <w:tcPr>
                  <w:tcW w:w="2781" w:type="dxa"/>
                  <w:noWrap w:val="0"/>
                  <w:vAlign w:val="center"/>
                </w:tcPr>
                <w:p w14:paraId="4806A86F">
                  <w:pPr>
                    <w:widowControl/>
                    <w:spacing w:line="240" w:lineRule="auto"/>
                    <w:ind w:firstLine="0" w:firstLineChars="0"/>
                    <w:jc w:val="center"/>
                    <w:rPr>
                      <w:color w:val="auto"/>
                      <w:kern w:val="0"/>
                      <w:sz w:val="21"/>
                      <w:szCs w:val="21"/>
                      <w:u w:val="none" w:color="auto"/>
                    </w:rPr>
                  </w:pPr>
                  <w:r>
                    <w:rPr>
                      <w:rFonts w:hint="eastAsia"/>
                      <w:color w:val="auto"/>
                      <w:kern w:val="0"/>
                      <w:sz w:val="21"/>
                      <w:szCs w:val="21"/>
                      <w:u w:val="none" w:color="auto"/>
                    </w:rPr>
                    <w:t>夜间</w:t>
                  </w:r>
                </w:p>
              </w:tc>
            </w:tr>
            <w:tr w14:paraId="0F700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8" w:type="dxa"/>
                  <w:noWrap w:val="0"/>
                  <w:vAlign w:val="center"/>
                </w:tcPr>
                <w:p w14:paraId="507A9A53">
                  <w:pPr>
                    <w:widowControl/>
                    <w:spacing w:line="240" w:lineRule="auto"/>
                    <w:ind w:firstLine="0" w:firstLineChars="0"/>
                    <w:jc w:val="center"/>
                    <w:rPr>
                      <w:color w:val="auto"/>
                      <w:kern w:val="0"/>
                      <w:sz w:val="21"/>
                      <w:szCs w:val="21"/>
                      <w:u w:val="none" w:color="auto"/>
                    </w:rPr>
                  </w:pPr>
                  <w:r>
                    <w:rPr>
                      <w:rFonts w:hint="eastAsia"/>
                      <w:color w:val="auto"/>
                      <w:kern w:val="0"/>
                      <w:sz w:val="21"/>
                      <w:szCs w:val="21"/>
                      <w:u w:val="none" w:color="auto"/>
                    </w:rPr>
                    <w:t>（GB12348-2008）3类</w:t>
                  </w:r>
                </w:p>
              </w:tc>
              <w:tc>
                <w:tcPr>
                  <w:tcW w:w="2780" w:type="dxa"/>
                  <w:noWrap w:val="0"/>
                  <w:vAlign w:val="center"/>
                </w:tcPr>
                <w:p w14:paraId="2EF92505">
                  <w:pPr>
                    <w:widowControl/>
                    <w:spacing w:line="240" w:lineRule="auto"/>
                    <w:ind w:firstLine="0" w:firstLineChars="0"/>
                    <w:jc w:val="center"/>
                    <w:rPr>
                      <w:color w:val="auto"/>
                      <w:kern w:val="0"/>
                      <w:sz w:val="21"/>
                      <w:szCs w:val="21"/>
                      <w:u w:val="none" w:color="auto"/>
                    </w:rPr>
                  </w:pPr>
                  <w:r>
                    <w:rPr>
                      <w:rFonts w:hint="eastAsia"/>
                      <w:color w:val="auto"/>
                      <w:kern w:val="0"/>
                      <w:sz w:val="21"/>
                      <w:szCs w:val="21"/>
                      <w:u w:val="none" w:color="auto"/>
                    </w:rPr>
                    <w:t>≤65</w:t>
                  </w:r>
                </w:p>
              </w:tc>
              <w:tc>
                <w:tcPr>
                  <w:tcW w:w="2781" w:type="dxa"/>
                  <w:noWrap w:val="0"/>
                  <w:vAlign w:val="center"/>
                </w:tcPr>
                <w:p w14:paraId="5C3F16B7">
                  <w:pPr>
                    <w:widowControl/>
                    <w:spacing w:line="240" w:lineRule="auto"/>
                    <w:ind w:firstLine="0" w:firstLineChars="0"/>
                    <w:jc w:val="center"/>
                    <w:rPr>
                      <w:color w:val="auto"/>
                      <w:kern w:val="0"/>
                      <w:sz w:val="21"/>
                      <w:szCs w:val="21"/>
                      <w:u w:val="none" w:color="auto"/>
                    </w:rPr>
                  </w:pPr>
                  <w:r>
                    <w:rPr>
                      <w:rFonts w:hint="eastAsia"/>
                      <w:color w:val="auto"/>
                      <w:kern w:val="0"/>
                      <w:sz w:val="21"/>
                      <w:szCs w:val="21"/>
                      <w:u w:val="none" w:color="auto"/>
                    </w:rPr>
                    <w:t>≤55</w:t>
                  </w:r>
                </w:p>
              </w:tc>
            </w:tr>
          </w:tbl>
          <w:p w14:paraId="2E56AD28">
            <w:pPr>
              <w:ind w:firstLine="480"/>
              <w:rPr>
                <w:color w:val="auto"/>
                <w:u w:val="none" w:color="auto"/>
              </w:rPr>
            </w:pPr>
            <w:r>
              <w:rPr>
                <w:color w:val="auto"/>
                <w:u w:val="none" w:color="auto"/>
              </w:rPr>
              <w:t>（4）固体废物</w:t>
            </w:r>
          </w:p>
          <w:p w14:paraId="336A0206">
            <w:pPr>
              <w:ind w:firstLine="480"/>
              <w:rPr>
                <w:color w:val="auto"/>
                <w:u w:val="none" w:color="auto"/>
              </w:rPr>
            </w:pPr>
            <w:r>
              <w:rPr>
                <w:color w:val="auto"/>
                <w:u w:val="none" w:color="auto"/>
              </w:rPr>
              <w:t>一般固体废物执行</w:t>
            </w:r>
            <w:r>
              <w:rPr>
                <w:rFonts w:hint="eastAsia"/>
                <w:color w:val="auto"/>
                <w:u w:val="none" w:color="auto"/>
              </w:rPr>
              <w:t>《一般工业固体废物贮存和填埋污染控制标准》（GB18599-2020）</w:t>
            </w:r>
            <w:r>
              <w:rPr>
                <w:color w:val="auto"/>
                <w:u w:val="none" w:color="auto"/>
              </w:rPr>
              <w:t>；危险废物执行</w:t>
            </w:r>
            <w:r>
              <w:rPr>
                <w:rFonts w:ascii="Times New Roman" w:hAnsi="Times New Roman" w:eastAsia="宋体" w:cs="Times New Roman"/>
                <w:color w:val="auto"/>
                <w:u w:val="none" w:color="auto"/>
              </w:rPr>
              <w:fldChar w:fldCharType="begin"/>
            </w:r>
            <w:r>
              <w:rPr>
                <w:rFonts w:ascii="Times New Roman" w:hAnsi="Times New Roman" w:eastAsia="宋体" w:cs="Times New Roman"/>
                <w:color w:val="auto"/>
                <w:u w:val="none" w:color="auto"/>
              </w:rPr>
              <w:instrText xml:space="preserve"> HYPERLINK "https://www.mee.gov.cn/ywgz/fgbz/bz/bzwb/gthw/wxfwjbffbz/202302/t20230224_1017500.shtml" </w:instrText>
            </w:r>
            <w:r>
              <w:rPr>
                <w:rFonts w:ascii="Times New Roman" w:hAnsi="Times New Roman" w:eastAsia="宋体" w:cs="Times New Roman"/>
                <w:color w:val="auto"/>
                <w:u w:val="none" w:color="auto"/>
              </w:rPr>
              <w:fldChar w:fldCharType="separate"/>
            </w:r>
            <w:r>
              <w:rPr>
                <w:rFonts w:hint="eastAsia" w:ascii="Times New Roman" w:hAnsi="Times New Roman" w:eastAsia="宋体" w:cs="Times New Roman"/>
                <w:color w:val="auto"/>
                <w:u w:val="none" w:color="auto"/>
              </w:rPr>
              <w:t>《危险废物贮存污染控制标准》（GB 18597-2023）</w:t>
            </w:r>
            <w:r>
              <w:rPr>
                <w:rFonts w:hint="eastAsia" w:ascii="Times New Roman" w:hAnsi="Times New Roman" w:eastAsia="宋体" w:cs="Times New Roman"/>
                <w:color w:val="auto"/>
                <w:u w:val="none" w:color="auto"/>
              </w:rPr>
              <w:fldChar w:fldCharType="end"/>
            </w:r>
            <w:r>
              <w:rPr>
                <w:color w:val="auto"/>
                <w:u w:val="none" w:color="auto"/>
              </w:rPr>
              <w:t>中相关要求；生活垃圾</w:t>
            </w:r>
            <w:r>
              <w:rPr>
                <w:rFonts w:hint="eastAsia"/>
                <w:color w:val="auto"/>
                <w:u w:val="none" w:color="auto"/>
                <w:lang w:eastAsia="zh-CN"/>
              </w:rPr>
              <w:t>交环卫部门处置</w:t>
            </w:r>
            <w:r>
              <w:rPr>
                <w:color w:val="auto"/>
                <w:u w:val="none" w:color="auto"/>
              </w:rPr>
              <w:t>。</w:t>
            </w:r>
          </w:p>
        </w:tc>
      </w:tr>
      <w:tr w14:paraId="40BAF5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51" w:type="dxa"/>
            <w:noWrap w:val="0"/>
            <w:vAlign w:val="center"/>
          </w:tcPr>
          <w:p w14:paraId="1063864F">
            <w:pPr>
              <w:pStyle w:val="11"/>
              <w:rPr>
                <w:rFonts w:hint="eastAsia"/>
                <w:color w:val="auto"/>
                <w:u w:val="none" w:color="auto"/>
              </w:rPr>
            </w:pPr>
            <w:r>
              <w:rPr>
                <w:rFonts w:hint="eastAsia"/>
                <w:color w:val="auto"/>
                <w:u w:val="none" w:color="auto"/>
              </w:rPr>
              <w:t>总量</w:t>
            </w:r>
          </w:p>
          <w:p w14:paraId="41560D5D">
            <w:pPr>
              <w:pStyle w:val="11"/>
              <w:rPr>
                <w:rFonts w:hint="eastAsia"/>
                <w:color w:val="auto"/>
                <w:u w:val="none" w:color="auto"/>
              </w:rPr>
            </w:pPr>
            <w:r>
              <w:rPr>
                <w:rFonts w:hint="eastAsia"/>
                <w:color w:val="auto"/>
                <w:u w:val="none" w:color="auto"/>
              </w:rPr>
              <w:t>控制</w:t>
            </w:r>
          </w:p>
          <w:p w14:paraId="33100913">
            <w:pPr>
              <w:pStyle w:val="11"/>
              <w:rPr>
                <w:rFonts w:hint="eastAsia"/>
                <w:color w:val="auto"/>
                <w:u w:val="none" w:color="auto"/>
              </w:rPr>
            </w:pPr>
            <w:r>
              <w:rPr>
                <w:rFonts w:hint="eastAsia"/>
                <w:color w:val="auto"/>
                <w:u w:val="none" w:color="auto"/>
              </w:rPr>
              <w:t>指标</w:t>
            </w:r>
          </w:p>
        </w:tc>
        <w:tc>
          <w:tcPr>
            <w:tcW w:w="8610" w:type="dxa"/>
            <w:noWrap w:val="0"/>
            <w:vAlign w:val="center"/>
          </w:tcPr>
          <w:p w14:paraId="0D67C4AE">
            <w:pPr>
              <w:bidi w:val="0"/>
              <w:rPr>
                <w:rFonts w:hint="eastAsia"/>
                <w:color w:val="auto"/>
                <w:u w:val="none" w:color="auto"/>
                <w:lang w:val="en-US" w:eastAsia="zh-CN"/>
              </w:rPr>
            </w:pPr>
            <w:r>
              <w:rPr>
                <w:rFonts w:hint="eastAsia"/>
                <w:color w:val="auto"/>
                <w:u w:val="none" w:color="auto"/>
                <w:lang w:val="en-US" w:eastAsia="zh-CN"/>
              </w:rPr>
              <w:t>根据</w:t>
            </w:r>
            <w:r>
              <w:rPr>
                <w:rFonts w:hint="eastAsia"/>
                <w:color w:val="auto"/>
                <w:u w:val="none" w:color="auto"/>
              </w:rPr>
              <w:t>《湖南省主要污染物排污权有偿使用和交易管理办法》的通知</w:t>
            </w:r>
            <w:r>
              <w:rPr>
                <w:rFonts w:hint="eastAsia"/>
                <w:color w:val="auto"/>
                <w:u w:val="none" w:color="auto"/>
                <w:lang w:eastAsia="zh-CN"/>
              </w:rPr>
              <w:t>（</w:t>
            </w:r>
            <w:r>
              <w:rPr>
                <w:rFonts w:hint="eastAsia"/>
                <w:color w:val="auto"/>
                <w:u w:val="none" w:color="auto"/>
              </w:rPr>
              <w:t>湘政办发〔2022〕23号</w:t>
            </w:r>
            <w:r>
              <w:rPr>
                <w:rFonts w:hint="eastAsia"/>
                <w:color w:val="auto"/>
                <w:u w:val="none" w:color="auto"/>
                <w:lang w:eastAsia="zh-CN"/>
              </w:rPr>
              <w:t>），</w:t>
            </w:r>
            <w:r>
              <w:rPr>
                <w:rFonts w:hint="eastAsia"/>
                <w:color w:val="auto"/>
                <w:u w:val="none" w:color="auto"/>
                <w:lang w:val="en-US" w:eastAsia="zh-CN"/>
              </w:rPr>
              <w:t>湖南省</w:t>
            </w:r>
            <w:r>
              <w:rPr>
                <w:rFonts w:hint="eastAsia"/>
                <w:color w:val="auto"/>
                <w:u w:val="none" w:color="auto"/>
              </w:rPr>
              <w:t>内主要污染物排污权有偿使用和交易管理</w:t>
            </w:r>
            <w:r>
              <w:rPr>
                <w:rFonts w:hint="eastAsia"/>
                <w:color w:val="auto"/>
                <w:u w:val="none" w:color="auto"/>
                <w:lang w:val="en-US" w:eastAsia="zh-CN"/>
              </w:rPr>
              <w:t>的污染物主要为</w:t>
            </w:r>
            <w:r>
              <w:rPr>
                <w:rFonts w:hint="eastAsia"/>
                <w:color w:val="auto"/>
                <w:u w:val="none" w:color="auto"/>
              </w:rPr>
              <w:t>化学需氧量、氨氮、二氧化硫、氮氧化物、铅、镉、砷、汞、铬、挥发性有机物、总磷等十一类污染物</w:t>
            </w:r>
            <w:r>
              <w:rPr>
                <w:rFonts w:hint="eastAsia"/>
                <w:color w:val="auto"/>
                <w:u w:val="none" w:color="auto"/>
                <w:lang w:eastAsia="zh-CN"/>
              </w:rPr>
              <w:t>；</w:t>
            </w:r>
          </w:p>
          <w:p w14:paraId="18FBD370">
            <w:pPr>
              <w:bidi w:val="0"/>
              <w:rPr>
                <w:rFonts w:hint="eastAsia"/>
                <w:color w:val="auto"/>
                <w:u w:val="none" w:color="auto"/>
              </w:rPr>
            </w:pPr>
            <w:r>
              <w:rPr>
                <w:color w:val="auto"/>
                <w:u w:val="none" w:color="auto"/>
              </w:rPr>
              <w:t>①</w:t>
            </w:r>
            <w:r>
              <w:rPr>
                <w:rFonts w:hint="eastAsia"/>
                <w:color w:val="auto"/>
                <w:u w:val="none" w:color="auto"/>
              </w:rPr>
              <w:t>大气总量控制指标：根据</w:t>
            </w:r>
            <w:r>
              <w:rPr>
                <w:rFonts w:hint="eastAsia"/>
                <w:color w:val="auto"/>
                <w:u w:val="none" w:color="auto"/>
                <w:lang w:val="en-US" w:eastAsia="zh-CN"/>
              </w:rPr>
              <w:t>废气源强分析</w:t>
            </w:r>
            <w:r>
              <w:rPr>
                <w:rFonts w:hint="eastAsia"/>
                <w:color w:val="auto"/>
                <w:u w:val="none" w:color="auto"/>
              </w:rPr>
              <w:t>，本项目</w:t>
            </w:r>
            <w:r>
              <w:rPr>
                <w:rFonts w:hint="eastAsia"/>
                <w:color w:val="auto"/>
                <w:u w:val="none" w:color="auto"/>
                <w:lang w:val="en-US" w:eastAsia="zh-CN"/>
              </w:rPr>
              <w:t>不涉及二氧化硫、氮氧化物，</w:t>
            </w:r>
            <w:r>
              <w:rPr>
                <w:rFonts w:hint="eastAsia"/>
                <w:color w:val="auto"/>
                <w:u w:val="none" w:color="auto"/>
                <w:lang w:eastAsia="zh-CN"/>
              </w:rPr>
              <w:t>有机废气</w:t>
            </w:r>
            <w:r>
              <w:rPr>
                <w:rFonts w:hint="eastAsia"/>
                <w:color w:val="auto"/>
                <w:u w:val="none" w:color="auto"/>
              </w:rPr>
              <w:t>排放量</w:t>
            </w:r>
            <w:r>
              <w:rPr>
                <w:rFonts w:hint="eastAsia"/>
                <w:color w:val="auto"/>
                <w:u w:val="none" w:color="auto"/>
                <w:lang w:eastAsia="zh-CN"/>
              </w:rPr>
              <w:t>约</w:t>
            </w:r>
            <w:r>
              <w:rPr>
                <w:rFonts w:hint="eastAsia"/>
                <w:color w:val="auto"/>
                <w:u w:val="none" w:color="auto"/>
              </w:rPr>
              <w:t>为</w:t>
            </w:r>
            <w:r>
              <w:rPr>
                <w:rFonts w:hint="eastAsia"/>
                <w:color w:val="auto"/>
                <w:u w:val="none" w:color="auto"/>
                <w:lang w:val="en-US" w:eastAsia="zh-CN"/>
              </w:rPr>
              <w:t>1.33</w:t>
            </w:r>
            <w:r>
              <w:rPr>
                <w:color w:val="auto"/>
                <w:u w:val="none" w:color="auto"/>
              </w:rPr>
              <w:t>t/a</w:t>
            </w:r>
            <w:r>
              <w:rPr>
                <w:rFonts w:hint="eastAsia"/>
                <w:color w:val="auto"/>
                <w:u w:val="none" w:color="auto"/>
              </w:rPr>
              <w:t>，目前</w:t>
            </w:r>
            <w:r>
              <w:rPr>
                <w:rFonts w:hint="eastAsia"/>
                <w:color w:val="auto"/>
                <w:u w:val="none" w:color="auto"/>
                <w:lang w:eastAsia="zh-CN"/>
              </w:rPr>
              <w:t>有机废气</w:t>
            </w:r>
            <w:r>
              <w:rPr>
                <w:rFonts w:hint="eastAsia"/>
                <w:color w:val="auto"/>
                <w:u w:val="none" w:color="auto"/>
              </w:rPr>
              <w:t>总量控制指标未纳入国家总量控制指标体系，建议核定，不进行总量控制指标交易。</w:t>
            </w:r>
          </w:p>
          <w:p w14:paraId="6EFA2615">
            <w:pPr>
              <w:ind w:firstLine="480"/>
              <w:rPr>
                <w:rFonts w:hint="default" w:eastAsia="宋体"/>
                <w:color w:val="auto"/>
                <w:u w:val="none" w:color="auto"/>
                <w:lang w:val="en-US" w:eastAsia="zh-CN"/>
              </w:rPr>
            </w:pPr>
            <w:r>
              <w:rPr>
                <w:rFonts w:hint="eastAsia"/>
                <w:color w:val="auto"/>
                <w:u w:val="none" w:color="auto"/>
                <w:lang w:val="en-US" w:eastAsia="zh-CN"/>
              </w:rPr>
              <w:t>②</w:t>
            </w:r>
            <w:r>
              <w:rPr>
                <w:color w:val="auto"/>
                <w:u w:val="none" w:color="auto"/>
              </w:rPr>
              <w:t>水污染物控制指标：</w:t>
            </w:r>
            <w:r>
              <w:rPr>
                <w:rFonts w:hint="eastAsia"/>
                <w:color w:val="auto"/>
                <w:u w:val="none" w:color="auto"/>
                <w:lang w:val="en-US" w:eastAsia="zh-CN"/>
              </w:rPr>
              <w:t>根据工程分析，项目制纯水排水为43m</w:t>
            </w:r>
            <w:r>
              <w:rPr>
                <w:rFonts w:hint="eastAsia"/>
                <w:color w:val="auto"/>
                <w:u w:val="none" w:color="auto"/>
                <w:vertAlign w:val="superscript"/>
                <w:lang w:val="en-US" w:eastAsia="zh-CN"/>
              </w:rPr>
              <w:t>3</w:t>
            </w:r>
            <w:r>
              <w:rPr>
                <w:rFonts w:hint="eastAsia"/>
                <w:color w:val="auto"/>
                <w:u w:val="none" w:color="auto"/>
                <w:lang w:val="en-US" w:eastAsia="zh-CN"/>
              </w:rPr>
              <w:t>/a，冷却循环水排水为8m</w:t>
            </w:r>
            <w:r>
              <w:rPr>
                <w:rFonts w:hint="eastAsia"/>
                <w:color w:val="auto"/>
                <w:u w:val="none" w:color="auto"/>
                <w:vertAlign w:val="superscript"/>
                <w:lang w:val="en-US" w:eastAsia="zh-CN"/>
              </w:rPr>
              <w:t>3</w:t>
            </w:r>
            <w:r>
              <w:rPr>
                <w:rFonts w:hint="eastAsia"/>
                <w:color w:val="auto"/>
                <w:u w:val="none" w:color="auto"/>
                <w:lang w:val="en-US" w:eastAsia="zh-CN"/>
              </w:rPr>
              <w:t>/a，洗拖把排水为10.8m</w:t>
            </w:r>
            <w:r>
              <w:rPr>
                <w:rFonts w:hint="eastAsia"/>
                <w:color w:val="auto"/>
                <w:u w:val="none" w:color="auto"/>
                <w:vertAlign w:val="superscript"/>
                <w:lang w:val="en-US" w:eastAsia="zh-CN"/>
              </w:rPr>
              <w:t>3</w:t>
            </w:r>
            <w:r>
              <w:rPr>
                <w:rFonts w:hint="eastAsia"/>
                <w:color w:val="auto"/>
                <w:u w:val="none" w:color="auto"/>
                <w:lang w:val="en-US" w:eastAsia="zh-CN"/>
              </w:rPr>
              <w:t>/a，</w:t>
            </w:r>
            <w:r>
              <w:rPr>
                <w:rFonts w:hint="eastAsia"/>
                <w:color w:val="auto"/>
                <w:u w:val="none" w:color="auto"/>
                <w:lang w:eastAsia="zh-CN"/>
              </w:rPr>
              <w:t>电池外壳清洗排水</w:t>
            </w:r>
            <w:r>
              <w:rPr>
                <w:rFonts w:hint="eastAsia"/>
                <w:color w:val="auto"/>
                <w:u w:val="none" w:color="auto"/>
                <w:lang w:val="en-US" w:eastAsia="zh-CN"/>
              </w:rPr>
              <w:t>270m</w:t>
            </w:r>
            <w:r>
              <w:rPr>
                <w:rFonts w:hint="eastAsia"/>
                <w:color w:val="auto"/>
                <w:u w:val="none" w:color="auto"/>
                <w:vertAlign w:val="superscript"/>
                <w:lang w:val="en-US" w:eastAsia="zh-CN"/>
              </w:rPr>
              <w:t>3</w:t>
            </w:r>
            <w:r>
              <w:rPr>
                <w:rFonts w:hint="eastAsia"/>
                <w:color w:val="auto"/>
                <w:u w:val="none" w:color="auto"/>
                <w:lang w:val="en-US" w:eastAsia="zh-CN"/>
              </w:rPr>
              <w:t>/a</w:t>
            </w:r>
            <w:r>
              <w:rPr>
                <w:rFonts w:hint="eastAsia"/>
                <w:color w:val="auto"/>
                <w:u w:val="none" w:color="auto"/>
                <w:lang w:eastAsia="zh-CN"/>
              </w:rPr>
              <w:t>，</w:t>
            </w:r>
            <w:r>
              <w:rPr>
                <w:rFonts w:hint="eastAsia"/>
                <w:color w:val="auto"/>
                <w:u w:val="none" w:color="auto"/>
                <w:lang w:val="en-US" w:eastAsia="zh-CN"/>
              </w:rPr>
              <w:t>生产废水合计排放量约为331.8m</w:t>
            </w:r>
            <w:r>
              <w:rPr>
                <w:rFonts w:hint="eastAsia"/>
                <w:color w:val="auto"/>
                <w:u w:val="none" w:color="auto"/>
                <w:vertAlign w:val="superscript"/>
                <w:lang w:val="en-US" w:eastAsia="zh-CN"/>
              </w:rPr>
              <w:t>3</w:t>
            </w:r>
            <w:r>
              <w:rPr>
                <w:rFonts w:hint="eastAsia"/>
                <w:color w:val="auto"/>
                <w:u w:val="none" w:color="auto"/>
                <w:lang w:val="en-US" w:eastAsia="zh-CN"/>
              </w:rPr>
              <w:t>/a。</w:t>
            </w:r>
          </w:p>
          <w:p w14:paraId="171422EC">
            <w:pPr>
              <w:bidi w:val="0"/>
              <w:rPr>
                <w:rFonts w:hint="eastAsia"/>
                <w:color w:val="auto"/>
                <w:u w:val="none" w:color="auto"/>
                <w:lang w:val="en-US" w:eastAsia="zh-CN"/>
              </w:rPr>
            </w:pPr>
            <w:r>
              <w:rPr>
                <w:rFonts w:hint="eastAsia"/>
                <w:color w:val="auto"/>
                <w:u w:val="none" w:color="auto"/>
                <w:lang w:val="en-US" w:eastAsia="zh-CN"/>
              </w:rPr>
              <w:t>纳管排放量：</w:t>
            </w:r>
          </w:p>
          <w:p w14:paraId="5C01E486">
            <w:pPr>
              <w:bidi w:val="0"/>
              <w:rPr>
                <w:color w:val="auto"/>
                <w:u w:val="none" w:color="auto"/>
              </w:rPr>
            </w:pPr>
            <w:r>
              <w:rPr>
                <w:color w:val="auto"/>
                <w:u w:val="none" w:color="auto"/>
              </w:rPr>
              <w:t>根据</w:t>
            </w:r>
            <w:r>
              <w:rPr>
                <w:rFonts w:hint="eastAsia"/>
                <w:color w:val="auto"/>
                <w:u w:val="none" w:color="auto"/>
              </w:rPr>
              <w:t>《电池工业污染物排放标准》（GB30484-2013）表2中排放标准</w:t>
            </w:r>
            <w:r>
              <w:rPr>
                <w:color w:val="auto"/>
                <w:u w:val="none" w:color="auto"/>
              </w:rPr>
              <w:t>中COD及NH</w:t>
            </w:r>
            <w:r>
              <w:rPr>
                <w:color w:val="auto"/>
                <w:u w:val="none" w:color="auto"/>
                <w:vertAlign w:val="subscript"/>
              </w:rPr>
              <w:t>3</w:t>
            </w:r>
            <w:r>
              <w:rPr>
                <w:color w:val="auto"/>
                <w:u w:val="none" w:color="auto"/>
              </w:rPr>
              <w:t>-N的标准限值分别为</w:t>
            </w:r>
            <w:r>
              <w:rPr>
                <w:rFonts w:hint="eastAsia"/>
                <w:color w:val="auto"/>
                <w:u w:val="none" w:color="auto"/>
                <w:lang w:val="en-US" w:eastAsia="zh-CN"/>
              </w:rPr>
              <w:t>1</w:t>
            </w:r>
            <w:r>
              <w:rPr>
                <w:rFonts w:hint="eastAsia"/>
                <w:color w:val="auto"/>
                <w:u w:val="none" w:color="auto"/>
              </w:rPr>
              <w:t>5</w:t>
            </w:r>
            <w:r>
              <w:rPr>
                <w:color w:val="auto"/>
                <w:u w:val="none" w:color="auto"/>
              </w:rPr>
              <w:t>0mg/L及</w:t>
            </w:r>
            <w:r>
              <w:rPr>
                <w:rFonts w:hint="eastAsia"/>
                <w:color w:val="auto"/>
                <w:u w:val="none" w:color="auto"/>
                <w:lang w:val="en-US" w:eastAsia="zh-CN"/>
              </w:rPr>
              <w:t>30</w:t>
            </w:r>
            <w:r>
              <w:rPr>
                <w:color w:val="auto"/>
                <w:u w:val="none" w:color="auto"/>
              </w:rPr>
              <w:t>mg/L，计算得到</w:t>
            </w:r>
            <w:r>
              <w:rPr>
                <w:rFonts w:hint="eastAsia"/>
                <w:color w:val="auto"/>
                <w:u w:val="none" w:color="auto"/>
                <w:lang w:val="en-US" w:eastAsia="zh-CN"/>
              </w:rPr>
              <w:t>项目废水排入市政污水管网的纳管量</w:t>
            </w:r>
            <w:r>
              <w:rPr>
                <w:color w:val="auto"/>
                <w:u w:val="none" w:color="auto"/>
              </w:rPr>
              <w:t>如下。</w:t>
            </w:r>
          </w:p>
          <w:p w14:paraId="1C24159B">
            <w:pPr>
              <w:spacing w:line="460" w:lineRule="exact"/>
              <w:ind w:firstLine="480"/>
              <w:rPr>
                <w:color w:val="auto"/>
                <w:u w:val="none" w:color="auto"/>
              </w:rPr>
            </w:pPr>
            <w:r>
              <w:rPr>
                <w:color w:val="auto"/>
                <w:u w:val="none" w:color="auto"/>
              </w:rPr>
              <w:t>COD</w:t>
            </w:r>
            <w:r>
              <w:rPr>
                <w:rFonts w:hint="eastAsia"/>
                <w:color w:val="auto"/>
                <w:u w:val="none" w:color="auto"/>
                <w:vertAlign w:val="subscript"/>
              </w:rPr>
              <w:t>cr</w:t>
            </w:r>
            <w:r>
              <w:rPr>
                <w:color w:val="auto"/>
                <w:u w:val="none" w:color="auto"/>
              </w:rPr>
              <w:t>=</w:t>
            </w:r>
            <w:r>
              <w:rPr>
                <w:rFonts w:hint="eastAsia"/>
                <w:color w:val="auto"/>
                <w:u w:val="none" w:color="auto"/>
                <w:lang w:val="en-US" w:eastAsia="zh-CN"/>
              </w:rPr>
              <w:t>1</w:t>
            </w:r>
            <w:r>
              <w:rPr>
                <w:rFonts w:hint="eastAsia"/>
                <w:color w:val="auto"/>
                <w:u w:val="none" w:color="auto"/>
              </w:rPr>
              <w:t>5</w:t>
            </w:r>
            <w:r>
              <w:rPr>
                <w:color w:val="auto"/>
                <w:u w:val="none" w:color="auto"/>
              </w:rPr>
              <w:t>0mg/L×</w:t>
            </w:r>
            <w:r>
              <w:rPr>
                <w:rFonts w:hint="eastAsia"/>
                <w:color w:val="auto"/>
                <w:u w:val="none" w:color="auto"/>
                <w:lang w:val="en-US" w:eastAsia="zh-CN"/>
              </w:rPr>
              <w:t>331.8</w:t>
            </w:r>
            <w:r>
              <w:rPr>
                <w:color w:val="auto"/>
                <w:u w:val="none" w:color="auto"/>
              </w:rPr>
              <w:t>m³/a=</w:t>
            </w:r>
            <w:r>
              <w:rPr>
                <w:rFonts w:hint="eastAsia"/>
                <w:color w:val="auto"/>
                <w:u w:val="none" w:color="auto"/>
                <w:lang w:val="en-US" w:eastAsia="zh-CN"/>
              </w:rPr>
              <w:t>0.05</w:t>
            </w:r>
            <w:r>
              <w:rPr>
                <w:color w:val="auto"/>
                <w:u w:val="none" w:color="auto"/>
              </w:rPr>
              <w:t>t/a</w:t>
            </w:r>
          </w:p>
          <w:p w14:paraId="00449896">
            <w:pPr>
              <w:spacing w:line="460" w:lineRule="exact"/>
              <w:ind w:firstLine="480"/>
              <w:rPr>
                <w:rFonts w:hint="default" w:eastAsia="宋体"/>
                <w:color w:val="auto"/>
                <w:u w:val="none" w:color="auto"/>
                <w:lang w:val="en-US" w:eastAsia="zh-CN"/>
              </w:rPr>
            </w:pPr>
            <w:r>
              <w:rPr>
                <w:color w:val="auto"/>
                <w:u w:val="none" w:color="auto"/>
              </w:rPr>
              <w:t>NH</w:t>
            </w:r>
            <w:r>
              <w:rPr>
                <w:color w:val="auto"/>
                <w:u w:val="none" w:color="auto"/>
                <w:vertAlign w:val="subscript"/>
              </w:rPr>
              <w:t>3</w:t>
            </w:r>
            <w:r>
              <w:rPr>
                <w:color w:val="auto"/>
                <w:u w:val="none" w:color="auto"/>
              </w:rPr>
              <w:t>-N=</w:t>
            </w:r>
            <w:r>
              <w:rPr>
                <w:rFonts w:hint="eastAsia"/>
                <w:color w:val="auto"/>
                <w:u w:val="none" w:color="auto"/>
                <w:lang w:val="en-US" w:eastAsia="zh-CN"/>
              </w:rPr>
              <w:t>30</w:t>
            </w:r>
            <w:r>
              <w:rPr>
                <w:color w:val="auto"/>
                <w:u w:val="none" w:color="auto"/>
              </w:rPr>
              <w:t>mg/L×</w:t>
            </w:r>
            <w:r>
              <w:rPr>
                <w:rFonts w:hint="eastAsia"/>
                <w:color w:val="auto"/>
                <w:u w:val="none" w:color="auto"/>
                <w:lang w:val="en-US" w:eastAsia="zh-CN"/>
              </w:rPr>
              <w:t>331.8</w:t>
            </w:r>
            <w:r>
              <w:rPr>
                <w:color w:val="auto"/>
                <w:u w:val="none" w:color="auto"/>
              </w:rPr>
              <w:t>m³/a=</w:t>
            </w:r>
            <w:r>
              <w:rPr>
                <w:rFonts w:hint="eastAsia"/>
                <w:color w:val="auto"/>
                <w:u w:val="none" w:color="auto"/>
                <w:lang w:val="en-US" w:eastAsia="zh-CN"/>
              </w:rPr>
              <w:t>0.01</w:t>
            </w:r>
            <w:r>
              <w:rPr>
                <w:color w:val="auto"/>
                <w:u w:val="none" w:color="auto"/>
              </w:rPr>
              <w:t>t/a</w:t>
            </w:r>
          </w:p>
          <w:p w14:paraId="49C93470">
            <w:pPr>
              <w:bidi w:val="0"/>
              <w:rPr>
                <w:rFonts w:hint="default"/>
                <w:color w:val="auto"/>
                <w:u w:val="none" w:color="auto"/>
                <w:lang w:val="en-US" w:eastAsia="zh-CN"/>
              </w:rPr>
            </w:pPr>
            <w:r>
              <w:rPr>
                <w:rFonts w:hint="eastAsia"/>
                <w:color w:val="auto"/>
                <w:u w:val="none" w:color="auto"/>
                <w:lang w:val="en-US" w:eastAsia="zh-CN"/>
              </w:rPr>
              <w:t>污水处理厂处理后排入外环境量：</w:t>
            </w:r>
          </w:p>
          <w:p w14:paraId="567F6248">
            <w:pPr>
              <w:bidi w:val="0"/>
              <w:rPr>
                <w:color w:val="auto"/>
                <w:u w:val="none" w:color="auto"/>
              </w:rPr>
            </w:pPr>
            <w:r>
              <w:rPr>
                <w:color w:val="auto"/>
                <w:u w:val="none" w:color="auto"/>
              </w:rPr>
              <w:t>根据《城镇污水处理厂污染物排放标准》一级</w:t>
            </w:r>
            <w:r>
              <w:rPr>
                <w:rFonts w:hint="eastAsia"/>
                <w:color w:val="auto"/>
                <w:u w:val="none" w:color="auto"/>
              </w:rPr>
              <w:t>A</w:t>
            </w:r>
            <w:r>
              <w:rPr>
                <w:color w:val="auto"/>
                <w:u w:val="none" w:color="auto"/>
              </w:rPr>
              <w:t>标准中COD及NH</w:t>
            </w:r>
            <w:r>
              <w:rPr>
                <w:color w:val="auto"/>
                <w:u w:val="none" w:color="auto"/>
                <w:vertAlign w:val="subscript"/>
              </w:rPr>
              <w:t>3</w:t>
            </w:r>
            <w:r>
              <w:rPr>
                <w:color w:val="auto"/>
                <w:u w:val="none" w:color="auto"/>
              </w:rPr>
              <w:t>-N的标准限值分别为</w:t>
            </w:r>
            <w:r>
              <w:rPr>
                <w:rFonts w:hint="eastAsia"/>
                <w:color w:val="auto"/>
                <w:u w:val="none" w:color="auto"/>
              </w:rPr>
              <w:t>5</w:t>
            </w:r>
            <w:r>
              <w:rPr>
                <w:color w:val="auto"/>
                <w:u w:val="none" w:color="auto"/>
              </w:rPr>
              <w:t>0mg/L及</w:t>
            </w:r>
            <w:r>
              <w:rPr>
                <w:rFonts w:hint="eastAsia"/>
                <w:color w:val="auto"/>
                <w:u w:val="none" w:color="auto"/>
              </w:rPr>
              <w:t>5</w:t>
            </w:r>
            <w:r>
              <w:rPr>
                <w:color w:val="auto"/>
                <w:u w:val="none" w:color="auto"/>
              </w:rPr>
              <w:t>mg/L，计算得到处理后水中污染物量如下。</w:t>
            </w:r>
          </w:p>
          <w:p w14:paraId="4A7775BD">
            <w:pPr>
              <w:spacing w:line="460" w:lineRule="exact"/>
              <w:ind w:firstLine="480"/>
              <w:rPr>
                <w:color w:val="auto"/>
                <w:u w:val="none" w:color="auto"/>
              </w:rPr>
            </w:pPr>
            <w:r>
              <w:rPr>
                <w:color w:val="auto"/>
                <w:u w:val="none" w:color="auto"/>
              </w:rPr>
              <w:t>COD</w:t>
            </w:r>
            <w:r>
              <w:rPr>
                <w:rFonts w:hint="eastAsia"/>
                <w:color w:val="auto"/>
                <w:u w:val="none" w:color="auto"/>
                <w:vertAlign w:val="subscript"/>
              </w:rPr>
              <w:t>cr</w:t>
            </w:r>
            <w:r>
              <w:rPr>
                <w:color w:val="auto"/>
                <w:u w:val="none" w:color="auto"/>
              </w:rPr>
              <w:t>=</w:t>
            </w:r>
            <w:r>
              <w:rPr>
                <w:rFonts w:hint="eastAsia"/>
                <w:color w:val="auto"/>
                <w:u w:val="none" w:color="auto"/>
              </w:rPr>
              <w:t>5</w:t>
            </w:r>
            <w:r>
              <w:rPr>
                <w:color w:val="auto"/>
                <w:u w:val="none" w:color="auto"/>
              </w:rPr>
              <w:t>0mg/L×</w:t>
            </w:r>
            <w:r>
              <w:rPr>
                <w:rFonts w:hint="eastAsia"/>
                <w:color w:val="auto"/>
                <w:u w:val="none" w:color="auto"/>
                <w:lang w:val="en-US" w:eastAsia="zh-CN"/>
              </w:rPr>
              <w:t>331.8</w:t>
            </w:r>
            <w:r>
              <w:rPr>
                <w:color w:val="auto"/>
                <w:u w:val="none" w:color="auto"/>
              </w:rPr>
              <w:t>m³/a=</w:t>
            </w:r>
            <w:r>
              <w:rPr>
                <w:rFonts w:hint="eastAsia"/>
                <w:color w:val="auto"/>
                <w:u w:val="none" w:color="auto"/>
                <w:lang w:val="en-US" w:eastAsia="zh-CN"/>
              </w:rPr>
              <w:t>0.0166</w:t>
            </w:r>
            <w:r>
              <w:rPr>
                <w:color w:val="auto"/>
                <w:u w:val="none" w:color="auto"/>
              </w:rPr>
              <w:t>t/a</w:t>
            </w:r>
          </w:p>
          <w:p w14:paraId="7C7D6E37">
            <w:pPr>
              <w:spacing w:line="460" w:lineRule="exact"/>
              <w:ind w:firstLine="480"/>
              <w:rPr>
                <w:rFonts w:hint="default" w:eastAsia="宋体"/>
                <w:color w:val="auto"/>
                <w:u w:val="none" w:color="auto"/>
                <w:lang w:val="en-US" w:eastAsia="zh-CN"/>
              </w:rPr>
            </w:pPr>
            <w:r>
              <w:rPr>
                <w:color w:val="auto"/>
                <w:u w:val="none" w:color="auto"/>
              </w:rPr>
              <w:t>NH</w:t>
            </w:r>
            <w:r>
              <w:rPr>
                <w:color w:val="auto"/>
                <w:u w:val="none" w:color="auto"/>
                <w:vertAlign w:val="subscript"/>
              </w:rPr>
              <w:t>3</w:t>
            </w:r>
            <w:r>
              <w:rPr>
                <w:color w:val="auto"/>
                <w:u w:val="none" w:color="auto"/>
              </w:rPr>
              <w:t>-N=</w:t>
            </w:r>
            <w:r>
              <w:rPr>
                <w:rFonts w:hint="eastAsia"/>
                <w:color w:val="auto"/>
                <w:u w:val="none" w:color="auto"/>
              </w:rPr>
              <w:t>5</w:t>
            </w:r>
            <w:r>
              <w:rPr>
                <w:color w:val="auto"/>
                <w:u w:val="none" w:color="auto"/>
              </w:rPr>
              <w:t>mg/L×</w:t>
            </w:r>
            <w:r>
              <w:rPr>
                <w:rFonts w:hint="eastAsia"/>
                <w:color w:val="auto"/>
                <w:u w:val="none" w:color="auto"/>
                <w:lang w:val="en-US" w:eastAsia="zh-CN"/>
              </w:rPr>
              <w:t>331.8</w:t>
            </w:r>
            <w:r>
              <w:rPr>
                <w:color w:val="auto"/>
                <w:u w:val="none" w:color="auto"/>
              </w:rPr>
              <w:t>m³/a=</w:t>
            </w:r>
            <w:r>
              <w:rPr>
                <w:rFonts w:hint="eastAsia"/>
                <w:color w:val="auto"/>
                <w:u w:val="none" w:color="auto"/>
                <w:lang w:val="en-US" w:eastAsia="zh-CN"/>
              </w:rPr>
              <w:t>0.00166</w:t>
            </w:r>
            <w:r>
              <w:rPr>
                <w:color w:val="auto"/>
                <w:u w:val="none" w:color="auto"/>
              </w:rPr>
              <w:t>t/a</w:t>
            </w:r>
          </w:p>
          <w:p w14:paraId="03D74592">
            <w:pPr>
              <w:spacing w:line="460" w:lineRule="exact"/>
              <w:ind w:firstLine="480"/>
              <w:rPr>
                <w:color w:val="auto"/>
                <w:u w:val="none" w:color="auto"/>
              </w:rPr>
            </w:pPr>
            <w:r>
              <w:rPr>
                <w:color w:val="auto"/>
                <w:u w:val="none" w:color="auto"/>
              </w:rPr>
              <w:t>综上，本项目总量控制指标汇总详见表</w:t>
            </w:r>
            <w:r>
              <w:rPr>
                <w:rFonts w:hint="eastAsia"/>
                <w:color w:val="auto"/>
                <w:u w:val="none" w:color="auto"/>
              </w:rPr>
              <w:t>3-</w:t>
            </w:r>
            <w:r>
              <w:rPr>
                <w:rFonts w:hint="eastAsia"/>
                <w:color w:val="auto"/>
                <w:u w:val="none" w:color="auto"/>
                <w:lang w:val="en-US" w:eastAsia="zh-CN"/>
              </w:rPr>
              <w:t>8</w:t>
            </w:r>
            <w:r>
              <w:rPr>
                <w:color w:val="auto"/>
                <w:u w:val="none" w:color="auto"/>
              </w:rPr>
              <w:t>。</w:t>
            </w:r>
          </w:p>
          <w:p w14:paraId="76CCDC84">
            <w:pPr>
              <w:spacing w:line="240" w:lineRule="auto"/>
              <w:ind w:firstLine="422"/>
              <w:jc w:val="center"/>
              <w:rPr>
                <w:b/>
                <w:color w:val="auto"/>
                <w:sz w:val="21"/>
                <w:szCs w:val="21"/>
                <w:u w:val="none" w:color="auto"/>
              </w:rPr>
            </w:pPr>
            <w:r>
              <w:rPr>
                <w:b/>
                <w:color w:val="auto"/>
                <w:sz w:val="21"/>
                <w:szCs w:val="21"/>
                <w:u w:val="none" w:color="auto"/>
              </w:rPr>
              <w:t>表</w:t>
            </w:r>
            <w:r>
              <w:rPr>
                <w:rFonts w:hint="eastAsia"/>
                <w:b/>
                <w:color w:val="auto"/>
                <w:sz w:val="21"/>
                <w:szCs w:val="21"/>
                <w:u w:val="none" w:color="auto"/>
              </w:rPr>
              <w:t>3-</w:t>
            </w:r>
            <w:r>
              <w:rPr>
                <w:rFonts w:hint="eastAsia"/>
                <w:b/>
                <w:color w:val="auto"/>
                <w:sz w:val="21"/>
                <w:szCs w:val="21"/>
                <w:u w:val="none" w:color="auto"/>
                <w:lang w:val="en-US" w:eastAsia="zh-CN"/>
              </w:rPr>
              <w:t>8</w:t>
            </w:r>
            <w:r>
              <w:rPr>
                <w:b/>
                <w:color w:val="auto"/>
                <w:sz w:val="21"/>
                <w:szCs w:val="21"/>
                <w:u w:val="none" w:color="auto"/>
              </w:rPr>
              <w:t>本项目总量控制指标汇总表单位：t/a</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1"/>
              <w:gridCol w:w="2944"/>
              <w:gridCol w:w="3462"/>
            </w:tblGrid>
            <w:tr w14:paraId="22E7F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6" w:type="pct"/>
                  <w:noWrap w:val="0"/>
                  <w:vAlign w:val="center"/>
                </w:tcPr>
                <w:p w14:paraId="2E5B4FC0">
                  <w:pPr>
                    <w:spacing w:line="240" w:lineRule="auto"/>
                    <w:ind w:firstLine="0" w:firstLineChars="0"/>
                    <w:jc w:val="center"/>
                    <w:rPr>
                      <w:rFonts w:hAnsi="Times New Roman"/>
                      <w:color w:val="auto"/>
                      <w:sz w:val="21"/>
                      <w:szCs w:val="21"/>
                      <w:u w:val="none" w:color="auto"/>
                    </w:rPr>
                  </w:pPr>
                  <w:r>
                    <w:rPr>
                      <w:rFonts w:hAnsi="Times New Roman"/>
                      <w:color w:val="auto"/>
                      <w:sz w:val="21"/>
                      <w:szCs w:val="21"/>
                      <w:u w:val="none" w:color="auto"/>
                    </w:rPr>
                    <w:t>项目</w:t>
                  </w:r>
                </w:p>
              </w:tc>
              <w:tc>
                <w:tcPr>
                  <w:tcW w:w="1757" w:type="pct"/>
                  <w:noWrap w:val="0"/>
                  <w:vAlign w:val="center"/>
                </w:tcPr>
                <w:p w14:paraId="024B26A6">
                  <w:pPr>
                    <w:spacing w:line="240" w:lineRule="auto"/>
                    <w:ind w:firstLine="0" w:firstLineChars="0"/>
                    <w:jc w:val="center"/>
                    <w:rPr>
                      <w:rFonts w:hAnsi="Times New Roman"/>
                      <w:color w:val="auto"/>
                      <w:sz w:val="21"/>
                      <w:szCs w:val="21"/>
                      <w:u w:val="none" w:color="auto"/>
                    </w:rPr>
                  </w:pPr>
                  <w:r>
                    <w:rPr>
                      <w:rFonts w:hint="eastAsia"/>
                      <w:color w:val="auto"/>
                      <w:sz w:val="21"/>
                      <w:szCs w:val="21"/>
                      <w:u w:val="none" w:color="auto"/>
                      <w:lang w:val="en-US" w:eastAsia="zh-CN"/>
                    </w:rPr>
                    <w:t>排入市政污水管网的纳管量</w:t>
                  </w:r>
                </w:p>
              </w:tc>
              <w:tc>
                <w:tcPr>
                  <w:tcW w:w="2066" w:type="pct"/>
                  <w:noWrap w:val="0"/>
                  <w:vAlign w:val="center"/>
                </w:tcPr>
                <w:p w14:paraId="0CDB7A8F">
                  <w:pPr>
                    <w:spacing w:line="240" w:lineRule="auto"/>
                    <w:ind w:firstLine="0" w:firstLineChars="0"/>
                    <w:jc w:val="center"/>
                    <w:rPr>
                      <w:rFonts w:hAnsi="Times New Roman"/>
                      <w:color w:val="auto"/>
                      <w:sz w:val="21"/>
                      <w:szCs w:val="21"/>
                      <w:u w:val="none" w:color="auto"/>
                    </w:rPr>
                  </w:pPr>
                  <w:r>
                    <w:rPr>
                      <w:rFonts w:hint="eastAsia"/>
                      <w:color w:val="auto"/>
                      <w:sz w:val="21"/>
                      <w:szCs w:val="21"/>
                      <w:u w:val="none" w:color="auto"/>
                      <w:lang w:val="en-US" w:eastAsia="zh-CN"/>
                    </w:rPr>
                    <w:t>污水处理厂处理后排入外环境量</w:t>
                  </w:r>
                </w:p>
              </w:tc>
            </w:tr>
            <w:tr w14:paraId="0CAD2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6" w:type="pct"/>
                  <w:noWrap w:val="0"/>
                  <w:vAlign w:val="center"/>
                </w:tcPr>
                <w:p w14:paraId="7C43157F">
                  <w:pPr>
                    <w:spacing w:line="240" w:lineRule="auto"/>
                    <w:ind w:firstLine="0" w:firstLineChars="0"/>
                    <w:jc w:val="center"/>
                    <w:rPr>
                      <w:rFonts w:hAnsi="Times New Roman"/>
                      <w:color w:val="auto"/>
                      <w:sz w:val="21"/>
                      <w:szCs w:val="21"/>
                      <w:u w:val="none" w:color="auto"/>
                      <w:lang w:val="en-US"/>
                    </w:rPr>
                  </w:pPr>
                  <w:r>
                    <w:rPr>
                      <w:rFonts w:hAnsi="Times New Roman"/>
                      <w:color w:val="auto"/>
                      <w:sz w:val="21"/>
                      <w:szCs w:val="21"/>
                      <w:u w:val="none" w:color="auto"/>
                    </w:rPr>
                    <w:t>COD</w:t>
                  </w:r>
                  <w:r>
                    <w:rPr>
                      <w:rFonts w:hint="eastAsia" w:hAnsi="Times New Roman"/>
                      <w:color w:val="auto"/>
                      <w:sz w:val="21"/>
                      <w:szCs w:val="21"/>
                      <w:u w:val="none" w:color="auto"/>
                      <w:lang w:val="en-US"/>
                    </w:rPr>
                    <w:t>cr</w:t>
                  </w:r>
                </w:p>
              </w:tc>
              <w:tc>
                <w:tcPr>
                  <w:tcW w:w="1757" w:type="pct"/>
                  <w:noWrap w:val="0"/>
                  <w:vAlign w:val="center"/>
                </w:tcPr>
                <w:p w14:paraId="21C04A65">
                  <w:pPr>
                    <w:spacing w:line="240" w:lineRule="auto"/>
                    <w:ind w:firstLine="0" w:firstLineChars="0"/>
                    <w:jc w:val="center"/>
                    <w:rPr>
                      <w:rFonts w:hint="default" w:hAnsi="Times New Roman" w:eastAsia="宋体"/>
                      <w:color w:val="auto"/>
                      <w:sz w:val="21"/>
                      <w:szCs w:val="21"/>
                      <w:u w:val="none" w:color="auto"/>
                      <w:lang w:val="en-US" w:eastAsia="zh-CN"/>
                    </w:rPr>
                  </w:pPr>
                  <w:r>
                    <w:rPr>
                      <w:rFonts w:hint="eastAsia"/>
                      <w:color w:val="auto"/>
                      <w:sz w:val="21"/>
                      <w:szCs w:val="21"/>
                      <w:u w:val="none" w:color="auto"/>
                      <w:lang w:val="en-US" w:eastAsia="zh-CN"/>
                    </w:rPr>
                    <w:t>0.05</w:t>
                  </w:r>
                </w:p>
              </w:tc>
              <w:tc>
                <w:tcPr>
                  <w:tcW w:w="2066" w:type="pct"/>
                  <w:noWrap w:val="0"/>
                  <w:vAlign w:val="center"/>
                </w:tcPr>
                <w:p w14:paraId="5A987666">
                  <w:pPr>
                    <w:spacing w:line="240" w:lineRule="auto"/>
                    <w:ind w:firstLine="0" w:firstLineChars="0"/>
                    <w:jc w:val="center"/>
                    <w:rPr>
                      <w:rFonts w:hint="default" w:hAnsi="Times New Roman"/>
                      <w:color w:val="auto"/>
                      <w:sz w:val="21"/>
                      <w:szCs w:val="21"/>
                      <w:u w:val="none" w:color="auto"/>
                      <w:lang w:val="en-US"/>
                    </w:rPr>
                  </w:pPr>
                  <w:r>
                    <w:rPr>
                      <w:rFonts w:hint="eastAsia"/>
                      <w:color w:val="auto"/>
                      <w:sz w:val="21"/>
                      <w:szCs w:val="21"/>
                      <w:u w:val="none" w:color="auto"/>
                      <w:lang w:val="en-US" w:eastAsia="zh-CN"/>
                    </w:rPr>
                    <w:t>0.0166</w:t>
                  </w:r>
                </w:p>
              </w:tc>
            </w:tr>
            <w:tr w14:paraId="26370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6" w:type="pct"/>
                  <w:noWrap w:val="0"/>
                  <w:vAlign w:val="center"/>
                </w:tcPr>
                <w:p w14:paraId="3C76EF9C">
                  <w:pPr>
                    <w:spacing w:line="240" w:lineRule="auto"/>
                    <w:ind w:firstLine="0" w:firstLineChars="0"/>
                    <w:jc w:val="center"/>
                    <w:rPr>
                      <w:rFonts w:hAnsi="Times New Roman"/>
                      <w:color w:val="auto"/>
                      <w:sz w:val="21"/>
                      <w:szCs w:val="21"/>
                      <w:u w:val="none" w:color="auto"/>
                    </w:rPr>
                  </w:pPr>
                  <w:r>
                    <w:rPr>
                      <w:rFonts w:hAnsi="Times New Roman"/>
                      <w:color w:val="auto"/>
                      <w:sz w:val="21"/>
                      <w:szCs w:val="21"/>
                      <w:u w:val="none" w:color="auto"/>
                      <w:lang w:val="en-US"/>
                    </w:rPr>
                    <w:t>NH</w:t>
                  </w:r>
                  <w:r>
                    <w:rPr>
                      <w:rFonts w:hAnsi="Times New Roman"/>
                      <w:color w:val="auto"/>
                      <w:sz w:val="21"/>
                      <w:szCs w:val="21"/>
                      <w:u w:val="none" w:color="auto"/>
                      <w:vertAlign w:val="subscript"/>
                      <w:lang w:val="en-US"/>
                    </w:rPr>
                    <w:t>3</w:t>
                  </w:r>
                  <w:r>
                    <w:rPr>
                      <w:rFonts w:hAnsi="Times New Roman"/>
                      <w:color w:val="auto"/>
                      <w:sz w:val="21"/>
                      <w:szCs w:val="21"/>
                      <w:u w:val="none" w:color="auto"/>
                      <w:lang w:val="en-US"/>
                    </w:rPr>
                    <w:t>-N</w:t>
                  </w:r>
                </w:p>
              </w:tc>
              <w:tc>
                <w:tcPr>
                  <w:tcW w:w="1757" w:type="pct"/>
                  <w:noWrap w:val="0"/>
                  <w:vAlign w:val="center"/>
                </w:tcPr>
                <w:p w14:paraId="0989B52A">
                  <w:pPr>
                    <w:spacing w:line="240" w:lineRule="auto"/>
                    <w:ind w:firstLine="0" w:firstLineChars="0"/>
                    <w:jc w:val="center"/>
                    <w:rPr>
                      <w:rFonts w:hint="default" w:hAnsi="Times New Roman" w:eastAsia="宋体"/>
                      <w:color w:val="auto"/>
                      <w:sz w:val="21"/>
                      <w:szCs w:val="21"/>
                      <w:u w:val="none" w:color="auto"/>
                      <w:lang w:val="en-US" w:eastAsia="zh-CN"/>
                    </w:rPr>
                  </w:pPr>
                  <w:r>
                    <w:rPr>
                      <w:rFonts w:hint="eastAsia"/>
                      <w:color w:val="auto"/>
                      <w:sz w:val="21"/>
                      <w:szCs w:val="21"/>
                      <w:u w:val="none" w:color="auto"/>
                      <w:lang w:val="en-US" w:eastAsia="zh-CN"/>
                    </w:rPr>
                    <w:t>0.01</w:t>
                  </w:r>
                </w:p>
              </w:tc>
              <w:tc>
                <w:tcPr>
                  <w:tcW w:w="2066" w:type="pct"/>
                  <w:noWrap w:val="0"/>
                  <w:vAlign w:val="center"/>
                </w:tcPr>
                <w:p w14:paraId="3795D859">
                  <w:pPr>
                    <w:spacing w:line="240" w:lineRule="auto"/>
                    <w:ind w:firstLine="0" w:firstLineChars="0"/>
                    <w:jc w:val="center"/>
                    <w:rPr>
                      <w:rFonts w:hint="default" w:hAnsi="Times New Roman"/>
                      <w:color w:val="auto"/>
                      <w:sz w:val="21"/>
                      <w:szCs w:val="21"/>
                      <w:u w:val="none" w:color="auto"/>
                      <w:lang w:val="en-US"/>
                    </w:rPr>
                  </w:pPr>
                  <w:r>
                    <w:rPr>
                      <w:rFonts w:hint="eastAsia" w:hAnsi="Times New Roman"/>
                      <w:color w:val="auto"/>
                      <w:sz w:val="21"/>
                      <w:szCs w:val="21"/>
                      <w:u w:val="none" w:color="auto"/>
                      <w:lang w:val="en-US" w:eastAsia="zh-CN"/>
                    </w:rPr>
                    <w:t>0.0</w:t>
                  </w:r>
                  <w:r>
                    <w:rPr>
                      <w:rFonts w:hint="eastAsia"/>
                      <w:color w:val="auto"/>
                      <w:sz w:val="21"/>
                      <w:szCs w:val="21"/>
                      <w:u w:val="none" w:color="auto"/>
                      <w:lang w:val="en-US" w:eastAsia="zh-CN"/>
                    </w:rPr>
                    <w:t>0166</w:t>
                  </w:r>
                </w:p>
              </w:tc>
            </w:tr>
          </w:tbl>
          <w:p w14:paraId="30CC92BF">
            <w:pPr>
              <w:bidi w:val="0"/>
              <w:rPr>
                <w:color w:val="auto"/>
              </w:rPr>
            </w:pPr>
            <w:r>
              <w:rPr>
                <w:rFonts w:hint="eastAsia"/>
                <w:color w:val="auto"/>
                <w:lang w:eastAsia="zh-CN"/>
              </w:rPr>
              <w:t>根据《关于印发</w:t>
            </w:r>
            <w:r>
              <w:rPr>
                <w:rFonts w:hint="eastAsia"/>
                <w:color w:val="auto"/>
                <w:lang w:val="en-US" w:eastAsia="zh-CN"/>
              </w:rPr>
              <w:t>&lt;</w:t>
            </w:r>
            <w:r>
              <w:rPr>
                <w:rFonts w:hint="eastAsia"/>
                <w:color w:val="auto"/>
                <w:lang w:eastAsia="zh-CN"/>
              </w:rPr>
              <w:t>生态环境部门进一步促进民营经济发展的若干措施</w:t>
            </w:r>
            <w:r>
              <w:rPr>
                <w:rFonts w:hint="eastAsia"/>
                <w:color w:val="auto"/>
                <w:lang w:val="en-US" w:eastAsia="zh-CN"/>
              </w:rPr>
              <w:t>&gt;的通知</w:t>
            </w:r>
            <w:r>
              <w:rPr>
                <w:rFonts w:hint="eastAsia"/>
                <w:color w:val="auto"/>
                <w:lang w:eastAsia="zh-CN"/>
              </w:rPr>
              <w:t>》（</w:t>
            </w:r>
            <w:r>
              <w:rPr>
                <w:rFonts w:hint="eastAsia"/>
                <w:color w:val="auto"/>
              </w:rPr>
              <w:t>环综合[2024] 62号</w:t>
            </w:r>
            <w:r>
              <w:rPr>
                <w:rFonts w:hint="eastAsia"/>
                <w:color w:val="auto"/>
                <w:lang w:eastAsia="zh-CN"/>
              </w:rPr>
              <w:t>）中“</w:t>
            </w:r>
            <w:r>
              <w:rPr>
                <w:rFonts w:hint="eastAsia"/>
                <w:color w:val="auto"/>
              </w:rPr>
              <w:t>8.优化总量指标管理。健全总量指标配置机制，优化新改扩建建设项目总量指标监督管理。在严格实施各项污染防治措施基础上，对氮氧化物、化学需氧量、挥发性有机污染物的单项新增年排放量小于0.1吨，氨氮小于 0.01吨的建设项目，免予提交总量指标来源说明，由地方生态环境部门统筹总量指标替代来源，并纳入台账管理。</w:t>
            </w:r>
            <w:r>
              <w:rPr>
                <w:rFonts w:hint="eastAsia"/>
                <w:color w:val="auto"/>
                <w:lang w:eastAsia="zh-CN"/>
              </w:rPr>
              <w:t>”</w:t>
            </w:r>
          </w:p>
          <w:p w14:paraId="72CEF95E">
            <w:pPr>
              <w:ind w:firstLine="480"/>
              <w:rPr>
                <w:color w:val="auto"/>
                <w:u w:val="none" w:color="auto"/>
              </w:rPr>
            </w:pPr>
            <w:r>
              <w:rPr>
                <w:rFonts w:hint="eastAsia"/>
                <w:color w:val="auto"/>
                <w:u w:val="none" w:color="auto"/>
                <w:lang w:eastAsia="zh-CN"/>
              </w:rPr>
              <w:t>本次建议项目所需</w:t>
            </w:r>
            <w:r>
              <w:rPr>
                <w:rFonts w:hint="eastAsia"/>
                <w:color w:val="auto"/>
                <w:u w:val="none" w:color="auto"/>
                <w:lang w:val="en-US" w:eastAsia="zh-CN"/>
              </w:rPr>
              <w:t>CODcr、NH</w:t>
            </w:r>
            <w:r>
              <w:rPr>
                <w:rFonts w:hint="eastAsia"/>
                <w:color w:val="auto"/>
                <w:u w:val="none" w:color="auto"/>
                <w:vertAlign w:val="subscript"/>
                <w:lang w:val="en-US" w:eastAsia="zh-CN"/>
              </w:rPr>
              <w:t>3</w:t>
            </w:r>
            <w:r>
              <w:rPr>
                <w:rFonts w:hint="eastAsia"/>
                <w:color w:val="auto"/>
                <w:u w:val="none" w:color="auto"/>
                <w:lang w:val="en-US" w:eastAsia="zh-CN"/>
              </w:rPr>
              <w:t>-N</w:t>
            </w:r>
            <w:r>
              <w:rPr>
                <w:rFonts w:hint="eastAsia"/>
                <w:color w:val="auto"/>
                <w:u w:val="none" w:color="auto"/>
                <w:lang w:eastAsia="zh-CN"/>
              </w:rPr>
              <w:t>总量指标</w:t>
            </w:r>
            <w:r>
              <w:rPr>
                <w:rFonts w:hint="eastAsia"/>
                <w:color w:val="auto"/>
              </w:rPr>
              <w:t>由地方生态环境部门统筹总量指标替代来源，并纳入台账管理</w:t>
            </w:r>
            <w:r>
              <w:rPr>
                <w:color w:val="auto"/>
                <w:u w:val="none" w:color="auto"/>
              </w:rPr>
              <w:t>。</w:t>
            </w:r>
          </w:p>
          <w:p w14:paraId="23F4BFB4">
            <w:pPr>
              <w:pStyle w:val="11"/>
              <w:rPr>
                <w:color w:val="auto"/>
                <w:u w:val="none" w:color="auto"/>
              </w:rPr>
            </w:pPr>
          </w:p>
        </w:tc>
      </w:tr>
    </w:tbl>
    <w:p w14:paraId="244F9D62">
      <w:pPr>
        <w:pStyle w:val="26"/>
        <w:jc w:val="center"/>
        <w:outlineLvl w:val="0"/>
        <w:rPr>
          <w:rFonts w:ascii="黑体" w:hAnsi="黑体" w:eastAsia="黑体"/>
          <w:snapToGrid w:val="0"/>
          <w:color w:val="auto"/>
          <w:sz w:val="30"/>
          <w:szCs w:val="30"/>
          <w:u w:val="none" w:color="auto"/>
        </w:rPr>
      </w:pPr>
      <w:r>
        <w:rPr>
          <w:rFonts w:ascii="黑体" w:hAnsi="黑体" w:eastAsia="黑体"/>
          <w:snapToGrid w:val="0"/>
          <w:color w:val="auto"/>
          <w:sz w:val="36"/>
          <w:szCs w:val="36"/>
          <w:u w:val="none" w:color="auto"/>
        </w:rPr>
        <w:br w:type="page"/>
      </w:r>
      <w:bookmarkStart w:id="9" w:name="_Toc8282"/>
      <w:bookmarkStart w:id="10" w:name="_Toc13553"/>
      <w:r>
        <w:rPr>
          <w:rFonts w:hint="eastAsia" w:ascii="黑体" w:hAnsi="黑体" w:eastAsia="黑体"/>
          <w:snapToGrid w:val="0"/>
          <w:color w:val="auto"/>
          <w:sz w:val="30"/>
          <w:szCs w:val="30"/>
          <w:u w:val="none" w:color="auto"/>
        </w:rPr>
        <w:t>四、主要环境影响和保护措施</w:t>
      </w:r>
      <w:bookmarkEnd w:id="9"/>
      <w:bookmarkEnd w:id="10"/>
    </w:p>
    <w:tbl>
      <w:tblPr>
        <w:tblStyle w:val="28"/>
        <w:tblW w:w="504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5"/>
        <w:gridCol w:w="8495"/>
      </w:tblGrid>
      <w:tr w14:paraId="14A69D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312" w:type="pct"/>
            <w:noWrap w:val="0"/>
            <w:tcMar>
              <w:left w:w="28" w:type="dxa"/>
              <w:right w:w="28" w:type="dxa"/>
            </w:tcMar>
            <w:vAlign w:val="center"/>
          </w:tcPr>
          <w:p w14:paraId="6DFA634C">
            <w:pPr>
              <w:pStyle w:val="11"/>
              <w:rPr>
                <w:rFonts w:hint="eastAsia"/>
                <w:color w:val="auto"/>
                <w:u w:val="none" w:color="auto"/>
              </w:rPr>
            </w:pPr>
            <w:r>
              <w:rPr>
                <w:rFonts w:hint="eastAsia"/>
                <w:color w:val="auto"/>
                <w:u w:val="none" w:color="auto"/>
              </w:rPr>
              <w:t>施工</w:t>
            </w:r>
          </w:p>
          <w:p w14:paraId="496E1C0F">
            <w:pPr>
              <w:pStyle w:val="11"/>
              <w:rPr>
                <w:rFonts w:hint="eastAsia"/>
                <w:color w:val="auto"/>
                <w:u w:val="none" w:color="auto"/>
              </w:rPr>
            </w:pPr>
            <w:r>
              <w:rPr>
                <w:rFonts w:hint="eastAsia"/>
                <w:color w:val="auto"/>
                <w:u w:val="none" w:color="auto"/>
              </w:rPr>
              <w:t>期环</w:t>
            </w:r>
          </w:p>
          <w:p w14:paraId="29ECE4D9">
            <w:pPr>
              <w:pStyle w:val="11"/>
              <w:rPr>
                <w:rFonts w:hint="eastAsia"/>
                <w:color w:val="auto"/>
                <w:u w:val="none" w:color="auto"/>
              </w:rPr>
            </w:pPr>
            <w:r>
              <w:rPr>
                <w:rFonts w:hint="eastAsia"/>
                <w:color w:val="auto"/>
                <w:u w:val="none" w:color="auto"/>
              </w:rPr>
              <w:t>境保</w:t>
            </w:r>
          </w:p>
          <w:p w14:paraId="19EA9CB5">
            <w:pPr>
              <w:pStyle w:val="11"/>
              <w:rPr>
                <w:rFonts w:hint="eastAsia"/>
                <w:color w:val="auto"/>
                <w:u w:val="none" w:color="auto"/>
              </w:rPr>
            </w:pPr>
            <w:r>
              <w:rPr>
                <w:rFonts w:hint="eastAsia"/>
                <w:color w:val="auto"/>
                <w:u w:val="none" w:color="auto"/>
              </w:rPr>
              <w:t>护措</w:t>
            </w:r>
          </w:p>
          <w:p w14:paraId="3340C4E7">
            <w:pPr>
              <w:pStyle w:val="11"/>
              <w:rPr>
                <w:rFonts w:hint="eastAsia"/>
                <w:color w:val="auto"/>
                <w:u w:val="none" w:color="auto"/>
              </w:rPr>
            </w:pPr>
            <w:r>
              <w:rPr>
                <w:rFonts w:hint="eastAsia"/>
                <w:color w:val="auto"/>
                <w:u w:val="none" w:color="auto"/>
              </w:rPr>
              <w:t>施</w:t>
            </w:r>
          </w:p>
        </w:tc>
        <w:tc>
          <w:tcPr>
            <w:tcW w:w="4687" w:type="pct"/>
            <w:noWrap w:val="0"/>
            <w:vAlign w:val="center"/>
          </w:tcPr>
          <w:p w14:paraId="0BCF31A0">
            <w:pPr>
              <w:ind w:firstLine="440"/>
              <w:rPr>
                <w:rFonts w:hint="eastAsia" w:ascii="宋体" w:hAnsi="宋体" w:cs="宋体"/>
                <w:bCs/>
                <w:color w:val="auto"/>
                <w:spacing w:val="-10"/>
                <w:szCs w:val="21"/>
                <w:u w:val="none" w:color="auto"/>
              </w:rPr>
            </w:pPr>
            <w:r>
              <w:rPr>
                <w:rFonts w:hint="eastAsia" w:ascii="宋体" w:hAnsi="宋体" w:cs="宋体"/>
                <w:bCs/>
                <w:color w:val="auto"/>
                <w:spacing w:val="-10"/>
                <w:szCs w:val="21"/>
                <w:u w:val="none" w:color="auto"/>
              </w:rPr>
              <w:t>项目</w:t>
            </w:r>
            <w:r>
              <w:rPr>
                <w:rFonts w:hint="eastAsia" w:ascii="宋体" w:hAnsi="宋体" w:cs="宋体"/>
                <w:bCs/>
                <w:color w:val="auto"/>
                <w:spacing w:val="-10"/>
                <w:szCs w:val="21"/>
                <w:u w:val="none" w:color="auto"/>
                <w:lang w:eastAsia="zh-CN"/>
              </w:rPr>
              <w:t>租赁厂房，</w:t>
            </w:r>
            <w:r>
              <w:rPr>
                <w:rFonts w:hint="eastAsia" w:ascii="宋体" w:hAnsi="宋体" w:cs="宋体"/>
                <w:bCs/>
                <w:color w:val="auto"/>
                <w:spacing w:val="-10"/>
                <w:szCs w:val="21"/>
                <w:u w:val="none" w:color="auto"/>
                <w:lang w:val="en-US" w:eastAsia="zh-CN"/>
              </w:rPr>
              <w:t>已建成投产</w:t>
            </w:r>
            <w:r>
              <w:rPr>
                <w:rFonts w:hint="eastAsia" w:ascii="宋体" w:hAnsi="宋体" w:cs="宋体"/>
                <w:bCs/>
                <w:color w:val="auto"/>
                <w:spacing w:val="-10"/>
                <w:szCs w:val="21"/>
                <w:u w:val="none" w:color="auto"/>
              </w:rPr>
              <w:t>，</w:t>
            </w:r>
            <w:r>
              <w:rPr>
                <w:rFonts w:hint="eastAsia" w:ascii="宋体" w:hAnsi="宋体" w:cs="宋体"/>
                <w:bCs/>
                <w:color w:val="auto"/>
                <w:spacing w:val="-10"/>
                <w:szCs w:val="21"/>
                <w:u w:val="none" w:color="auto"/>
                <w:lang w:val="en-US" w:eastAsia="zh-CN"/>
              </w:rPr>
              <w:t>施工期影响已消失，本次不再提出</w:t>
            </w:r>
            <w:r>
              <w:rPr>
                <w:rFonts w:hint="eastAsia" w:ascii="宋体" w:hAnsi="宋体" w:cs="宋体"/>
                <w:bCs/>
                <w:color w:val="auto"/>
                <w:spacing w:val="-10"/>
                <w:szCs w:val="21"/>
                <w:u w:val="none" w:color="auto"/>
              </w:rPr>
              <w:t>施工期环境保护措施</w:t>
            </w:r>
            <w:r>
              <w:rPr>
                <w:rFonts w:hint="eastAsia"/>
                <w:color w:val="auto"/>
                <w:u w:val="none" w:color="auto"/>
              </w:rPr>
              <w:t>。</w:t>
            </w:r>
          </w:p>
        </w:tc>
      </w:tr>
      <w:tr w14:paraId="6A1134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312" w:type="pct"/>
            <w:noWrap w:val="0"/>
            <w:tcMar>
              <w:left w:w="28" w:type="dxa"/>
              <w:right w:w="28" w:type="dxa"/>
            </w:tcMar>
            <w:vAlign w:val="center"/>
          </w:tcPr>
          <w:p w14:paraId="4364167A">
            <w:pPr>
              <w:pStyle w:val="11"/>
              <w:rPr>
                <w:rFonts w:hint="eastAsia"/>
                <w:color w:val="auto"/>
                <w:u w:val="none" w:color="auto"/>
              </w:rPr>
            </w:pPr>
            <w:r>
              <w:rPr>
                <w:rFonts w:hint="eastAsia"/>
                <w:color w:val="auto"/>
                <w:u w:val="none" w:color="auto"/>
              </w:rPr>
              <w:t>运营</w:t>
            </w:r>
          </w:p>
          <w:p w14:paraId="208533CA">
            <w:pPr>
              <w:pStyle w:val="11"/>
              <w:rPr>
                <w:rFonts w:hint="eastAsia"/>
                <w:color w:val="auto"/>
                <w:u w:val="none" w:color="auto"/>
              </w:rPr>
            </w:pPr>
            <w:r>
              <w:rPr>
                <w:rFonts w:hint="eastAsia"/>
                <w:color w:val="auto"/>
                <w:u w:val="none" w:color="auto"/>
              </w:rPr>
              <w:t>期环</w:t>
            </w:r>
          </w:p>
          <w:p w14:paraId="2CD7E58A">
            <w:pPr>
              <w:pStyle w:val="11"/>
              <w:rPr>
                <w:rFonts w:hint="eastAsia"/>
                <w:color w:val="auto"/>
                <w:u w:val="none" w:color="auto"/>
              </w:rPr>
            </w:pPr>
            <w:r>
              <w:rPr>
                <w:rFonts w:hint="eastAsia"/>
                <w:color w:val="auto"/>
                <w:u w:val="none" w:color="auto"/>
              </w:rPr>
              <w:t>境影</w:t>
            </w:r>
          </w:p>
          <w:p w14:paraId="02475958">
            <w:pPr>
              <w:pStyle w:val="11"/>
              <w:rPr>
                <w:rFonts w:hint="eastAsia"/>
                <w:color w:val="auto"/>
                <w:u w:val="none" w:color="auto"/>
              </w:rPr>
            </w:pPr>
            <w:r>
              <w:rPr>
                <w:rFonts w:hint="eastAsia"/>
                <w:color w:val="auto"/>
                <w:u w:val="none" w:color="auto"/>
              </w:rPr>
              <w:t>响和</w:t>
            </w:r>
          </w:p>
          <w:p w14:paraId="49AB75A9">
            <w:pPr>
              <w:pStyle w:val="11"/>
              <w:rPr>
                <w:rFonts w:hint="eastAsia"/>
                <w:color w:val="auto"/>
                <w:u w:val="none" w:color="auto"/>
              </w:rPr>
            </w:pPr>
            <w:r>
              <w:rPr>
                <w:rFonts w:hint="eastAsia"/>
                <w:color w:val="auto"/>
                <w:u w:val="none" w:color="auto"/>
              </w:rPr>
              <w:t>保护</w:t>
            </w:r>
          </w:p>
          <w:p w14:paraId="1D31D1BF">
            <w:pPr>
              <w:pStyle w:val="11"/>
              <w:rPr>
                <w:rFonts w:hint="eastAsia"/>
                <w:color w:val="auto"/>
                <w:u w:val="none" w:color="auto"/>
              </w:rPr>
            </w:pPr>
            <w:r>
              <w:rPr>
                <w:rFonts w:hint="eastAsia"/>
                <w:color w:val="auto"/>
                <w:u w:val="none" w:color="auto"/>
              </w:rPr>
              <w:t>措施</w:t>
            </w:r>
          </w:p>
        </w:tc>
        <w:tc>
          <w:tcPr>
            <w:tcW w:w="4687" w:type="pct"/>
            <w:noWrap w:val="0"/>
            <w:vAlign w:val="center"/>
          </w:tcPr>
          <w:p w14:paraId="4B8EC644">
            <w:pPr>
              <w:ind w:firstLine="482"/>
              <w:rPr>
                <w:rFonts w:hint="eastAsia"/>
                <w:b/>
                <w:bCs/>
                <w:color w:val="auto"/>
                <w:u w:val="none" w:color="auto"/>
              </w:rPr>
            </w:pPr>
            <w:r>
              <w:rPr>
                <w:rFonts w:hint="eastAsia"/>
                <w:b/>
                <w:bCs/>
                <w:color w:val="auto"/>
                <w:u w:val="none" w:color="auto"/>
              </w:rPr>
              <w:t>（一）运营期大气环境影响和保护措施</w:t>
            </w:r>
          </w:p>
          <w:p w14:paraId="4CC4FBF7">
            <w:pPr>
              <w:bidi w:val="0"/>
              <w:rPr>
                <w:rFonts w:hint="eastAsia"/>
                <w:color w:val="auto"/>
                <w:u w:val="none" w:color="auto"/>
              </w:rPr>
            </w:pPr>
            <w:r>
              <w:rPr>
                <w:rFonts w:hint="eastAsia"/>
                <w:color w:val="auto"/>
                <w:u w:val="none" w:color="auto"/>
              </w:rPr>
              <w:t>1、废气污染物排放源</w:t>
            </w:r>
          </w:p>
          <w:p w14:paraId="669374FF">
            <w:pPr>
              <w:bidi w:val="0"/>
              <w:rPr>
                <w:color w:val="auto"/>
                <w:u w:val="none" w:color="auto"/>
              </w:rPr>
            </w:pPr>
            <w:r>
              <w:rPr>
                <w:rFonts w:hint="eastAsia"/>
                <w:color w:val="auto"/>
                <w:u w:val="none" w:color="auto"/>
              </w:rPr>
              <w:t>本项目营运期废气主要为</w:t>
            </w:r>
            <w:r>
              <w:rPr>
                <w:rFonts w:hint="eastAsia"/>
                <w:color w:val="auto"/>
                <w:u w:val="none" w:color="auto"/>
                <w:lang w:val="en-US" w:eastAsia="zh-CN"/>
              </w:rPr>
              <w:t>配料粉尘，</w:t>
            </w:r>
            <w:r>
              <w:rPr>
                <w:rFonts w:hint="eastAsia"/>
                <w:color w:val="auto"/>
                <w:u w:val="none" w:color="auto"/>
              </w:rPr>
              <w:t>涂布烘干NMP废气</w:t>
            </w:r>
            <w:r>
              <w:rPr>
                <w:color w:val="auto"/>
                <w:u w:val="none" w:color="auto"/>
              </w:rPr>
              <w:t>、</w:t>
            </w:r>
            <w:r>
              <w:rPr>
                <w:rFonts w:hint="eastAsia"/>
                <w:color w:val="auto"/>
                <w:u w:val="none" w:color="auto"/>
              </w:rPr>
              <w:t>注液</w:t>
            </w:r>
            <w:r>
              <w:rPr>
                <w:color w:val="auto"/>
                <w:u w:val="none" w:color="auto"/>
              </w:rPr>
              <w:t>废气</w:t>
            </w:r>
            <w:r>
              <w:rPr>
                <w:rFonts w:hint="eastAsia"/>
                <w:color w:val="auto"/>
                <w:u w:val="none" w:color="auto"/>
                <w:lang w:eastAsia="zh-CN"/>
              </w:rPr>
              <w:t>、喷码废气</w:t>
            </w:r>
            <w:r>
              <w:rPr>
                <w:rFonts w:hint="eastAsia"/>
                <w:color w:val="auto"/>
                <w:u w:val="none" w:color="auto"/>
                <w:lang w:val="en-US" w:eastAsia="zh-CN"/>
              </w:rPr>
              <w:t>等</w:t>
            </w:r>
            <w:r>
              <w:rPr>
                <w:rFonts w:hint="eastAsia"/>
                <w:color w:val="auto"/>
                <w:u w:val="none" w:color="auto"/>
              </w:rPr>
              <w:t>。</w:t>
            </w:r>
          </w:p>
          <w:p w14:paraId="29309F05">
            <w:pPr>
              <w:pStyle w:val="80"/>
              <w:ind w:firstLine="422"/>
              <w:rPr>
                <w:rFonts w:hint="eastAsia"/>
                <w:color w:val="auto"/>
                <w:sz w:val="21"/>
                <w:szCs w:val="21"/>
                <w:u w:val="none" w:color="auto"/>
              </w:rPr>
            </w:pPr>
            <w:r>
              <w:rPr>
                <w:rFonts w:hint="eastAsia"/>
                <w:color w:val="auto"/>
                <w:sz w:val="21"/>
                <w:szCs w:val="21"/>
                <w:u w:val="none" w:color="auto"/>
              </w:rPr>
              <w:t>表4-1废气污染物排放源汇总一览表</w:t>
            </w:r>
          </w:p>
          <w:tbl>
            <w:tblPr>
              <w:tblStyle w:val="28"/>
              <w:tblW w:w="50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3"/>
              <w:gridCol w:w="585"/>
              <w:gridCol w:w="483"/>
              <w:gridCol w:w="423"/>
              <w:gridCol w:w="409"/>
              <w:gridCol w:w="290"/>
              <w:gridCol w:w="416"/>
              <w:gridCol w:w="299"/>
              <w:gridCol w:w="312"/>
              <w:gridCol w:w="335"/>
              <w:gridCol w:w="419"/>
              <w:gridCol w:w="337"/>
              <w:gridCol w:w="359"/>
              <w:gridCol w:w="240"/>
              <w:gridCol w:w="327"/>
              <w:gridCol w:w="269"/>
              <w:gridCol w:w="240"/>
              <w:gridCol w:w="405"/>
              <w:gridCol w:w="419"/>
              <w:gridCol w:w="494"/>
              <w:gridCol w:w="515"/>
              <w:gridCol w:w="520"/>
            </w:tblGrid>
            <w:tr w14:paraId="5F1C5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5" w:type="pct"/>
                  <w:vMerge w:val="restart"/>
                  <w:noWrap/>
                  <w:vAlign w:val="center"/>
                </w:tcPr>
                <w:p w14:paraId="50B42C2E">
                  <w:pPr>
                    <w:pStyle w:val="68"/>
                    <w:rPr>
                      <w:color w:val="auto"/>
                      <w:sz w:val="16"/>
                      <w:szCs w:val="16"/>
                      <w:u w:val="none" w:color="auto"/>
                    </w:rPr>
                  </w:pPr>
                  <w:r>
                    <w:rPr>
                      <w:rFonts w:hint="eastAsia"/>
                      <w:color w:val="auto"/>
                      <w:sz w:val="16"/>
                      <w:szCs w:val="16"/>
                      <w:u w:val="none" w:color="auto"/>
                    </w:rPr>
                    <w:t>序号</w:t>
                  </w:r>
                </w:p>
              </w:tc>
              <w:tc>
                <w:tcPr>
                  <w:tcW w:w="350" w:type="pct"/>
                  <w:vMerge w:val="restart"/>
                  <w:noWrap/>
                  <w:vAlign w:val="center"/>
                </w:tcPr>
                <w:p w14:paraId="47D6CC5E">
                  <w:pPr>
                    <w:pStyle w:val="68"/>
                    <w:rPr>
                      <w:rFonts w:hint="eastAsia" w:eastAsia="宋体"/>
                      <w:color w:val="auto"/>
                      <w:sz w:val="16"/>
                      <w:szCs w:val="16"/>
                      <w:u w:val="none" w:color="auto"/>
                    </w:rPr>
                  </w:pPr>
                  <w:r>
                    <w:rPr>
                      <w:rFonts w:hint="eastAsia" w:eastAsia="宋体"/>
                      <w:color w:val="auto"/>
                      <w:sz w:val="16"/>
                      <w:szCs w:val="16"/>
                      <w:u w:val="none" w:color="auto"/>
                    </w:rPr>
                    <w:t>产排污环节</w:t>
                  </w:r>
                </w:p>
              </w:tc>
              <w:tc>
                <w:tcPr>
                  <w:tcW w:w="289" w:type="pct"/>
                  <w:vMerge w:val="restart"/>
                  <w:noWrap/>
                  <w:vAlign w:val="center"/>
                </w:tcPr>
                <w:p w14:paraId="652F8C59">
                  <w:pPr>
                    <w:pStyle w:val="68"/>
                    <w:rPr>
                      <w:color w:val="auto"/>
                      <w:sz w:val="16"/>
                      <w:szCs w:val="16"/>
                      <w:u w:val="none" w:color="auto"/>
                    </w:rPr>
                  </w:pPr>
                  <w:r>
                    <w:rPr>
                      <w:rFonts w:hint="eastAsia"/>
                      <w:color w:val="auto"/>
                      <w:sz w:val="16"/>
                      <w:szCs w:val="16"/>
                      <w:u w:val="none" w:color="auto"/>
                    </w:rPr>
                    <w:t>污染物种类</w:t>
                  </w:r>
                </w:p>
              </w:tc>
              <w:tc>
                <w:tcPr>
                  <w:tcW w:w="498" w:type="pct"/>
                  <w:gridSpan w:val="2"/>
                  <w:noWrap/>
                  <w:vAlign w:val="center"/>
                </w:tcPr>
                <w:p w14:paraId="7A0C0BF7">
                  <w:pPr>
                    <w:pStyle w:val="68"/>
                    <w:rPr>
                      <w:color w:val="auto"/>
                      <w:sz w:val="16"/>
                      <w:szCs w:val="16"/>
                      <w:u w:val="none" w:color="auto"/>
                    </w:rPr>
                  </w:pPr>
                  <w:r>
                    <w:rPr>
                      <w:rFonts w:hint="eastAsia"/>
                      <w:color w:val="auto"/>
                      <w:sz w:val="16"/>
                      <w:szCs w:val="16"/>
                      <w:u w:val="none" w:color="auto"/>
                    </w:rPr>
                    <w:t>污染物产生情况</w:t>
                  </w:r>
                </w:p>
              </w:tc>
              <w:tc>
                <w:tcPr>
                  <w:tcW w:w="173" w:type="pct"/>
                  <w:vMerge w:val="restart"/>
                  <w:noWrap/>
                  <w:vAlign w:val="center"/>
                </w:tcPr>
                <w:p w14:paraId="1F93D6C2">
                  <w:pPr>
                    <w:pStyle w:val="68"/>
                    <w:rPr>
                      <w:color w:val="auto"/>
                      <w:sz w:val="16"/>
                      <w:szCs w:val="16"/>
                      <w:u w:val="none" w:color="auto"/>
                    </w:rPr>
                  </w:pPr>
                  <w:r>
                    <w:rPr>
                      <w:rFonts w:hint="eastAsia"/>
                      <w:color w:val="auto"/>
                      <w:sz w:val="16"/>
                      <w:szCs w:val="16"/>
                      <w:u w:val="none" w:color="auto"/>
                    </w:rPr>
                    <w:t>排放形式</w:t>
                  </w:r>
                </w:p>
              </w:tc>
              <w:tc>
                <w:tcPr>
                  <w:tcW w:w="1067" w:type="pct"/>
                  <w:gridSpan w:val="5"/>
                  <w:noWrap/>
                  <w:vAlign w:val="center"/>
                </w:tcPr>
                <w:p w14:paraId="0BEA0A72">
                  <w:pPr>
                    <w:pStyle w:val="68"/>
                    <w:rPr>
                      <w:color w:val="auto"/>
                      <w:sz w:val="16"/>
                      <w:szCs w:val="16"/>
                      <w:u w:val="none" w:color="auto"/>
                    </w:rPr>
                  </w:pPr>
                  <w:r>
                    <w:rPr>
                      <w:rFonts w:hint="eastAsia"/>
                      <w:color w:val="auto"/>
                      <w:sz w:val="16"/>
                      <w:szCs w:val="16"/>
                      <w:u w:val="none" w:color="auto"/>
                    </w:rPr>
                    <w:t>治理设施情况</w:t>
                  </w:r>
                </w:p>
              </w:tc>
              <w:tc>
                <w:tcPr>
                  <w:tcW w:w="561" w:type="pct"/>
                  <w:gridSpan w:val="3"/>
                  <w:noWrap/>
                  <w:vAlign w:val="center"/>
                </w:tcPr>
                <w:p w14:paraId="5F0E9A4C">
                  <w:pPr>
                    <w:pStyle w:val="68"/>
                    <w:rPr>
                      <w:color w:val="auto"/>
                      <w:sz w:val="16"/>
                      <w:szCs w:val="16"/>
                      <w:u w:val="none" w:color="auto"/>
                    </w:rPr>
                  </w:pPr>
                  <w:r>
                    <w:rPr>
                      <w:rFonts w:hint="eastAsia"/>
                      <w:color w:val="auto"/>
                      <w:sz w:val="16"/>
                      <w:szCs w:val="16"/>
                      <w:u w:val="none" w:color="auto"/>
                    </w:rPr>
                    <w:t>污染物排放情况</w:t>
                  </w:r>
                </w:p>
              </w:tc>
              <w:tc>
                <w:tcPr>
                  <w:tcW w:w="1600" w:type="pct"/>
                  <w:gridSpan w:val="7"/>
                  <w:noWrap/>
                  <w:vAlign w:val="center"/>
                </w:tcPr>
                <w:p w14:paraId="4A44B659">
                  <w:pPr>
                    <w:pStyle w:val="68"/>
                    <w:rPr>
                      <w:color w:val="auto"/>
                      <w:sz w:val="16"/>
                      <w:szCs w:val="16"/>
                      <w:u w:val="none" w:color="auto"/>
                    </w:rPr>
                  </w:pPr>
                  <w:r>
                    <w:rPr>
                      <w:rFonts w:hint="eastAsia"/>
                      <w:color w:val="auto"/>
                      <w:sz w:val="16"/>
                      <w:szCs w:val="16"/>
                      <w:u w:val="none" w:color="auto"/>
                    </w:rPr>
                    <w:t>排放口基本情况</w:t>
                  </w:r>
                </w:p>
              </w:tc>
              <w:tc>
                <w:tcPr>
                  <w:tcW w:w="311" w:type="pct"/>
                  <w:noWrap/>
                  <w:vAlign w:val="center"/>
                </w:tcPr>
                <w:p w14:paraId="0937E9D5">
                  <w:pPr>
                    <w:pStyle w:val="68"/>
                    <w:rPr>
                      <w:color w:val="auto"/>
                      <w:sz w:val="16"/>
                      <w:szCs w:val="16"/>
                      <w:u w:val="none" w:color="auto"/>
                    </w:rPr>
                  </w:pPr>
                  <w:r>
                    <w:rPr>
                      <w:rFonts w:hint="eastAsia"/>
                      <w:color w:val="auto"/>
                      <w:sz w:val="16"/>
                      <w:szCs w:val="16"/>
                      <w:u w:val="none" w:color="auto"/>
                    </w:rPr>
                    <w:t>排放标准</w:t>
                  </w:r>
                </w:p>
              </w:tc>
            </w:tr>
            <w:tr w14:paraId="56405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 w:hRule="atLeast"/>
                <w:jc w:val="center"/>
              </w:trPr>
              <w:tc>
                <w:tcPr>
                  <w:tcW w:w="145" w:type="pct"/>
                  <w:vMerge w:val="continue"/>
                  <w:noWrap/>
                  <w:vAlign w:val="center"/>
                </w:tcPr>
                <w:p w14:paraId="097937AE">
                  <w:pPr>
                    <w:pStyle w:val="68"/>
                    <w:rPr>
                      <w:color w:val="auto"/>
                      <w:sz w:val="16"/>
                      <w:szCs w:val="16"/>
                      <w:u w:val="none" w:color="auto"/>
                    </w:rPr>
                  </w:pPr>
                </w:p>
              </w:tc>
              <w:tc>
                <w:tcPr>
                  <w:tcW w:w="350" w:type="pct"/>
                  <w:vMerge w:val="continue"/>
                  <w:noWrap/>
                  <w:vAlign w:val="center"/>
                </w:tcPr>
                <w:p w14:paraId="1A832C17">
                  <w:pPr>
                    <w:pStyle w:val="68"/>
                    <w:rPr>
                      <w:rFonts w:hint="eastAsia" w:eastAsia="宋体"/>
                      <w:color w:val="auto"/>
                      <w:sz w:val="16"/>
                      <w:szCs w:val="16"/>
                      <w:u w:val="none" w:color="auto"/>
                    </w:rPr>
                  </w:pPr>
                </w:p>
              </w:tc>
              <w:tc>
                <w:tcPr>
                  <w:tcW w:w="289" w:type="pct"/>
                  <w:vMerge w:val="continue"/>
                  <w:noWrap/>
                  <w:vAlign w:val="center"/>
                </w:tcPr>
                <w:p w14:paraId="614C29BE">
                  <w:pPr>
                    <w:pStyle w:val="68"/>
                    <w:rPr>
                      <w:color w:val="auto"/>
                      <w:sz w:val="16"/>
                      <w:szCs w:val="16"/>
                      <w:u w:val="none" w:color="auto"/>
                    </w:rPr>
                  </w:pPr>
                </w:p>
              </w:tc>
              <w:tc>
                <w:tcPr>
                  <w:tcW w:w="253" w:type="pct"/>
                  <w:vMerge w:val="restart"/>
                  <w:noWrap/>
                  <w:vAlign w:val="center"/>
                </w:tcPr>
                <w:p w14:paraId="545443B3">
                  <w:pPr>
                    <w:pStyle w:val="68"/>
                    <w:rPr>
                      <w:color w:val="auto"/>
                      <w:sz w:val="16"/>
                      <w:szCs w:val="16"/>
                      <w:u w:val="none" w:color="auto"/>
                    </w:rPr>
                  </w:pPr>
                  <w:r>
                    <w:rPr>
                      <w:rFonts w:hint="eastAsia"/>
                      <w:color w:val="auto"/>
                      <w:sz w:val="16"/>
                      <w:szCs w:val="16"/>
                      <w:u w:val="none" w:color="auto"/>
                    </w:rPr>
                    <w:t>产生量t/a</w:t>
                  </w:r>
                </w:p>
              </w:tc>
              <w:tc>
                <w:tcPr>
                  <w:tcW w:w="245" w:type="pct"/>
                  <w:vMerge w:val="restart"/>
                  <w:noWrap/>
                  <w:vAlign w:val="center"/>
                </w:tcPr>
                <w:p w14:paraId="152DCBA7">
                  <w:pPr>
                    <w:pStyle w:val="68"/>
                    <w:rPr>
                      <w:color w:val="auto"/>
                      <w:sz w:val="16"/>
                      <w:szCs w:val="16"/>
                      <w:u w:val="none" w:color="auto"/>
                    </w:rPr>
                  </w:pPr>
                  <w:r>
                    <w:rPr>
                      <w:rFonts w:hint="eastAsia"/>
                      <w:color w:val="auto"/>
                      <w:sz w:val="16"/>
                      <w:szCs w:val="16"/>
                      <w:u w:val="none" w:color="auto"/>
                    </w:rPr>
                    <w:t>产生浓度mg/m</w:t>
                  </w:r>
                  <w:r>
                    <w:rPr>
                      <w:rFonts w:hint="eastAsia"/>
                      <w:color w:val="auto"/>
                      <w:sz w:val="16"/>
                      <w:szCs w:val="16"/>
                      <w:u w:val="none" w:color="auto"/>
                      <w:vertAlign w:val="superscript"/>
                    </w:rPr>
                    <w:t>3</w:t>
                  </w:r>
                </w:p>
              </w:tc>
              <w:tc>
                <w:tcPr>
                  <w:tcW w:w="173" w:type="pct"/>
                  <w:vMerge w:val="continue"/>
                  <w:noWrap w:val="0"/>
                  <w:vAlign w:val="center"/>
                </w:tcPr>
                <w:p w14:paraId="53213460">
                  <w:pPr>
                    <w:pStyle w:val="68"/>
                    <w:rPr>
                      <w:color w:val="auto"/>
                      <w:sz w:val="16"/>
                      <w:szCs w:val="16"/>
                      <w:u w:val="none" w:color="auto"/>
                    </w:rPr>
                  </w:pPr>
                </w:p>
              </w:tc>
              <w:tc>
                <w:tcPr>
                  <w:tcW w:w="249" w:type="pct"/>
                  <w:vMerge w:val="restart"/>
                  <w:noWrap/>
                  <w:vAlign w:val="center"/>
                </w:tcPr>
                <w:p w14:paraId="35D75A00">
                  <w:pPr>
                    <w:pStyle w:val="68"/>
                    <w:rPr>
                      <w:color w:val="auto"/>
                      <w:sz w:val="16"/>
                      <w:szCs w:val="16"/>
                      <w:u w:val="none" w:color="auto"/>
                    </w:rPr>
                  </w:pPr>
                  <w:r>
                    <w:rPr>
                      <w:rFonts w:hint="eastAsia"/>
                      <w:color w:val="auto"/>
                      <w:sz w:val="16"/>
                      <w:szCs w:val="16"/>
                      <w:u w:val="none" w:color="auto"/>
                    </w:rPr>
                    <w:t>治理设施</w:t>
                  </w:r>
                </w:p>
              </w:tc>
              <w:tc>
                <w:tcPr>
                  <w:tcW w:w="179" w:type="pct"/>
                  <w:vMerge w:val="restart"/>
                  <w:noWrap/>
                  <w:vAlign w:val="center"/>
                </w:tcPr>
                <w:p w14:paraId="7781DD91">
                  <w:pPr>
                    <w:pStyle w:val="68"/>
                    <w:rPr>
                      <w:color w:val="auto"/>
                      <w:sz w:val="16"/>
                      <w:szCs w:val="16"/>
                      <w:u w:val="none" w:color="auto"/>
                    </w:rPr>
                  </w:pPr>
                  <w:r>
                    <w:rPr>
                      <w:rFonts w:hint="eastAsia"/>
                      <w:color w:val="auto"/>
                      <w:sz w:val="16"/>
                      <w:szCs w:val="16"/>
                      <w:u w:val="none" w:color="auto"/>
                    </w:rPr>
                    <w:t>处理能力</w:t>
                  </w:r>
                  <w:r>
                    <w:rPr>
                      <w:color w:val="auto"/>
                      <w:sz w:val="16"/>
                      <w:szCs w:val="16"/>
                      <w:u w:val="none" w:color="auto"/>
                    </w:rPr>
                    <w:t>m</w:t>
                  </w:r>
                  <w:r>
                    <w:rPr>
                      <w:color w:val="auto"/>
                      <w:sz w:val="16"/>
                      <w:szCs w:val="16"/>
                      <w:u w:val="none" w:color="auto"/>
                      <w:vertAlign w:val="superscript"/>
                    </w:rPr>
                    <w:t>3</w:t>
                  </w:r>
                  <w:r>
                    <w:rPr>
                      <w:color w:val="auto"/>
                      <w:sz w:val="16"/>
                      <w:szCs w:val="16"/>
                      <w:u w:val="none" w:color="auto"/>
                    </w:rPr>
                    <w:t>/h</w:t>
                  </w:r>
                </w:p>
              </w:tc>
              <w:tc>
                <w:tcPr>
                  <w:tcW w:w="187" w:type="pct"/>
                  <w:vMerge w:val="restart"/>
                  <w:noWrap/>
                  <w:vAlign w:val="center"/>
                </w:tcPr>
                <w:p w14:paraId="148A1328">
                  <w:pPr>
                    <w:pStyle w:val="68"/>
                    <w:rPr>
                      <w:color w:val="auto"/>
                      <w:sz w:val="16"/>
                      <w:szCs w:val="16"/>
                      <w:u w:val="none" w:color="auto"/>
                    </w:rPr>
                  </w:pPr>
                  <w:r>
                    <w:rPr>
                      <w:rFonts w:hint="eastAsia"/>
                      <w:color w:val="auto"/>
                      <w:sz w:val="16"/>
                      <w:szCs w:val="16"/>
                      <w:u w:val="none" w:color="auto"/>
                    </w:rPr>
                    <w:t>收集效率</w:t>
                  </w:r>
                </w:p>
              </w:tc>
              <w:tc>
                <w:tcPr>
                  <w:tcW w:w="200" w:type="pct"/>
                  <w:vMerge w:val="restart"/>
                  <w:noWrap/>
                  <w:vAlign w:val="center"/>
                </w:tcPr>
                <w:p w14:paraId="14D418D3">
                  <w:pPr>
                    <w:pStyle w:val="68"/>
                    <w:rPr>
                      <w:color w:val="auto"/>
                      <w:sz w:val="16"/>
                      <w:szCs w:val="16"/>
                      <w:u w:val="none" w:color="auto"/>
                    </w:rPr>
                  </w:pPr>
                  <w:r>
                    <w:rPr>
                      <w:rFonts w:hint="eastAsia"/>
                      <w:color w:val="auto"/>
                      <w:sz w:val="16"/>
                      <w:szCs w:val="16"/>
                      <w:u w:val="none" w:color="auto"/>
                    </w:rPr>
                    <w:t>治理工艺去除率</w:t>
                  </w:r>
                </w:p>
              </w:tc>
              <w:tc>
                <w:tcPr>
                  <w:tcW w:w="251" w:type="pct"/>
                  <w:vMerge w:val="restart"/>
                  <w:noWrap/>
                  <w:vAlign w:val="center"/>
                </w:tcPr>
                <w:p w14:paraId="7422159A">
                  <w:pPr>
                    <w:pStyle w:val="68"/>
                    <w:rPr>
                      <w:color w:val="auto"/>
                      <w:sz w:val="16"/>
                      <w:szCs w:val="16"/>
                      <w:u w:val="none" w:color="auto"/>
                    </w:rPr>
                  </w:pPr>
                  <w:r>
                    <w:rPr>
                      <w:rFonts w:hint="eastAsia"/>
                      <w:color w:val="auto"/>
                      <w:sz w:val="16"/>
                      <w:szCs w:val="16"/>
                      <w:u w:val="none" w:color="auto"/>
                    </w:rPr>
                    <w:t>是否为可行技术</w:t>
                  </w:r>
                </w:p>
              </w:tc>
              <w:tc>
                <w:tcPr>
                  <w:tcW w:w="202" w:type="pct"/>
                  <w:vMerge w:val="restart"/>
                  <w:noWrap/>
                  <w:vAlign w:val="center"/>
                </w:tcPr>
                <w:p w14:paraId="3243EA89">
                  <w:pPr>
                    <w:pStyle w:val="68"/>
                    <w:rPr>
                      <w:color w:val="auto"/>
                      <w:sz w:val="16"/>
                      <w:szCs w:val="16"/>
                      <w:u w:val="none" w:color="auto"/>
                    </w:rPr>
                  </w:pPr>
                  <w:r>
                    <w:rPr>
                      <w:rFonts w:hint="eastAsia"/>
                      <w:color w:val="auto"/>
                      <w:sz w:val="16"/>
                      <w:szCs w:val="16"/>
                      <w:u w:val="none" w:color="auto"/>
                    </w:rPr>
                    <w:t>排放量t/a</w:t>
                  </w:r>
                </w:p>
              </w:tc>
              <w:tc>
                <w:tcPr>
                  <w:tcW w:w="215" w:type="pct"/>
                  <w:vMerge w:val="restart"/>
                  <w:noWrap/>
                  <w:vAlign w:val="center"/>
                </w:tcPr>
                <w:p w14:paraId="6154DC4E">
                  <w:pPr>
                    <w:pStyle w:val="68"/>
                    <w:rPr>
                      <w:color w:val="auto"/>
                      <w:sz w:val="16"/>
                      <w:szCs w:val="16"/>
                      <w:u w:val="none" w:color="auto"/>
                    </w:rPr>
                  </w:pPr>
                  <w:r>
                    <w:rPr>
                      <w:rFonts w:hint="eastAsia"/>
                      <w:color w:val="auto"/>
                      <w:sz w:val="16"/>
                      <w:szCs w:val="16"/>
                      <w:u w:val="none" w:color="auto"/>
                    </w:rPr>
                    <w:t>排放速率kg/h</w:t>
                  </w:r>
                </w:p>
              </w:tc>
              <w:tc>
                <w:tcPr>
                  <w:tcW w:w="143" w:type="pct"/>
                  <w:vMerge w:val="restart"/>
                  <w:noWrap/>
                  <w:vAlign w:val="center"/>
                </w:tcPr>
                <w:p w14:paraId="22123DCF">
                  <w:pPr>
                    <w:pStyle w:val="68"/>
                    <w:rPr>
                      <w:color w:val="auto"/>
                      <w:sz w:val="16"/>
                      <w:szCs w:val="16"/>
                      <w:u w:val="none" w:color="auto"/>
                    </w:rPr>
                  </w:pPr>
                  <w:r>
                    <w:rPr>
                      <w:rFonts w:hint="eastAsia"/>
                      <w:color w:val="auto"/>
                      <w:sz w:val="16"/>
                      <w:szCs w:val="16"/>
                      <w:u w:val="none" w:color="auto"/>
                    </w:rPr>
                    <w:t>排放浓度mg/m</w:t>
                  </w:r>
                  <w:r>
                    <w:rPr>
                      <w:rFonts w:hint="eastAsia"/>
                      <w:color w:val="auto"/>
                      <w:sz w:val="16"/>
                      <w:szCs w:val="16"/>
                      <w:u w:val="none" w:color="auto"/>
                      <w:vertAlign w:val="superscript"/>
                    </w:rPr>
                    <w:t>3</w:t>
                  </w:r>
                </w:p>
              </w:tc>
              <w:tc>
                <w:tcPr>
                  <w:tcW w:w="196" w:type="pct"/>
                  <w:vMerge w:val="restart"/>
                  <w:noWrap/>
                  <w:vAlign w:val="center"/>
                </w:tcPr>
                <w:p w14:paraId="1DB8136F">
                  <w:pPr>
                    <w:pStyle w:val="68"/>
                    <w:rPr>
                      <w:color w:val="auto"/>
                      <w:sz w:val="16"/>
                      <w:szCs w:val="16"/>
                      <w:u w:val="none" w:color="auto"/>
                    </w:rPr>
                  </w:pPr>
                  <w:r>
                    <w:rPr>
                      <w:rFonts w:hint="eastAsia"/>
                      <w:color w:val="auto"/>
                      <w:sz w:val="16"/>
                      <w:szCs w:val="16"/>
                      <w:u w:val="none" w:color="auto"/>
                    </w:rPr>
                    <w:t>高度m</w:t>
                  </w:r>
                </w:p>
              </w:tc>
              <w:tc>
                <w:tcPr>
                  <w:tcW w:w="161" w:type="pct"/>
                  <w:vMerge w:val="restart"/>
                  <w:noWrap/>
                  <w:vAlign w:val="center"/>
                </w:tcPr>
                <w:p w14:paraId="3997F537">
                  <w:pPr>
                    <w:pStyle w:val="68"/>
                    <w:rPr>
                      <w:color w:val="auto"/>
                      <w:sz w:val="16"/>
                      <w:szCs w:val="16"/>
                      <w:u w:val="none" w:color="auto"/>
                    </w:rPr>
                  </w:pPr>
                  <w:r>
                    <w:rPr>
                      <w:rFonts w:hint="eastAsia"/>
                      <w:color w:val="auto"/>
                      <w:sz w:val="16"/>
                      <w:szCs w:val="16"/>
                      <w:u w:val="none" w:color="auto"/>
                    </w:rPr>
                    <w:t>内径m</w:t>
                  </w:r>
                </w:p>
              </w:tc>
              <w:tc>
                <w:tcPr>
                  <w:tcW w:w="143" w:type="pct"/>
                  <w:vMerge w:val="restart"/>
                  <w:noWrap/>
                  <w:vAlign w:val="center"/>
                </w:tcPr>
                <w:p w14:paraId="64D2C4B1">
                  <w:pPr>
                    <w:pStyle w:val="68"/>
                    <w:rPr>
                      <w:color w:val="auto"/>
                      <w:sz w:val="16"/>
                      <w:szCs w:val="16"/>
                      <w:u w:val="none" w:color="auto"/>
                    </w:rPr>
                  </w:pPr>
                  <w:r>
                    <w:rPr>
                      <w:rFonts w:hint="eastAsia"/>
                      <w:color w:val="auto"/>
                      <w:sz w:val="16"/>
                      <w:szCs w:val="16"/>
                      <w:u w:val="none" w:color="auto"/>
                    </w:rPr>
                    <w:t>温度</w:t>
                  </w:r>
                </w:p>
              </w:tc>
              <w:tc>
                <w:tcPr>
                  <w:tcW w:w="242" w:type="pct"/>
                  <w:vMerge w:val="restart"/>
                  <w:noWrap/>
                  <w:vAlign w:val="center"/>
                </w:tcPr>
                <w:p w14:paraId="6A65F975">
                  <w:pPr>
                    <w:pStyle w:val="68"/>
                    <w:rPr>
                      <w:color w:val="auto"/>
                      <w:sz w:val="16"/>
                      <w:szCs w:val="16"/>
                      <w:u w:val="none" w:color="auto"/>
                    </w:rPr>
                  </w:pPr>
                  <w:r>
                    <w:rPr>
                      <w:rFonts w:hint="eastAsia"/>
                      <w:color w:val="auto"/>
                      <w:sz w:val="16"/>
                      <w:szCs w:val="16"/>
                      <w:u w:val="none" w:color="auto"/>
                    </w:rPr>
                    <w:t>排放口编号</w:t>
                  </w:r>
                </w:p>
              </w:tc>
              <w:tc>
                <w:tcPr>
                  <w:tcW w:w="251" w:type="pct"/>
                  <w:vMerge w:val="restart"/>
                  <w:noWrap/>
                  <w:vAlign w:val="center"/>
                </w:tcPr>
                <w:p w14:paraId="17C29FC9">
                  <w:pPr>
                    <w:pStyle w:val="68"/>
                    <w:rPr>
                      <w:color w:val="auto"/>
                      <w:sz w:val="16"/>
                      <w:szCs w:val="16"/>
                      <w:u w:val="none" w:color="auto"/>
                    </w:rPr>
                  </w:pPr>
                  <w:r>
                    <w:rPr>
                      <w:rFonts w:hint="eastAsia"/>
                      <w:color w:val="auto"/>
                      <w:sz w:val="16"/>
                      <w:szCs w:val="16"/>
                      <w:u w:val="none" w:color="auto"/>
                    </w:rPr>
                    <w:t>类型</w:t>
                  </w:r>
                </w:p>
              </w:tc>
              <w:tc>
                <w:tcPr>
                  <w:tcW w:w="604" w:type="pct"/>
                  <w:gridSpan w:val="2"/>
                  <w:noWrap/>
                  <w:vAlign w:val="center"/>
                </w:tcPr>
                <w:p w14:paraId="7D31FC01">
                  <w:pPr>
                    <w:pStyle w:val="68"/>
                    <w:rPr>
                      <w:color w:val="auto"/>
                      <w:sz w:val="16"/>
                      <w:szCs w:val="16"/>
                      <w:u w:val="none" w:color="auto"/>
                    </w:rPr>
                  </w:pPr>
                  <w:r>
                    <w:rPr>
                      <w:rFonts w:hint="eastAsia"/>
                      <w:color w:val="auto"/>
                      <w:sz w:val="16"/>
                      <w:szCs w:val="16"/>
                      <w:u w:val="none" w:color="auto"/>
                    </w:rPr>
                    <w:t>坐标</w:t>
                  </w:r>
                </w:p>
              </w:tc>
              <w:tc>
                <w:tcPr>
                  <w:tcW w:w="311" w:type="pct"/>
                  <w:vMerge w:val="restart"/>
                  <w:noWrap/>
                  <w:vAlign w:val="center"/>
                </w:tcPr>
                <w:p w14:paraId="4FA3DEBE">
                  <w:pPr>
                    <w:pStyle w:val="68"/>
                    <w:rPr>
                      <w:color w:val="auto"/>
                      <w:sz w:val="16"/>
                      <w:szCs w:val="16"/>
                      <w:u w:val="none" w:color="auto"/>
                    </w:rPr>
                  </w:pPr>
                  <w:r>
                    <w:rPr>
                      <w:rFonts w:hint="eastAsia"/>
                      <w:color w:val="auto"/>
                      <w:sz w:val="16"/>
                      <w:szCs w:val="16"/>
                      <w:u w:val="none" w:color="auto"/>
                    </w:rPr>
                    <w:t>排放浓度mg/m</w:t>
                  </w:r>
                  <w:r>
                    <w:rPr>
                      <w:rFonts w:hint="eastAsia"/>
                      <w:color w:val="auto"/>
                      <w:sz w:val="16"/>
                      <w:szCs w:val="16"/>
                      <w:u w:val="none" w:color="auto"/>
                      <w:vertAlign w:val="superscript"/>
                    </w:rPr>
                    <w:t>3</w:t>
                  </w:r>
                </w:p>
              </w:tc>
            </w:tr>
            <w:tr w14:paraId="62E19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5" w:type="pct"/>
                  <w:vMerge w:val="continue"/>
                  <w:noWrap/>
                  <w:vAlign w:val="center"/>
                </w:tcPr>
                <w:p w14:paraId="7B589659">
                  <w:pPr>
                    <w:pStyle w:val="68"/>
                    <w:jc w:val="both"/>
                    <w:rPr>
                      <w:color w:val="auto"/>
                      <w:sz w:val="16"/>
                      <w:szCs w:val="16"/>
                      <w:u w:val="none" w:color="auto"/>
                    </w:rPr>
                  </w:pPr>
                </w:p>
              </w:tc>
              <w:tc>
                <w:tcPr>
                  <w:tcW w:w="350" w:type="pct"/>
                  <w:vMerge w:val="continue"/>
                  <w:noWrap/>
                  <w:vAlign w:val="center"/>
                </w:tcPr>
                <w:p w14:paraId="6A1A822B">
                  <w:pPr>
                    <w:pStyle w:val="68"/>
                    <w:rPr>
                      <w:rFonts w:hint="eastAsia" w:eastAsia="宋体"/>
                      <w:color w:val="auto"/>
                      <w:sz w:val="16"/>
                      <w:szCs w:val="16"/>
                      <w:u w:val="none" w:color="auto"/>
                    </w:rPr>
                  </w:pPr>
                </w:p>
              </w:tc>
              <w:tc>
                <w:tcPr>
                  <w:tcW w:w="289" w:type="pct"/>
                  <w:vMerge w:val="continue"/>
                  <w:noWrap/>
                  <w:vAlign w:val="center"/>
                </w:tcPr>
                <w:p w14:paraId="50F31975">
                  <w:pPr>
                    <w:pStyle w:val="68"/>
                    <w:jc w:val="both"/>
                    <w:rPr>
                      <w:color w:val="auto"/>
                      <w:sz w:val="16"/>
                      <w:szCs w:val="16"/>
                      <w:u w:val="none" w:color="auto"/>
                    </w:rPr>
                  </w:pPr>
                </w:p>
              </w:tc>
              <w:tc>
                <w:tcPr>
                  <w:tcW w:w="253" w:type="pct"/>
                  <w:vMerge w:val="continue"/>
                  <w:noWrap/>
                  <w:vAlign w:val="center"/>
                </w:tcPr>
                <w:p w14:paraId="49D0040E">
                  <w:pPr>
                    <w:pStyle w:val="68"/>
                    <w:jc w:val="both"/>
                    <w:rPr>
                      <w:color w:val="auto"/>
                      <w:sz w:val="16"/>
                      <w:szCs w:val="16"/>
                      <w:u w:val="none" w:color="auto"/>
                    </w:rPr>
                  </w:pPr>
                </w:p>
              </w:tc>
              <w:tc>
                <w:tcPr>
                  <w:tcW w:w="245" w:type="pct"/>
                  <w:vMerge w:val="continue"/>
                  <w:noWrap w:val="0"/>
                  <w:vAlign w:val="center"/>
                </w:tcPr>
                <w:p w14:paraId="43F5DBBA">
                  <w:pPr>
                    <w:pStyle w:val="68"/>
                    <w:jc w:val="both"/>
                    <w:rPr>
                      <w:color w:val="auto"/>
                      <w:sz w:val="16"/>
                      <w:szCs w:val="16"/>
                      <w:u w:val="none" w:color="auto"/>
                    </w:rPr>
                  </w:pPr>
                </w:p>
              </w:tc>
              <w:tc>
                <w:tcPr>
                  <w:tcW w:w="173" w:type="pct"/>
                  <w:vMerge w:val="continue"/>
                  <w:noWrap w:val="0"/>
                  <w:vAlign w:val="center"/>
                </w:tcPr>
                <w:p w14:paraId="18CC5A21">
                  <w:pPr>
                    <w:pStyle w:val="68"/>
                    <w:jc w:val="both"/>
                    <w:rPr>
                      <w:color w:val="auto"/>
                      <w:sz w:val="16"/>
                      <w:szCs w:val="16"/>
                      <w:u w:val="none" w:color="auto"/>
                    </w:rPr>
                  </w:pPr>
                </w:p>
              </w:tc>
              <w:tc>
                <w:tcPr>
                  <w:tcW w:w="249" w:type="pct"/>
                  <w:vMerge w:val="continue"/>
                  <w:noWrap w:val="0"/>
                  <w:vAlign w:val="center"/>
                </w:tcPr>
                <w:p w14:paraId="6213BDE3">
                  <w:pPr>
                    <w:pStyle w:val="68"/>
                    <w:jc w:val="both"/>
                    <w:rPr>
                      <w:color w:val="auto"/>
                      <w:sz w:val="16"/>
                      <w:szCs w:val="16"/>
                      <w:u w:val="none" w:color="auto"/>
                    </w:rPr>
                  </w:pPr>
                </w:p>
              </w:tc>
              <w:tc>
                <w:tcPr>
                  <w:tcW w:w="179" w:type="pct"/>
                  <w:vMerge w:val="continue"/>
                  <w:noWrap w:val="0"/>
                  <w:vAlign w:val="center"/>
                </w:tcPr>
                <w:p w14:paraId="690738DD">
                  <w:pPr>
                    <w:pStyle w:val="68"/>
                    <w:jc w:val="both"/>
                    <w:rPr>
                      <w:color w:val="auto"/>
                      <w:sz w:val="16"/>
                      <w:szCs w:val="16"/>
                      <w:u w:val="none" w:color="auto"/>
                    </w:rPr>
                  </w:pPr>
                </w:p>
              </w:tc>
              <w:tc>
                <w:tcPr>
                  <w:tcW w:w="187" w:type="pct"/>
                  <w:vMerge w:val="continue"/>
                  <w:noWrap w:val="0"/>
                  <w:vAlign w:val="center"/>
                </w:tcPr>
                <w:p w14:paraId="58416356">
                  <w:pPr>
                    <w:pStyle w:val="68"/>
                    <w:jc w:val="both"/>
                    <w:rPr>
                      <w:color w:val="auto"/>
                      <w:sz w:val="16"/>
                      <w:szCs w:val="16"/>
                      <w:u w:val="none" w:color="auto"/>
                    </w:rPr>
                  </w:pPr>
                </w:p>
              </w:tc>
              <w:tc>
                <w:tcPr>
                  <w:tcW w:w="200" w:type="pct"/>
                  <w:vMerge w:val="continue"/>
                  <w:noWrap w:val="0"/>
                  <w:vAlign w:val="center"/>
                </w:tcPr>
                <w:p w14:paraId="1C0BDF2E">
                  <w:pPr>
                    <w:pStyle w:val="68"/>
                    <w:jc w:val="both"/>
                    <w:rPr>
                      <w:color w:val="auto"/>
                      <w:sz w:val="16"/>
                      <w:szCs w:val="16"/>
                      <w:u w:val="none" w:color="auto"/>
                    </w:rPr>
                  </w:pPr>
                </w:p>
              </w:tc>
              <w:tc>
                <w:tcPr>
                  <w:tcW w:w="251" w:type="pct"/>
                  <w:vMerge w:val="continue"/>
                  <w:noWrap w:val="0"/>
                  <w:vAlign w:val="center"/>
                </w:tcPr>
                <w:p w14:paraId="42D35D30">
                  <w:pPr>
                    <w:pStyle w:val="68"/>
                    <w:jc w:val="both"/>
                    <w:rPr>
                      <w:color w:val="auto"/>
                      <w:sz w:val="16"/>
                      <w:szCs w:val="16"/>
                      <w:u w:val="none" w:color="auto"/>
                    </w:rPr>
                  </w:pPr>
                </w:p>
              </w:tc>
              <w:tc>
                <w:tcPr>
                  <w:tcW w:w="202" w:type="pct"/>
                  <w:vMerge w:val="continue"/>
                  <w:noWrap w:val="0"/>
                  <w:vAlign w:val="center"/>
                </w:tcPr>
                <w:p w14:paraId="7A8C690D">
                  <w:pPr>
                    <w:pStyle w:val="68"/>
                    <w:jc w:val="both"/>
                    <w:rPr>
                      <w:color w:val="auto"/>
                      <w:sz w:val="16"/>
                      <w:szCs w:val="16"/>
                      <w:u w:val="none" w:color="auto"/>
                    </w:rPr>
                  </w:pPr>
                </w:p>
              </w:tc>
              <w:tc>
                <w:tcPr>
                  <w:tcW w:w="215" w:type="pct"/>
                  <w:vMerge w:val="continue"/>
                  <w:noWrap w:val="0"/>
                  <w:vAlign w:val="center"/>
                </w:tcPr>
                <w:p w14:paraId="69D38E91">
                  <w:pPr>
                    <w:pStyle w:val="68"/>
                    <w:jc w:val="both"/>
                    <w:rPr>
                      <w:color w:val="auto"/>
                      <w:sz w:val="16"/>
                      <w:szCs w:val="16"/>
                      <w:u w:val="none" w:color="auto"/>
                    </w:rPr>
                  </w:pPr>
                </w:p>
              </w:tc>
              <w:tc>
                <w:tcPr>
                  <w:tcW w:w="143" w:type="pct"/>
                  <w:vMerge w:val="continue"/>
                  <w:noWrap w:val="0"/>
                  <w:vAlign w:val="center"/>
                </w:tcPr>
                <w:p w14:paraId="61B72CDE">
                  <w:pPr>
                    <w:pStyle w:val="68"/>
                    <w:jc w:val="both"/>
                    <w:rPr>
                      <w:color w:val="auto"/>
                      <w:sz w:val="16"/>
                      <w:szCs w:val="16"/>
                      <w:u w:val="none" w:color="auto"/>
                    </w:rPr>
                  </w:pPr>
                </w:p>
              </w:tc>
              <w:tc>
                <w:tcPr>
                  <w:tcW w:w="196" w:type="pct"/>
                  <w:vMerge w:val="continue"/>
                  <w:noWrap w:val="0"/>
                  <w:vAlign w:val="center"/>
                </w:tcPr>
                <w:p w14:paraId="77A32685">
                  <w:pPr>
                    <w:pStyle w:val="68"/>
                    <w:jc w:val="both"/>
                    <w:rPr>
                      <w:color w:val="auto"/>
                      <w:sz w:val="16"/>
                      <w:szCs w:val="16"/>
                      <w:u w:val="none" w:color="auto"/>
                    </w:rPr>
                  </w:pPr>
                </w:p>
              </w:tc>
              <w:tc>
                <w:tcPr>
                  <w:tcW w:w="161" w:type="pct"/>
                  <w:vMerge w:val="continue"/>
                  <w:noWrap w:val="0"/>
                  <w:vAlign w:val="center"/>
                </w:tcPr>
                <w:p w14:paraId="1F2EF8F1">
                  <w:pPr>
                    <w:pStyle w:val="68"/>
                    <w:jc w:val="both"/>
                    <w:rPr>
                      <w:color w:val="auto"/>
                      <w:sz w:val="16"/>
                      <w:szCs w:val="16"/>
                      <w:u w:val="none" w:color="auto"/>
                    </w:rPr>
                  </w:pPr>
                </w:p>
              </w:tc>
              <w:tc>
                <w:tcPr>
                  <w:tcW w:w="143" w:type="pct"/>
                  <w:vMerge w:val="continue"/>
                  <w:noWrap w:val="0"/>
                  <w:vAlign w:val="center"/>
                </w:tcPr>
                <w:p w14:paraId="7D934298">
                  <w:pPr>
                    <w:pStyle w:val="68"/>
                    <w:jc w:val="both"/>
                    <w:rPr>
                      <w:color w:val="auto"/>
                      <w:sz w:val="16"/>
                      <w:szCs w:val="16"/>
                      <w:u w:val="none" w:color="auto"/>
                    </w:rPr>
                  </w:pPr>
                </w:p>
              </w:tc>
              <w:tc>
                <w:tcPr>
                  <w:tcW w:w="242" w:type="pct"/>
                  <w:vMerge w:val="continue"/>
                  <w:noWrap w:val="0"/>
                  <w:vAlign w:val="center"/>
                </w:tcPr>
                <w:p w14:paraId="342CD3DC">
                  <w:pPr>
                    <w:pStyle w:val="68"/>
                    <w:jc w:val="both"/>
                    <w:rPr>
                      <w:color w:val="auto"/>
                      <w:sz w:val="16"/>
                      <w:szCs w:val="16"/>
                      <w:u w:val="none" w:color="auto"/>
                    </w:rPr>
                  </w:pPr>
                </w:p>
              </w:tc>
              <w:tc>
                <w:tcPr>
                  <w:tcW w:w="251" w:type="pct"/>
                  <w:vMerge w:val="continue"/>
                  <w:noWrap w:val="0"/>
                  <w:vAlign w:val="center"/>
                </w:tcPr>
                <w:p w14:paraId="2914089E">
                  <w:pPr>
                    <w:pStyle w:val="68"/>
                    <w:jc w:val="both"/>
                    <w:rPr>
                      <w:color w:val="auto"/>
                      <w:sz w:val="16"/>
                      <w:szCs w:val="16"/>
                      <w:u w:val="none" w:color="auto"/>
                    </w:rPr>
                  </w:pPr>
                </w:p>
              </w:tc>
              <w:tc>
                <w:tcPr>
                  <w:tcW w:w="296" w:type="pct"/>
                  <w:noWrap/>
                  <w:vAlign w:val="center"/>
                </w:tcPr>
                <w:p w14:paraId="406B1530">
                  <w:pPr>
                    <w:pStyle w:val="68"/>
                    <w:rPr>
                      <w:color w:val="auto"/>
                      <w:sz w:val="16"/>
                      <w:szCs w:val="16"/>
                      <w:u w:val="none" w:color="auto"/>
                    </w:rPr>
                  </w:pPr>
                  <w:r>
                    <w:rPr>
                      <w:rFonts w:hint="eastAsia"/>
                      <w:color w:val="auto"/>
                      <w:sz w:val="16"/>
                      <w:szCs w:val="16"/>
                      <w:u w:val="none" w:color="auto"/>
                    </w:rPr>
                    <w:t>东经</w:t>
                  </w:r>
                </w:p>
              </w:tc>
              <w:tc>
                <w:tcPr>
                  <w:tcW w:w="308" w:type="pct"/>
                  <w:noWrap/>
                  <w:vAlign w:val="center"/>
                </w:tcPr>
                <w:p w14:paraId="582CEC5B">
                  <w:pPr>
                    <w:pStyle w:val="68"/>
                    <w:rPr>
                      <w:color w:val="auto"/>
                      <w:sz w:val="16"/>
                      <w:szCs w:val="16"/>
                      <w:u w:val="none" w:color="auto"/>
                    </w:rPr>
                  </w:pPr>
                  <w:r>
                    <w:rPr>
                      <w:rFonts w:hint="eastAsia"/>
                      <w:color w:val="auto"/>
                      <w:sz w:val="16"/>
                      <w:szCs w:val="16"/>
                      <w:u w:val="none" w:color="auto"/>
                    </w:rPr>
                    <w:t>北纬</w:t>
                  </w:r>
                </w:p>
              </w:tc>
              <w:tc>
                <w:tcPr>
                  <w:tcW w:w="311" w:type="pct"/>
                  <w:vMerge w:val="continue"/>
                  <w:noWrap w:val="0"/>
                  <w:vAlign w:val="center"/>
                </w:tcPr>
                <w:p w14:paraId="6DE02405">
                  <w:pPr>
                    <w:pStyle w:val="68"/>
                    <w:jc w:val="both"/>
                    <w:rPr>
                      <w:color w:val="auto"/>
                      <w:sz w:val="16"/>
                      <w:szCs w:val="16"/>
                      <w:u w:val="none" w:color="auto"/>
                    </w:rPr>
                  </w:pPr>
                </w:p>
              </w:tc>
            </w:tr>
            <w:tr w14:paraId="40F1C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5" w:type="pct"/>
                  <w:noWrap/>
                  <w:vAlign w:val="center"/>
                </w:tcPr>
                <w:p w14:paraId="5FC93BD9">
                  <w:pPr>
                    <w:pStyle w:val="68"/>
                    <w:rPr>
                      <w:color w:val="auto"/>
                      <w:sz w:val="16"/>
                      <w:szCs w:val="16"/>
                      <w:u w:val="none" w:color="auto"/>
                    </w:rPr>
                  </w:pPr>
                  <w:r>
                    <w:rPr>
                      <w:rFonts w:hint="eastAsia"/>
                      <w:color w:val="auto"/>
                      <w:sz w:val="16"/>
                      <w:szCs w:val="16"/>
                      <w:u w:val="none" w:color="auto"/>
                    </w:rPr>
                    <w:t>1</w:t>
                  </w:r>
                </w:p>
              </w:tc>
              <w:tc>
                <w:tcPr>
                  <w:tcW w:w="350" w:type="pct"/>
                  <w:noWrap/>
                  <w:vAlign w:val="center"/>
                </w:tcPr>
                <w:p w14:paraId="2EE8B680">
                  <w:pPr>
                    <w:pStyle w:val="68"/>
                    <w:rPr>
                      <w:rFonts w:hint="eastAsia" w:eastAsia="宋体"/>
                      <w:color w:val="auto"/>
                      <w:sz w:val="16"/>
                      <w:szCs w:val="16"/>
                      <w:u w:val="none" w:color="auto"/>
                    </w:rPr>
                  </w:pPr>
                  <w:r>
                    <w:rPr>
                      <w:rFonts w:hint="eastAsia"/>
                      <w:color w:val="auto"/>
                      <w:sz w:val="16"/>
                      <w:szCs w:val="16"/>
                      <w:u w:val="none" w:color="auto"/>
                      <w:lang w:val="en-US" w:eastAsia="zh-CN"/>
                    </w:rPr>
                    <w:t>配料粉尘</w:t>
                  </w:r>
                </w:p>
              </w:tc>
              <w:tc>
                <w:tcPr>
                  <w:tcW w:w="289" w:type="pct"/>
                  <w:noWrap/>
                  <w:vAlign w:val="center"/>
                </w:tcPr>
                <w:p w14:paraId="0BE1BC80">
                  <w:pPr>
                    <w:pStyle w:val="68"/>
                    <w:rPr>
                      <w:rFonts w:hint="eastAsia" w:ascii="Times New Roman" w:hAnsi="Times New Roman" w:eastAsia="宋体" w:cs="Times New Roman"/>
                      <w:color w:val="auto"/>
                      <w:sz w:val="16"/>
                      <w:szCs w:val="16"/>
                      <w:u w:val="none" w:color="auto"/>
                      <w:lang w:val="en-US" w:eastAsia="zh-CN"/>
                    </w:rPr>
                  </w:pPr>
                  <w:r>
                    <w:rPr>
                      <w:rFonts w:hint="eastAsia" w:ascii="Times New Roman" w:hAnsi="Times New Roman" w:eastAsia="宋体" w:cs="Times New Roman"/>
                      <w:color w:val="auto"/>
                      <w:sz w:val="16"/>
                      <w:szCs w:val="16"/>
                      <w:u w:val="none" w:color="auto"/>
                      <w:lang w:val="en-US" w:eastAsia="zh-CN"/>
                    </w:rPr>
                    <w:t>颗粒物</w:t>
                  </w:r>
                </w:p>
              </w:tc>
              <w:tc>
                <w:tcPr>
                  <w:tcW w:w="253" w:type="pct"/>
                  <w:noWrap w:val="0"/>
                  <w:vAlign w:val="center"/>
                </w:tcPr>
                <w:p w14:paraId="407280DA">
                  <w:pPr>
                    <w:pStyle w:val="68"/>
                    <w:rPr>
                      <w:rFonts w:hint="eastAsia" w:ascii="Times New Roman" w:hAnsi="Times New Roman" w:eastAsia="宋体" w:cs="Times New Roman"/>
                      <w:color w:val="auto"/>
                      <w:sz w:val="16"/>
                      <w:szCs w:val="16"/>
                      <w:u w:val="none" w:color="auto"/>
                      <w:lang w:val="en-US" w:eastAsia="zh-CN"/>
                    </w:rPr>
                  </w:pPr>
                  <w:r>
                    <w:rPr>
                      <w:rFonts w:hint="eastAsia" w:ascii="Times New Roman" w:hAnsi="Times New Roman" w:eastAsia="宋体" w:cs="Times New Roman"/>
                      <w:color w:val="auto"/>
                      <w:sz w:val="16"/>
                      <w:szCs w:val="16"/>
                      <w:u w:val="none" w:color="auto"/>
                      <w:lang w:val="en-US" w:eastAsia="zh-CN"/>
                    </w:rPr>
                    <w:t>0.1618</w:t>
                  </w:r>
                </w:p>
              </w:tc>
              <w:tc>
                <w:tcPr>
                  <w:tcW w:w="245" w:type="pct"/>
                  <w:noWrap w:val="0"/>
                  <w:vAlign w:val="center"/>
                </w:tcPr>
                <w:p w14:paraId="356D6612">
                  <w:pPr>
                    <w:pStyle w:val="68"/>
                    <w:rPr>
                      <w:rFonts w:hint="eastAsia" w:ascii="Times New Roman" w:hAnsi="Times New Roman" w:eastAsia="宋体" w:cs="Times New Roman"/>
                      <w:color w:val="auto"/>
                      <w:sz w:val="16"/>
                      <w:szCs w:val="16"/>
                      <w:u w:val="none" w:color="auto"/>
                      <w:lang w:val="en-US" w:eastAsia="zh-CN"/>
                    </w:rPr>
                  </w:pPr>
                  <w:r>
                    <w:rPr>
                      <w:rFonts w:hint="eastAsia" w:ascii="Times New Roman" w:hAnsi="Times New Roman" w:eastAsia="宋体" w:cs="Times New Roman"/>
                      <w:color w:val="auto"/>
                      <w:sz w:val="16"/>
                      <w:szCs w:val="16"/>
                      <w:u w:val="none" w:color="auto"/>
                      <w:lang w:val="en-US" w:eastAsia="zh-CN"/>
                    </w:rPr>
                    <w:t>/</w:t>
                  </w:r>
                </w:p>
              </w:tc>
              <w:tc>
                <w:tcPr>
                  <w:tcW w:w="173" w:type="pct"/>
                  <w:noWrap/>
                  <w:vAlign w:val="center"/>
                </w:tcPr>
                <w:p w14:paraId="38C13BC2">
                  <w:pPr>
                    <w:pStyle w:val="68"/>
                    <w:rPr>
                      <w:rFonts w:hint="eastAsia" w:ascii="Times New Roman" w:hAnsi="Times New Roman" w:eastAsia="宋体" w:cs="Times New Roman"/>
                      <w:color w:val="auto"/>
                      <w:sz w:val="16"/>
                      <w:szCs w:val="16"/>
                      <w:u w:val="none" w:color="auto"/>
                      <w:lang w:val="en-US" w:eastAsia="zh-CN"/>
                    </w:rPr>
                  </w:pPr>
                  <w:r>
                    <w:rPr>
                      <w:rFonts w:hint="eastAsia" w:ascii="Times New Roman" w:hAnsi="Times New Roman" w:eastAsia="宋体" w:cs="Times New Roman"/>
                      <w:color w:val="auto"/>
                      <w:sz w:val="16"/>
                      <w:szCs w:val="16"/>
                      <w:u w:val="none" w:color="auto"/>
                      <w:lang w:val="en-US" w:eastAsia="zh-CN"/>
                    </w:rPr>
                    <w:t>无组织</w:t>
                  </w:r>
                </w:p>
              </w:tc>
              <w:tc>
                <w:tcPr>
                  <w:tcW w:w="249" w:type="pct"/>
                  <w:noWrap/>
                  <w:vAlign w:val="center"/>
                </w:tcPr>
                <w:p w14:paraId="3E0A798C">
                  <w:pPr>
                    <w:pStyle w:val="68"/>
                    <w:rPr>
                      <w:rFonts w:hint="eastAsia" w:ascii="Times New Roman" w:hAnsi="Times New Roman" w:eastAsia="宋体" w:cs="Times New Roman"/>
                      <w:color w:val="auto"/>
                      <w:sz w:val="16"/>
                      <w:szCs w:val="16"/>
                      <w:u w:val="none" w:color="auto"/>
                      <w:lang w:val="en-US" w:eastAsia="zh-CN"/>
                    </w:rPr>
                  </w:pPr>
                  <w:r>
                    <w:rPr>
                      <w:rFonts w:hint="eastAsia" w:ascii="Times New Roman" w:hAnsi="Times New Roman" w:eastAsia="宋体" w:cs="Times New Roman"/>
                      <w:color w:val="auto"/>
                      <w:sz w:val="16"/>
                      <w:szCs w:val="16"/>
                      <w:u w:val="none" w:color="auto"/>
                      <w:lang w:val="en-US" w:eastAsia="zh-CN"/>
                    </w:rPr>
                    <w:t>真空负压吸料</w:t>
                  </w:r>
                </w:p>
              </w:tc>
              <w:tc>
                <w:tcPr>
                  <w:tcW w:w="179" w:type="pct"/>
                  <w:noWrap/>
                  <w:vAlign w:val="center"/>
                </w:tcPr>
                <w:p w14:paraId="6D390F61">
                  <w:pPr>
                    <w:pStyle w:val="68"/>
                    <w:rPr>
                      <w:rFonts w:hint="eastAsia" w:ascii="Times New Roman" w:hAnsi="Times New Roman" w:eastAsia="宋体" w:cs="Times New Roman"/>
                      <w:color w:val="auto"/>
                      <w:sz w:val="16"/>
                      <w:szCs w:val="16"/>
                      <w:u w:val="none" w:color="auto"/>
                      <w:lang w:val="en-US" w:eastAsia="zh-CN"/>
                    </w:rPr>
                  </w:pPr>
                  <w:r>
                    <w:rPr>
                      <w:rFonts w:hint="eastAsia" w:ascii="Times New Roman" w:hAnsi="Times New Roman" w:eastAsia="宋体" w:cs="Times New Roman"/>
                      <w:color w:val="auto"/>
                      <w:sz w:val="16"/>
                      <w:szCs w:val="16"/>
                      <w:u w:val="none" w:color="auto"/>
                      <w:lang w:val="en-US" w:eastAsia="zh-CN"/>
                    </w:rPr>
                    <w:t>/</w:t>
                  </w:r>
                </w:p>
              </w:tc>
              <w:tc>
                <w:tcPr>
                  <w:tcW w:w="187" w:type="pct"/>
                  <w:noWrap/>
                  <w:vAlign w:val="center"/>
                </w:tcPr>
                <w:p w14:paraId="57E04809">
                  <w:pPr>
                    <w:pStyle w:val="68"/>
                    <w:rPr>
                      <w:rFonts w:hint="eastAsia" w:ascii="Times New Roman" w:hAnsi="Times New Roman" w:eastAsia="宋体" w:cs="Times New Roman"/>
                      <w:color w:val="auto"/>
                      <w:sz w:val="16"/>
                      <w:szCs w:val="16"/>
                      <w:u w:val="none" w:color="auto"/>
                      <w:lang w:val="en-US" w:eastAsia="zh-CN"/>
                    </w:rPr>
                  </w:pPr>
                  <w:r>
                    <w:rPr>
                      <w:rFonts w:hint="eastAsia" w:ascii="Times New Roman" w:hAnsi="Times New Roman" w:eastAsia="宋体" w:cs="Times New Roman"/>
                      <w:color w:val="auto"/>
                      <w:sz w:val="16"/>
                      <w:szCs w:val="16"/>
                      <w:u w:val="none" w:color="auto"/>
                      <w:lang w:val="en-US" w:eastAsia="zh-CN"/>
                    </w:rPr>
                    <w:t>/</w:t>
                  </w:r>
                </w:p>
              </w:tc>
              <w:tc>
                <w:tcPr>
                  <w:tcW w:w="200" w:type="pct"/>
                  <w:noWrap/>
                  <w:vAlign w:val="center"/>
                </w:tcPr>
                <w:p w14:paraId="5E2FFA70">
                  <w:pPr>
                    <w:pStyle w:val="68"/>
                    <w:rPr>
                      <w:rFonts w:hint="eastAsia" w:ascii="Times New Roman" w:hAnsi="Times New Roman" w:eastAsia="宋体" w:cs="Times New Roman"/>
                      <w:color w:val="auto"/>
                      <w:sz w:val="16"/>
                      <w:szCs w:val="16"/>
                      <w:u w:val="none" w:color="auto"/>
                      <w:lang w:val="en-US" w:eastAsia="zh-CN"/>
                    </w:rPr>
                  </w:pPr>
                  <w:r>
                    <w:rPr>
                      <w:rFonts w:hint="eastAsia" w:ascii="Times New Roman" w:hAnsi="Times New Roman" w:eastAsia="宋体" w:cs="Times New Roman"/>
                      <w:color w:val="auto"/>
                      <w:sz w:val="16"/>
                      <w:szCs w:val="16"/>
                      <w:u w:val="none" w:color="auto"/>
                      <w:lang w:val="en-US" w:eastAsia="zh-CN"/>
                    </w:rPr>
                    <w:t>/</w:t>
                  </w:r>
                </w:p>
              </w:tc>
              <w:tc>
                <w:tcPr>
                  <w:tcW w:w="251" w:type="pct"/>
                  <w:noWrap/>
                  <w:vAlign w:val="center"/>
                </w:tcPr>
                <w:p w14:paraId="4EC176AC">
                  <w:pPr>
                    <w:pStyle w:val="68"/>
                    <w:rPr>
                      <w:rFonts w:hint="eastAsia" w:ascii="Times New Roman" w:hAnsi="Times New Roman" w:eastAsia="宋体" w:cs="Times New Roman"/>
                      <w:color w:val="auto"/>
                      <w:sz w:val="16"/>
                      <w:szCs w:val="16"/>
                      <w:u w:val="none" w:color="auto"/>
                      <w:lang w:val="en-US" w:eastAsia="zh-CN"/>
                    </w:rPr>
                  </w:pPr>
                  <w:r>
                    <w:rPr>
                      <w:rFonts w:hint="eastAsia" w:ascii="Times New Roman" w:hAnsi="Times New Roman" w:eastAsia="宋体" w:cs="Times New Roman"/>
                      <w:color w:val="auto"/>
                      <w:sz w:val="16"/>
                      <w:szCs w:val="16"/>
                      <w:u w:val="none" w:color="auto"/>
                      <w:lang w:val="en-US" w:eastAsia="zh-CN"/>
                    </w:rPr>
                    <w:t>/</w:t>
                  </w:r>
                </w:p>
              </w:tc>
              <w:tc>
                <w:tcPr>
                  <w:tcW w:w="202" w:type="pct"/>
                  <w:noWrap/>
                  <w:vAlign w:val="center"/>
                </w:tcPr>
                <w:p w14:paraId="66561786">
                  <w:pPr>
                    <w:pStyle w:val="68"/>
                    <w:rPr>
                      <w:rFonts w:hint="default" w:ascii="Times New Roman" w:hAnsi="Times New Roman" w:eastAsia="宋体" w:cs="Times New Roman"/>
                      <w:color w:val="auto"/>
                      <w:sz w:val="16"/>
                      <w:szCs w:val="16"/>
                      <w:u w:val="none" w:color="auto"/>
                      <w:lang w:val="en-US" w:eastAsia="zh-CN"/>
                    </w:rPr>
                  </w:pPr>
                  <w:r>
                    <w:rPr>
                      <w:rFonts w:hint="eastAsia" w:ascii="Times New Roman" w:hAnsi="Times New Roman" w:eastAsia="宋体" w:cs="Times New Roman"/>
                      <w:color w:val="auto"/>
                      <w:sz w:val="16"/>
                      <w:szCs w:val="16"/>
                      <w:u w:val="none" w:color="auto"/>
                      <w:lang w:val="en-US" w:eastAsia="zh-CN"/>
                    </w:rPr>
                    <w:t>0.1618</w:t>
                  </w:r>
                </w:p>
              </w:tc>
              <w:tc>
                <w:tcPr>
                  <w:tcW w:w="215" w:type="pct"/>
                  <w:noWrap/>
                  <w:vAlign w:val="center"/>
                </w:tcPr>
                <w:p w14:paraId="6AA91E32">
                  <w:pPr>
                    <w:pStyle w:val="68"/>
                    <w:rPr>
                      <w:rFonts w:hint="default" w:ascii="Times New Roman" w:hAnsi="Times New Roman" w:eastAsia="宋体" w:cs="Times New Roman"/>
                      <w:color w:val="auto"/>
                      <w:sz w:val="16"/>
                      <w:szCs w:val="16"/>
                      <w:u w:val="none" w:color="auto"/>
                      <w:lang w:val="en-US" w:eastAsia="zh-CN"/>
                    </w:rPr>
                  </w:pPr>
                  <w:r>
                    <w:rPr>
                      <w:rFonts w:hint="eastAsia" w:ascii="Times New Roman" w:hAnsi="Times New Roman" w:eastAsia="宋体" w:cs="Times New Roman"/>
                      <w:color w:val="auto"/>
                      <w:sz w:val="16"/>
                      <w:szCs w:val="16"/>
                      <w:u w:val="none" w:color="auto"/>
                      <w:lang w:val="en-US" w:eastAsia="zh-CN"/>
                    </w:rPr>
                    <w:t>0.09</w:t>
                  </w:r>
                </w:p>
              </w:tc>
              <w:tc>
                <w:tcPr>
                  <w:tcW w:w="143" w:type="pct"/>
                  <w:noWrap/>
                  <w:vAlign w:val="center"/>
                </w:tcPr>
                <w:p w14:paraId="554AA342">
                  <w:pPr>
                    <w:pStyle w:val="68"/>
                    <w:rPr>
                      <w:rFonts w:hint="eastAsia" w:ascii="Times New Roman" w:hAnsi="Times New Roman" w:eastAsia="宋体" w:cs="Times New Roman"/>
                      <w:color w:val="auto"/>
                      <w:sz w:val="16"/>
                      <w:szCs w:val="16"/>
                      <w:u w:val="none" w:color="auto"/>
                      <w:lang w:val="en-US" w:eastAsia="zh-CN"/>
                    </w:rPr>
                  </w:pPr>
                  <w:r>
                    <w:rPr>
                      <w:rFonts w:hint="eastAsia" w:ascii="Times New Roman" w:hAnsi="Times New Roman" w:eastAsia="宋体" w:cs="Times New Roman"/>
                      <w:color w:val="auto"/>
                      <w:sz w:val="16"/>
                      <w:szCs w:val="16"/>
                      <w:u w:val="none" w:color="auto"/>
                      <w:lang w:val="en-US" w:eastAsia="zh-CN"/>
                    </w:rPr>
                    <w:t>/</w:t>
                  </w:r>
                </w:p>
              </w:tc>
              <w:tc>
                <w:tcPr>
                  <w:tcW w:w="196" w:type="pct"/>
                  <w:noWrap/>
                  <w:vAlign w:val="center"/>
                </w:tcPr>
                <w:p w14:paraId="7C9BD3E8">
                  <w:pPr>
                    <w:pStyle w:val="68"/>
                    <w:rPr>
                      <w:rFonts w:hint="eastAsia"/>
                      <w:color w:val="auto"/>
                      <w:sz w:val="16"/>
                      <w:szCs w:val="16"/>
                      <w:u w:val="none" w:color="auto"/>
                    </w:rPr>
                  </w:pPr>
                  <w:r>
                    <w:rPr>
                      <w:rFonts w:hint="eastAsia"/>
                      <w:color w:val="auto"/>
                      <w:sz w:val="16"/>
                      <w:szCs w:val="16"/>
                      <w:u w:val="none" w:color="auto"/>
                    </w:rPr>
                    <w:t>/</w:t>
                  </w:r>
                </w:p>
              </w:tc>
              <w:tc>
                <w:tcPr>
                  <w:tcW w:w="161" w:type="pct"/>
                  <w:noWrap/>
                  <w:vAlign w:val="center"/>
                </w:tcPr>
                <w:p w14:paraId="4E5D99A3">
                  <w:pPr>
                    <w:pStyle w:val="68"/>
                    <w:rPr>
                      <w:rFonts w:hint="eastAsia"/>
                      <w:color w:val="auto"/>
                      <w:sz w:val="16"/>
                      <w:szCs w:val="16"/>
                      <w:u w:val="none" w:color="auto"/>
                    </w:rPr>
                  </w:pPr>
                  <w:r>
                    <w:rPr>
                      <w:rFonts w:hint="eastAsia"/>
                      <w:color w:val="auto"/>
                      <w:sz w:val="16"/>
                      <w:szCs w:val="16"/>
                      <w:u w:val="none" w:color="auto"/>
                    </w:rPr>
                    <w:t>/</w:t>
                  </w:r>
                </w:p>
              </w:tc>
              <w:tc>
                <w:tcPr>
                  <w:tcW w:w="143" w:type="pct"/>
                  <w:noWrap/>
                  <w:vAlign w:val="center"/>
                </w:tcPr>
                <w:p w14:paraId="49CC008B">
                  <w:pPr>
                    <w:pStyle w:val="68"/>
                    <w:rPr>
                      <w:rFonts w:hint="eastAsia"/>
                      <w:color w:val="auto"/>
                      <w:sz w:val="16"/>
                      <w:szCs w:val="16"/>
                      <w:u w:val="none" w:color="auto"/>
                    </w:rPr>
                  </w:pPr>
                  <w:r>
                    <w:rPr>
                      <w:rFonts w:hint="eastAsia"/>
                      <w:color w:val="auto"/>
                      <w:sz w:val="16"/>
                      <w:szCs w:val="16"/>
                      <w:u w:val="none" w:color="auto"/>
                    </w:rPr>
                    <w:t>/</w:t>
                  </w:r>
                </w:p>
              </w:tc>
              <w:tc>
                <w:tcPr>
                  <w:tcW w:w="242" w:type="pct"/>
                  <w:noWrap/>
                  <w:vAlign w:val="center"/>
                </w:tcPr>
                <w:p w14:paraId="68E4238B">
                  <w:pPr>
                    <w:pStyle w:val="68"/>
                    <w:rPr>
                      <w:rFonts w:hint="eastAsia"/>
                      <w:color w:val="auto"/>
                      <w:sz w:val="16"/>
                      <w:szCs w:val="16"/>
                      <w:u w:val="none" w:color="auto"/>
                    </w:rPr>
                  </w:pPr>
                  <w:r>
                    <w:rPr>
                      <w:rFonts w:hint="eastAsia"/>
                      <w:color w:val="auto"/>
                      <w:sz w:val="16"/>
                      <w:szCs w:val="16"/>
                      <w:u w:val="none" w:color="auto"/>
                    </w:rPr>
                    <w:t>/</w:t>
                  </w:r>
                </w:p>
              </w:tc>
              <w:tc>
                <w:tcPr>
                  <w:tcW w:w="251" w:type="pct"/>
                  <w:noWrap/>
                  <w:vAlign w:val="center"/>
                </w:tcPr>
                <w:p w14:paraId="014B59EA">
                  <w:pPr>
                    <w:pStyle w:val="68"/>
                    <w:rPr>
                      <w:rFonts w:hint="eastAsia"/>
                      <w:color w:val="auto"/>
                      <w:sz w:val="16"/>
                      <w:szCs w:val="16"/>
                      <w:u w:val="none" w:color="auto"/>
                    </w:rPr>
                  </w:pPr>
                  <w:r>
                    <w:rPr>
                      <w:rFonts w:hint="eastAsia"/>
                      <w:color w:val="auto"/>
                      <w:sz w:val="16"/>
                      <w:szCs w:val="16"/>
                      <w:u w:val="none" w:color="auto"/>
                    </w:rPr>
                    <w:t>/</w:t>
                  </w:r>
                </w:p>
              </w:tc>
              <w:tc>
                <w:tcPr>
                  <w:tcW w:w="296" w:type="pct"/>
                  <w:noWrap/>
                  <w:vAlign w:val="center"/>
                </w:tcPr>
                <w:p w14:paraId="3F86FB79">
                  <w:pPr>
                    <w:pStyle w:val="68"/>
                    <w:rPr>
                      <w:rFonts w:hint="eastAsia"/>
                      <w:color w:val="auto"/>
                      <w:sz w:val="16"/>
                      <w:szCs w:val="16"/>
                      <w:u w:val="none" w:color="auto"/>
                    </w:rPr>
                  </w:pPr>
                  <w:r>
                    <w:rPr>
                      <w:rFonts w:hint="eastAsia"/>
                      <w:color w:val="auto"/>
                      <w:sz w:val="16"/>
                      <w:szCs w:val="16"/>
                      <w:u w:val="none" w:color="auto"/>
                    </w:rPr>
                    <w:t>/</w:t>
                  </w:r>
                </w:p>
              </w:tc>
              <w:tc>
                <w:tcPr>
                  <w:tcW w:w="308" w:type="pct"/>
                  <w:noWrap/>
                  <w:vAlign w:val="center"/>
                </w:tcPr>
                <w:p w14:paraId="60D1CBE7">
                  <w:pPr>
                    <w:pStyle w:val="68"/>
                    <w:rPr>
                      <w:rFonts w:hint="eastAsia"/>
                      <w:color w:val="auto"/>
                      <w:sz w:val="16"/>
                      <w:szCs w:val="16"/>
                      <w:u w:val="none" w:color="auto"/>
                    </w:rPr>
                  </w:pPr>
                  <w:r>
                    <w:rPr>
                      <w:rFonts w:hint="eastAsia"/>
                      <w:color w:val="auto"/>
                      <w:sz w:val="16"/>
                      <w:szCs w:val="16"/>
                      <w:u w:val="none" w:color="auto"/>
                    </w:rPr>
                    <w:t>/</w:t>
                  </w:r>
                </w:p>
              </w:tc>
              <w:tc>
                <w:tcPr>
                  <w:tcW w:w="311" w:type="pct"/>
                  <w:noWrap/>
                  <w:vAlign w:val="center"/>
                </w:tcPr>
                <w:p w14:paraId="37B5A4B7">
                  <w:pPr>
                    <w:pStyle w:val="68"/>
                    <w:rPr>
                      <w:color w:val="auto"/>
                      <w:sz w:val="16"/>
                      <w:szCs w:val="16"/>
                      <w:u w:val="none" w:color="auto"/>
                    </w:rPr>
                  </w:pPr>
                  <w:r>
                    <w:rPr>
                      <w:rFonts w:hint="eastAsia"/>
                      <w:color w:val="auto"/>
                      <w:sz w:val="16"/>
                      <w:szCs w:val="16"/>
                      <w:u w:val="none" w:color="auto"/>
                    </w:rPr>
                    <w:t>0.3</w:t>
                  </w:r>
                </w:p>
              </w:tc>
            </w:tr>
            <w:tr w14:paraId="26C36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7" w:hRule="atLeast"/>
                <w:jc w:val="center"/>
              </w:trPr>
              <w:tc>
                <w:tcPr>
                  <w:tcW w:w="145" w:type="pct"/>
                  <w:vMerge w:val="restart"/>
                  <w:noWrap/>
                  <w:vAlign w:val="center"/>
                </w:tcPr>
                <w:p w14:paraId="032A2249">
                  <w:pPr>
                    <w:pStyle w:val="68"/>
                    <w:rPr>
                      <w:color w:val="auto"/>
                      <w:sz w:val="16"/>
                      <w:szCs w:val="16"/>
                      <w:u w:val="none" w:color="auto"/>
                    </w:rPr>
                  </w:pPr>
                  <w:r>
                    <w:rPr>
                      <w:rFonts w:hint="eastAsia"/>
                      <w:color w:val="auto"/>
                      <w:sz w:val="16"/>
                      <w:szCs w:val="16"/>
                      <w:u w:val="none" w:color="auto"/>
                    </w:rPr>
                    <w:t>2</w:t>
                  </w:r>
                </w:p>
              </w:tc>
              <w:tc>
                <w:tcPr>
                  <w:tcW w:w="350" w:type="pct"/>
                  <w:vMerge w:val="restart"/>
                  <w:noWrap/>
                  <w:vAlign w:val="center"/>
                </w:tcPr>
                <w:p w14:paraId="3C3DD83D">
                  <w:pPr>
                    <w:pStyle w:val="68"/>
                    <w:rPr>
                      <w:rFonts w:hint="eastAsia"/>
                      <w:color w:val="auto"/>
                      <w:sz w:val="16"/>
                      <w:szCs w:val="16"/>
                      <w:u w:val="none" w:color="auto"/>
                    </w:rPr>
                  </w:pPr>
                  <w:r>
                    <w:rPr>
                      <w:rFonts w:hint="eastAsia"/>
                      <w:color w:val="auto"/>
                      <w:sz w:val="16"/>
                      <w:szCs w:val="16"/>
                      <w:u w:val="none" w:color="auto"/>
                    </w:rPr>
                    <w:t>涂布烘干NMP废气</w:t>
                  </w:r>
                </w:p>
              </w:tc>
              <w:tc>
                <w:tcPr>
                  <w:tcW w:w="289" w:type="pct"/>
                  <w:vMerge w:val="restart"/>
                  <w:noWrap/>
                  <w:vAlign w:val="center"/>
                </w:tcPr>
                <w:p w14:paraId="408B29F4">
                  <w:pPr>
                    <w:pStyle w:val="68"/>
                    <w:rPr>
                      <w:rFonts w:hint="eastAsia"/>
                      <w:color w:val="auto"/>
                      <w:sz w:val="16"/>
                      <w:szCs w:val="16"/>
                      <w:u w:val="none" w:color="auto"/>
                    </w:rPr>
                  </w:pPr>
                  <w:r>
                    <w:rPr>
                      <w:rFonts w:hint="eastAsia"/>
                      <w:color w:val="auto"/>
                      <w:sz w:val="16"/>
                      <w:szCs w:val="16"/>
                      <w:u w:val="none" w:color="auto"/>
                    </w:rPr>
                    <w:t>非甲烷总烃</w:t>
                  </w:r>
                </w:p>
              </w:tc>
              <w:tc>
                <w:tcPr>
                  <w:tcW w:w="253" w:type="pct"/>
                  <w:tcBorders>
                    <w:bottom w:val="single" w:color="000000" w:sz="4" w:space="0"/>
                  </w:tcBorders>
                  <w:noWrap w:val="0"/>
                  <w:vAlign w:val="center"/>
                </w:tcPr>
                <w:p w14:paraId="4EBBC262">
                  <w:pPr>
                    <w:pStyle w:val="68"/>
                    <w:rPr>
                      <w:rFonts w:hint="default" w:eastAsia="宋体"/>
                      <w:color w:val="auto"/>
                      <w:sz w:val="16"/>
                      <w:szCs w:val="16"/>
                      <w:u w:val="none" w:color="auto"/>
                      <w:lang w:val="en-US" w:eastAsia="zh-CN"/>
                    </w:rPr>
                  </w:pPr>
                  <w:r>
                    <w:rPr>
                      <w:rFonts w:hint="eastAsia"/>
                      <w:color w:val="auto"/>
                      <w:sz w:val="16"/>
                      <w:szCs w:val="16"/>
                      <w:u w:val="none" w:color="auto"/>
                      <w:lang w:val="en-US" w:eastAsia="zh-CN"/>
                    </w:rPr>
                    <w:t>12.974</w:t>
                  </w:r>
                </w:p>
              </w:tc>
              <w:tc>
                <w:tcPr>
                  <w:tcW w:w="245" w:type="pct"/>
                  <w:noWrap w:val="0"/>
                  <w:vAlign w:val="center"/>
                </w:tcPr>
                <w:p w14:paraId="25718BCD">
                  <w:pPr>
                    <w:pStyle w:val="68"/>
                    <w:rPr>
                      <w:rFonts w:hint="default" w:eastAsia="宋体"/>
                      <w:color w:val="auto"/>
                      <w:sz w:val="16"/>
                      <w:szCs w:val="16"/>
                      <w:u w:val="none" w:color="auto"/>
                      <w:lang w:val="en-US" w:eastAsia="zh-CN"/>
                    </w:rPr>
                  </w:pPr>
                  <w:r>
                    <w:rPr>
                      <w:rFonts w:hint="eastAsia"/>
                      <w:color w:val="auto"/>
                      <w:sz w:val="16"/>
                      <w:szCs w:val="16"/>
                      <w:u w:val="none" w:color="auto"/>
                      <w:lang w:val="en-US" w:eastAsia="zh-CN"/>
                    </w:rPr>
                    <w:t>21.7</w:t>
                  </w:r>
                </w:p>
              </w:tc>
              <w:tc>
                <w:tcPr>
                  <w:tcW w:w="173" w:type="pct"/>
                  <w:noWrap/>
                  <w:vAlign w:val="center"/>
                </w:tcPr>
                <w:p w14:paraId="6C6DEAFA">
                  <w:pPr>
                    <w:pStyle w:val="68"/>
                    <w:rPr>
                      <w:rFonts w:hint="eastAsia"/>
                      <w:color w:val="auto"/>
                      <w:sz w:val="16"/>
                      <w:szCs w:val="16"/>
                      <w:u w:val="none" w:color="auto"/>
                    </w:rPr>
                  </w:pPr>
                  <w:r>
                    <w:rPr>
                      <w:rFonts w:hint="eastAsia"/>
                      <w:color w:val="auto"/>
                      <w:sz w:val="16"/>
                      <w:szCs w:val="16"/>
                      <w:u w:val="none" w:color="auto"/>
                    </w:rPr>
                    <w:t>有组织</w:t>
                  </w:r>
                </w:p>
              </w:tc>
              <w:tc>
                <w:tcPr>
                  <w:tcW w:w="249" w:type="pct"/>
                  <w:noWrap/>
                  <w:vAlign w:val="center"/>
                </w:tcPr>
                <w:p w14:paraId="0DAE51D0">
                  <w:pPr>
                    <w:pStyle w:val="68"/>
                    <w:rPr>
                      <w:rFonts w:hint="eastAsia"/>
                      <w:color w:val="auto"/>
                      <w:sz w:val="16"/>
                      <w:szCs w:val="16"/>
                      <w:u w:val="none" w:color="auto"/>
                    </w:rPr>
                  </w:pPr>
                  <w:r>
                    <w:rPr>
                      <w:rFonts w:hint="eastAsia"/>
                      <w:color w:val="auto"/>
                      <w:sz w:val="16"/>
                      <w:szCs w:val="16"/>
                      <w:u w:val="none" w:color="auto"/>
                    </w:rPr>
                    <w:t>NMP回收装置</w:t>
                  </w:r>
                </w:p>
              </w:tc>
              <w:tc>
                <w:tcPr>
                  <w:tcW w:w="179" w:type="pct"/>
                  <w:noWrap/>
                  <w:vAlign w:val="center"/>
                </w:tcPr>
                <w:p w14:paraId="7C3377B7">
                  <w:pPr>
                    <w:pStyle w:val="68"/>
                    <w:rPr>
                      <w:rFonts w:hint="eastAsia"/>
                      <w:color w:val="auto"/>
                      <w:sz w:val="16"/>
                      <w:szCs w:val="16"/>
                      <w:u w:val="none" w:color="auto"/>
                    </w:rPr>
                  </w:pPr>
                  <w:r>
                    <w:rPr>
                      <w:rFonts w:hint="eastAsia"/>
                      <w:color w:val="auto"/>
                      <w:sz w:val="16"/>
                      <w:szCs w:val="16"/>
                      <w:u w:val="none" w:color="auto"/>
                      <w:lang w:val="en-US" w:eastAsia="zh-CN"/>
                    </w:rPr>
                    <w:t>10</w:t>
                  </w:r>
                  <w:r>
                    <w:rPr>
                      <w:rFonts w:hint="eastAsia"/>
                      <w:color w:val="auto"/>
                      <w:sz w:val="16"/>
                      <w:szCs w:val="16"/>
                      <w:u w:val="none" w:color="auto"/>
                    </w:rPr>
                    <w:t>000</w:t>
                  </w:r>
                </w:p>
              </w:tc>
              <w:tc>
                <w:tcPr>
                  <w:tcW w:w="187" w:type="pct"/>
                  <w:noWrap/>
                  <w:vAlign w:val="center"/>
                </w:tcPr>
                <w:p w14:paraId="44187547">
                  <w:pPr>
                    <w:pStyle w:val="68"/>
                    <w:rPr>
                      <w:rFonts w:hint="eastAsia"/>
                      <w:color w:val="auto"/>
                      <w:sz w:val="16"/>
                      <w:szCs w:val="16"/>
                      <w:u w:val="none" w:color="auto"/>
                    </w:rPr>
                  </w:pPr>
                  <w:r>
                    <w:rPr>
                      <w:rFonts w:hint="eastAsia"/>
                      <w:color w:val="auto"/>
                      <w:sz w:val="16"/>
                      <w:szCs w:val="16"/>
                      <w:u w:val="none" w:color="auto"/>
                    </w:rPr>
                    <w:t>99.8%</w:t>
                  </w:r>
                </w:p>
              </w:tc>
              <w:tc>
                <w:tcPr>
                  <w:tcW w:w="200" w:type="pct"/>
                  <w:noWrap/>
                  <w:vAlign w:val="center"/>
                </w:tcPr>
                <w:p w14:paraId="1A371350">
                  <w:pPr>
                    <w:pStyle w:val="68"/>
                    <w:rPr>
                      <w:rFonts w:hint="eastAsia"/>
                      <w:color w:val="auto"/>
                      <w:sz w:val="16"/>
                      <w:szCs w:val="16"/>
                      <w:u w:val="none" w:color="auto"/>
                    </w:rPr>
                  </w:pPr>
                  <w:r>
                    <w:rPr>
                      <w:rFonts w:hint="eastAsia"/>
                      <w:color w:val="auto"/>
                      <w:sz w:val="16"/>
                      <w:szCs w:val="16"/>
                      <w:u w:val="none" w:color="auto"/>
                    </w:rPr>
                    <w:t>9</w:t>
                  </w:r>
                  <w:r>
                    <w:rPr>
                      <w:rFonts w:hint="eastAsia"/>
                      <w:color w:val="auto"/>
                      <w:sz w:val="16"/>
                      <w:szCs w:val="16"/>
                      <w:u w:val="none" w:color="auto"/>
                      <w:lang w:val="en-US" w:eastAsia="zh-CN"/>
                    </w:rPr>
                    <w:t>0</w:t>
                  </w:r>
                  <w:r>
                    <w:rPr>
                      <w:rFonts w:hint="eastAsia"/>
                      <w:color w:val="auto"/>
                      <w:sz w:val="16"/>
                      <w:szCs w:val="16"/>
                      <w:u w:val="none" w:color="auto"/>
                    </w:rPr>
                    <w:t>%</w:t>
                  </w:r>
                </w:p>
              </w:tc>
              <w:tc>
                <w:tcPr>
                  <w:tcW w:w="251" w:type="pct"/>
                  <w:noWrap/>
                  <w:vAlign w:val="center"/>
                </w:tcPr>
                <w:p w14:paraId="3E389804">
                  <w:pPr>
                    <w:pStyle w:val="68"/>
                    <w:rPr>
                      <w:rFonts w:hint="eastAsia"/>
                      <w:color w:val="auto"/>
                      <w:sz w:val="16"/>
                      <w:szCs w:val="16"/>
                      <w:u w:val="none" w:color="auto"/>
                    </w:rPr>
                  </w:pPr>
                  <w:r>
                    <w:rPr>
                      <w:rFonts w:hint="eastAsia"/>
                      <w:color w:val="auto"/>
                      <w:sz w:val="16"/>
                      <w:szCs w:val="16"/>
                      <w:u w:val="none" w:color="auto"/>
                    </w:rPr>
                    <w:t>是</w:t>
                  </w:r>
                </w:p>
              </w:tc>
              <w:tc>
                <w:tcPr>
                  <w:tcW w:w="202" w:type="pct"/>
                  <w:noWrap/>
                  <w:vAlign w:val="center"/>
                </w:tcPr>
                <w:p w14:paraId="742C3C05">
                  <w:pPr>
                    <w:pStyle w:val="68"/>
                    <w:rPr>
                      <w:rFonts w:hint="default" w:eastAsia="宋体"/>
                      <w:color w:val="auto"/>
                      <w:sz w:val="16"/>
                      <w:szCs w:val="16"/>
                      <w:u w:val="none" w:color="auto"/>
                      <w:lang w:val="en-US" w:eastAsia="zh-CN"/>
                    </w:rPr>
                  </w:pPr>
                  <w:r>
                    <w:rPr>
                      <w:rFonts w:hint="eastAsia"/>
                      <w:color w:val="auto"/>
                      <w:sz w:val="16"/>
                      <w:szCs w:val="16"/>
                      <w:u w:val="none" w:color="auto"/>
                      <w:lang w:val="en-US" w:eastAsia="zh-CN"/>
                    </w:rPr>
                    <w:t>1.3</w:t>
                  </w:r>
                </w:p>
              </w:tc>
              <w:tc>
                <w:tcPr>
                  <w:tcW w:w="215" w:type="pct"/>
                  <w:noWrap/>
                  <w:vAlign w:val="center"/>
                </w:tcPr>
                <w:p w14:paraId="2020088E">
                  <w:pPr>
                    <w:pStyle w:val="68"/>
                    <w:rPr>
                      <w:rFonts w:hint="default" w:eastAsia="宋体"/>
                      <w:color w:val="auto"/>
                      <w:sz w:val="16"/>
                      <w:szCs w:val="16"/>
                      <w:u w:val="none" w:color="auto"/>
                      <w:lang w:val="en-US" w:eastAsia="zh-CN"/>
                    </w:rPr>
                  </w:pPr>
                  <w:r>
                    <w:rPr>
                      <w:rFonts w:hint="eastAsia"/>
                      <w:color w:val="auto"/>
                      <w:sz w:val="16"/>
                      <w:szCs w:val="16"/>
                      <w:u w:val="none" w:color="auto"/>
                      <w:lang w:val="en-US" w:eastAsia="zh-CN"/>
                    </w:rPr>
                    <w:t>0.217</w:t>
                  </w:r>
                </w:p>
              </w:tc>
              <w:tc>
                <w:tcPr>
                  <w:tcW w:w="143" w:type="pct"/>
                  <w:noWrap/>
                  <w:vAlign w:val="center"/>
                </w:tcPr>
                <w:p w14:paraId="09D205E7">
                  <w:pPr>
                    <w:pStyle w:val="68"/>
                    <w:rPr>
                      <w:rFonts w:hint="default" w:eastAsia="宋体"/>
                      <w:color w:val="auto"/>
                      <w:sz w:val="16"/>
                      <w:szCs w:val="16"/>
                      <w:u w:val="none" w:color="auto"/>
                      <w:lang w:val="en-US" w:eastAsia="zh-CN"/>
                    </w:rPr>
                  </w:pPr>
                  <w:r>
                    <w:rPr>
                      <w:rFonts w:hint="eastAsia"/>
                      <w:color w:val="auto"/>
                      <w:sz w:val="16"/>
                      <w:szCs w:val="16"/>
                      <w:u w:val="none" w:color="auto"/>
                      <w:lang w:val="en-US" w:eastAsia="zh-CN"/>
                    </w:rPr>
                    <w:t>21.7</w:t>
                  </w:r>
                </w:p>
              </w:tc>
              <w:tc>
                <w:tcPr>
                  <w:tcW w:w="196" w:type="pct"/>
                  <w:noWrap/>
                  <w:vAlign w:val="center"/>
                </w:tcPr>
                <w:p w14:paraId="69D869A0">
                  <w:pPr>
                    <w:pStyle w:val="68"/>
                    <w:rPr>
                      <w:rFonts w:hint="default" w:eastAsia="宋体"/>
                      <w:color w:val="auto"/>
                      <w:sz w:val="16"/>
                      <w:szCs w:val="16"/>
                      <w:u w:val="none" w:color="auto"/>
                      <w:lang w:val="en-US" w:eastAsia="zh-CN"/>
                    </w:rPr>
                  </w:pPr>
                  <w:r>
                    <w:rPr>
                      <w:rFonts w:hint="eastAsia"/>
                      <w:color w:val="auto"/>
                      <w:sz w:val="16"/>
                      <w:szCs w:val="16"/>
                      <w:u w:val="none" w:color="auto"/>
                      <w:lang w:val="en-US" w:eastAsia="zh-CN"/>
                    </w:rPr>
                    <w:t>25</w:t>
                  </w:r>
                </w:p>
              </w:tc>
              <w:tc>
                <w:tcPr>
                  <w:tcW w:w="161" w:type="pct"/>
                  <w:noWrap/>
                  <w:vAlign w:val="center"/>
                </w:tcPr>
                <w:p w14:paraId="1B4058B9">
                  <w:pPr>
                    <w:pStyle w:val="68"/>
                    <w:rPr>
                      <w:rFonts w:hint="default" w:eastAsia="宋体"/>
                      <w:color w:val="auto"/>
                      <w:sz w:val="16"/>
                      <w:szCs w:val="16"/>
                      <w:u w:val="none" w:color="auto"/>
                      <w:lang w:val="en-US" w:eastAsia="zh-CN"/>
                    </w:rPr>
                  </w:pPr>
                  <w:r>
                    <w:rPr>
                      <w:rFonts w:hint="eastAsia"/>
                      <w:color w:val="auto"/>
                      <w:sz w:val="16"/>
                      <w:szCs w:val="16"/>
                      <w:u w:val="none" w:color="auto"/>
                    </w:rPr>
                    <w:t>0</w:t>
                  </w:r>
                  <w:r>
                    <w:rPr>
                      <w:rFonts w:hint="eastAsia"/>
                      <w:color w:val="auto"/>
                      <w:sz w:val="16"/>
                      <w:szCs w:val="16"/>
                      <w:u w:val="none" w:color="auto"/>
                      <w:lang w:val="en-US" w:eastAsia="zh-CN"/>
                    </w:rPr>
                    <w:t>.5</w:t>
                  </w:r>
                </w:p>
              </w:tc>
              <w:tc>
                <w:tcPr>
                  <w:tcW w:w="143" w:type="pct"/>
                  <w:noWrap/>
                  <w:vAlign w:val="center"/>
                </w:tcPr>
                <w:p w14:paraId="317C34A6">
                  <w:pPr>
                    <w:pStyle w:val="68"/>
                    <w:rPr>
                      <w:rFonts w:hint="default" w:eastAsia="宋体"/>
                      <w:color w:val="auto"/>
                      <w:sz w:val="16"/>
                      <w:szCs w:val="16"/>
                      <w:u w:val="none" w:color="auto"/>
                      <w:lang w:val="en-US" w:eastAsia="zh-CN"/>
                    </w:rPr>
                  </w:pPr>
                  <w:r>
                    <w:rPr>
                      <w:rFonts w:hint="eastAsia"/>
                      <w:color w:val="auto"/>
                      <w:sz w:val="16"/>
                      <w:szCs w:val="16"/>
                      <w:u w:val="none" w:color="auto"/>
                      <w:lang w:val="en-US" w:eastAsia="zh-CN"/>
                    </w:rPr>
                    <w:t>18</w:t>
                  </w:r>
                </w:p>
              </w:tc>
              <w:tc>
                <w:tcPr>
                  <w:tcW w:w="242" w:type="pct"/>
                  <w:noWrap/>
                  <w:vAlign w:val="center"/>
                </w:tcPr>
                <w:p w14:paraId="3581FB0D">
                  <w:pPr>
                    <w:pStyle w:val="68"/>
                    <w:rPr>
                      <w:rFonts w:hint="eastAsia"/>
                      <w:color w:val="auto"/>
                      <w:sz w:val="16"/>
                      <w:szCs w:val="16"/>
                      <w:u w:val="none" w:color="auto"/>
                    </w:rPr>
                  </w:pPr>
                  <w:r>
                    <w:rPr>
                      <w:rFonts w:hint="eastAsia"/>
                      <w:color w:val="auto"/>
                      <w:sz w:val="16"/>
                      <w:szCs w:val="16"/>
                      <w:u w:val="none" w:color="auto"/>
                    </w:rPr>
                    <w:t>DA001</w:t>
                  </w:r>
                </w:p>
              </w:tc>
              <w:tc>
                <w:tcPr>
                  <w:tcW w:w="251" w:type="pct"/>
                  <w:noWrap/>
                  <w:vAlign w:val="center"/>
                </w:tcPr>
                <w:p w14:paraId="71CB7DB0">
                  <w:pPr>
                    <w:pStyle w:val="68"/>
                    <w:rPr>
                      <w:rFonts w:hint="eastAsia"/>
                      <w:color w:val="auto"/>
                      <w:sz w:val="16"/>
                      <w:szCs w:val="16"/>
                      <w:u w:val="none" w:color="auto"/>
                    </w:rPr>
                  </w:pPr>
                  <w:r>
                    <w:rPr>
                      <w:rFonts w:hint="eastAsia"/>
                      <w:color w:val="auto"/>
                      <w:sz w:val="16"/>
                      <w:szCs w:val="16"/>
                      <w:u w:val="none" w:color="auto"/>
                    </w:rPr>
                    <w:t>一般排放口</w:t>
                  </w:r>
                </w:p>
              </w:tc>
              <w:tc>
                <w:tcPr>
                  <w:tcW w:w="296" w:type="pct"/>
                  <w:noWrap/>
                  <w:vAlign w:val="center"/>
                </w:tcPr>
                <w:p w14:paraId="458E2F81">
                  <w:pPr>
                    <w:pStyle w:val="68"/>
                    <w:rPr>
                      <w:rFonts w:hint="default" w:eastAsia="宋体"/>
                      <w:color w:val="auto"/>
                      <w:sz w:val="16"/>
                      <w:szCs w:val="16"/>
                      <w:u w:val="none" w:color="auto"/>
                      <w:lang w:val="en-US" w:eastAsia="zh-CN"/>
                    </w:rPr>
                  </w:pPr>
                  <w:r>
                    <w:rPr>
                      <w:rFonts w:hint="eastAsia"/>
                      <w:color w:val="auto"/>
                      <w:sz w:val="16"/>
                      <w:szCs w:val="16"/>
                      <w:u w:val="none" w:color="auto"/>
                      <w:lang w:val="en-US" w:eastAsia="zh-CN"/>
                    </w:rPr>
                    <w:t>112.1995520</w:t>
                  </w:r>
                </w:p>
              </w:tc>
              <w:tc>
                <w:tcPr>
                  <w:tcW w:w="308" w:type="pct"/>
                  <w:tcBorders>
                    <w:bottom w:val="single" w:color="000000" w:sz="4" w:space="0"/>
                  </w:tcBorders>
                  <w:noWrap/>
                  <w:vAlign w:val="center"/>
                </w:tcPr>
                <w:p w14:paraId="21CDC4A9">
                  <w:pPr>
                    <w:pStyle w:val="68"/>
                    <w:rPr>
                      <w:rFonts w:hint="default" w:eastAsia="宋体"/>
                      <w:color w:val="auto"/>
                      <w:sz w:val="16"/>
                      <w:szCs w:val="16"/>
                      <w:u w:val="none" w:color="auto"/>
                      <w:lang w:val="en-US" w:eastAsia="zh-CN"/>
                    </w:rPr>
                  </w:pPr>
                  <w:r>
                    <w:rPr>
                      <w:rFonts w:hint="eastAsia"/>
                      <w:color w:val="auto"/>
                      <w:sz w:val="16"/>
                      <w:szCs w:val="16"/>
                      <w:u w:val="none" w:color="auto"/>
                      <w:lang w:val="en-US" w:eastAsia="zh-CN"/>
                    </w:rPr>
                    <w:t>25.890932</w:t>
                  </w:r>
                </w:p>
              </w:tc>
              <w:tc>
                <w:tcPr>
                  <w:tcW w:w="311" w:type="pct"/>
                  <w:tcBorders>
                    <w:bottom w:val="single" w:color="000000" w:sz="4" w:space="0"/>
                  </w:tcBorders>
                  <w:noWrap/>
                  <w:vAlign w:val="center"/>
                </w:tcPr>
                <w:p w14:paraId="2883241F">
                  <w:pPr>
                    <w:pStyle w:val="68"/>
                    <w:rPr>
                      <w:color w:val="auto"/>
                      <w:sz w:val="16"/>
                      <w:szCs w:val="16"/>
                      <w:u w:val="none" w:color="auto"/>
                    </w:rPr>
                  </w:pPr>
                  <w:r>
                    <w:rPr>
                      <w:rFonts w:hint="eastAsia"/>
                      <w:color w:val="auto"/>
                      <w:sz w:val="16"/>
                      <w:szCs w:val="16"/>
                      <w:u w:val="none" w:color="auto"/>
                    </w:rPr>
                    <w:t>50</w:t>
                  </w:r>
                </w:p>
              </w:tc>
            </w:tr>
            <w:tr w14:paraId="4D750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45" w:type="pct"/>
                  <w:vMerge w:val="continue"/>
                  <w:noWrap/>
                  <w:vAlign w:val="center"/>
                </w:tcPr>
                <w:p w14:paraId="5779039A">
                  <w:pPr>
                    <w:pStyle w:val="68"/>
                    <w:rPr>
                      <w:rFonts w:hint="eastAsia"/>
                      <w:color w:val="auto"/>
                      <w:sz w:val="16"/>
                      <w:szCs w:val="16"/>
                      <w:u w:val="none" w:color="auto"/>
                    </w:rPr>
                  </w:pPr>
                </w:p>
              </w:tc>
              <w:tc>
                <w:tcPr>
                  <w:tcW w:w="350" w:type="pct"/>
                  <w:vMerge w:val="continue"/>
                  <w:noWrap/>
                  <w:vAlign w:val="center"/>
                </w:tcPr>
                <w:p w14:paraId="52D85441">
                  <w:pPr>
                    <w:pStyle w:val="68"/>
                    <w:rPr>
                      <w:rFonts w:hint="eastAsia"/>
                      <w:color w:val="auto"/>
                      <w:sz w:val="16"/>
                      <w:szCs w:val="16"/>
                      <w:u w:val="none" w:color="auto"/>
                    </w:rPr>
                  </w:pPr>
                </w:p>
              </w:tc>
              <w:tc>
                <w:tcPr>
                  <w:tcW w:w="289" w:type="pct"/>
                  <w:vMerge w:val="continue"/>
                  <w:noWrap/>
                  <w:vAlign w:val="center"/>
                </w:tcPr>
                <w:p w14:paraId="24B2A61E">
                  <w:pPr>
                    <w:pStyle w:val="68"/>
                    <w:rPr>
                      <w:rFonts w:hint="eastAsia"/>
                      <w:color w:val="auto"/>
                      <w:sz w:val="16"/>
                      <w:szCs w:val="16"/>
                      <w:u w:val="none" w:color="auto"/>
                    </w:rPr>
                  </w:pPr>
                </w:p>
              </w:tc>
              <w:tc>
                <w:tcPr>
                  <w:tcW w:w="253" w:type="pct"/>
                  <w:tcBorders>
                    <w:top w:val="single" w:color="000000" w:sz="4" w:space="0"/>
                  </w:tcBorders>
                  <w:noWrap w:val="0"/>
                  <w:vAlign w:val="center"/>
                </w:tcPr>
                <w:p w14:paraId="540AB40C">
                  <w:pPr>
                    <w:pStyle w:val="68"/>
                    <w:rPr>
                      <w:rFonts w:hint="default" w:eastAsia="宋体"/>
                      <w:color w:val="auto"/>
                      <w:sz w:val="16"/>
                      <w:szCs w:val="16"/>
                      <w:u w:val="none" w:color="auto"/>
                      <w:lang w:val="en-US" w:eastAsia="zh-CN"/>
                    </w:rPr>
                  </w:pPr>
                  <w:r>
                    <w:rPr>
                      <w:rFonts w:hint="eastAsia"/>
                      <w:color w:val="auto"/>
                      <w:sz w:val="16"/>
                      <w:szCs w:val="16"/>
                      <w:u w:val="none" w:color="auto"/>
                    </w:rPr>
                    <w:t>0.</w:t>
                  </w:r>
                  <w:r>
                    <w:rPr>
                      <w:rFonts w:hint="eastAsia"/>
                      <w:color w:val="auto"/>
                      <w:sz w:val="16"/>
                      <w:szCs w:val="16"/>
                      <w:u w:val="none" w:color="auto"/>
                      <w:lang w:val="en-US" w:eastAsia="zh-CN"/>
                    </w:rPr>
                    <w:t>026</w:t>
                  </w:r>
                </w:p>
              </w:tc>
              <w:tc>
                <w:tcPr>
                  <w:tcW w:w="245" w:type="pct"/>
                  <w:noWrap w:val="0"/>
                  <w:vAlign w:val="center"/>
                </w:tcPr>
                <w:p w14:paraId="62A16A70">
                  <w:pPr>
                    <w:pStyle w:val="68"/>
                    <w:rPr>
                      <w:rFonts w:hint="eastAsia"/>
                      <w:color w:val="auto"/>
                      <w:sz w:val="16"/>
                      <w:szCs w:val="16"/>
                      <w:u w:val="none" w:color="auto"/>
                    </w:rPr>
                  </w:pPr>
                  <w:r>
                    <w:rPr>
                      <w:rFonts w:hint="eastAsia"/>
                      <w:color w:val="auto"/>
                      <w:sz w:val="16"/>
                      <w:szCs w:val="16"/>
                      <w:u w:val="none" w:color="auto"/>
                    </w:rPr>
                    <w:t>/</w:t>
                  </w:r>
                </w:p>
              </w:tc>
              <w:tc>
                <w:tcPr>
                  <w:tcW w:w="173" w:type="pct"/>
                  <w:noWrap/>
                  <w:vAlign w:val="center"/>
                </w:tcPr>
                <w:p w14:paraId="4EB5B99A">
                  <w:pPr>
                    <w:pStyle w:val="68"/>
                    <w:rPr>
                      <w:color w:val="auto"/>
                      <w:sz w:val="16"/>
                      <w:szCs w:val="16"/>
                      <w:u w:val="none" w:color="auto"/>
                    </w:rPr>
                  </w:pPr>
                  <w:r>
                    <w:rPr>
                      <w:rFonts w:hint="eastAsia"/>
                      <w:color w:val="auto"/>
                      <w:sz w:val="16"/>
                      <w:szCs w:val="16"/>
                      <w:u w:val="none" w:color="auto"/>
                    </w:rPr>
                    <w:t>无组织</w:t>
                  </w:r>
                </w:p>
              </w:tc>
              <w:tc>
                <w:tcPr>
                  <w:tcW w:w="249" w:type="pct"/>
                  <w:noWrap/>
                  <w:vAlign w:val="center"/>
                </w:tcPr>
                <w:p w14:paraId="50B298CE">
                  <w:pPr>
                    <w:pStyle w:val="68"/>
                    <w:rPr>
                      <w:rFonts w:hint="eastAsia"/>
                      <w:color w:val="auto"/>
                      <w:sz w:val="16"/>
                      <w:szCs w:val="16"/>
                      <w:u w:val="none" w:color="auto"/>
                    </w:rPr>
                  </w:pPr>
                  <w:r>
                    <w:rPr>
                      <w:rFonts w:hint="eastAsia"/>
                      <w:color w:val="auto"/>
                      <w:sz w:val="16"/>
                      <w:szCs w:val="16"/>
                      <w:u w:val="none" w:color="auto"/>
                    </w:rPr>
                    <w:t>/</w:t>
                  </w:r>
                </w:p>
              </w:tc>
              <w:tc>
                <w:tcPr>
                  <w:tcW w:w="179" w:type="pct"/>
                  <w:noWrap/>
                  <w:vAlign w:val="center"/>
                </w:tcPr>
                <w:p w14:paraId="66F9A294">
                  <w:pPr>
                    <w:pStyle w:val="68"/>
                    <w:rPr>
                      <w:rFonts w:hint="eastAsia"/>
                      <w:color w:val="auto"/>
                      <w:sz w:val="16"/>
                      <w:szCs w:val="16"/>
                      <w:u w:val="none" w:color="auto"/>
                    </w:rPr>
                  </w:pPr>
                  <w:r>
                    <w:rPr>
                      <w:rFonts w:hint="eastAsia"/>
                      <w:color w:val="auto"/>
                      <w:sz w:val="16"/>
                      <w:szCs w:val="16"/>
                      <w:u w:val="none" w:color="auto"/>
                    </w:rPr>
                    <w:t>/</w:t>
                  </w:r>
                </w:p>
              </w:tc>
              <w:tc>
                <w:tcPr>
                  <w:tcW w:w="187" w:type="pct"/>
                  <w:noWrap/>
                  <w:vAlign w:val="center"/>
                </w:tcPr>
                <w:p w14:paraId="3AB95D06">
                  <w:pPr>
                    <w:pStyle w:val="68"/>
                    <w:rPr>
                      <w:rFonts w:hint="eastAsia"/>
                      <w:color w:val="auto"/>
                      <w:sz w:val="16"/>
                      <w:szCs w:val="16"/>
                      <w:u w:val="none" w:color="auto"/>
                    </w:rPr>
                  </w:pPr>
                  <w:r>
                    <w:rPr>
                      <w:rFonts w:hint="eastAsia"/>
                      <w:color w:val="auto"/>
                      <w:sz w:val="16"/>
                      <w:szCs w:val="16"/>
                      <w:u w:val="none" w:color="auto"/>
                    </w:rPr>
                    <w:t>/</w:t>
                  </w:r>
                </w:p>
              </w:tc>
              <w:tc>
                <w:tcPr>
                  <w:tcW w:w="200" w:type="pct"/>
                  <w:noWrap/>
                  <w:vAlign w:val="center"/>
                </w:tcPr>
                <w:p w14:paraId="47AC5EB3">
                  <w:pPr>
                    <w:pStyle w:val="68"/>
                    <w:rPr>
                      <w:rFonts w:hint="eastAsia"/>
                      <w:color w:val="auto"/>
                      <w:sz w:val="16"/>
                      <w:szCs w:val="16"/>
                      <w:u w:val="none" w:color="auto"/>
                    </w:rPr>
                  </w:pPr>
                  <w:r>
                    <w:rPr>
                      <w:rFonts w:hint="eastAsia"/>
                      <w:color w:val="auto"/>
                      <w:sz w:val="16"/>
                      <w:szCs w:val="16"/>
                      <w:u w:val="none" w:color="auto"/>
                    </w:rPr>
                    <w:t>/</w:t>
                  </w:r>
                </w:p>
              </w:tc>
              <w:tc>
                <w:tcPr>
                  <w:tcW w:w="251" w:type="pct"/>
                  <w:noWrap/>
                  <w:vAlign w:val="center"/>
                </w:tcPr>
                <w:p w14:paraId="62B6256E">
                  <w:pPr>
                    <w:pStyle w:val="68"/>
                    <w:rPr>
                      <w:rFonts w:hint="eastAsia"/>
                      <w:color w:val="auto"/>
                      <w:sz w:val="16"/>
                      <w:szCs w:val="16"/>
                      <w:u w:val="none" w:color="auto"/>
                    </w:rPr>
                  </w:pPr>
                  <w:r>
                    <w:rPr>
                      <w:rFonts w:hint="eastAsia"/>
                      <w:color w:val="auto"/>
                      <w:sz w:val="16"/>
                      <w:szCs w:val="16"/>
                      <w:u w:val="none" w:color="auto"/>
                    </w:rPr>
                    <w:t>/</w:t>
                  </w:r>
                </w:p>
              </w:tc>
              <w:tc>
                <w:tcPr>
                  <w:tcW w:w="202" w:type="pct"/>
                  <w:noWrap/>
                  <w:vAlign w:val="center"/>
                </w:tcPr>
                <w:p w14:paraId="7D7AFC43">
                  <w:pPr>
                    <w:pStyle w:val="68"/>
                    <w:rPr>
                      <w:rFonts w:hint="default" w:eastAsia="宋体"/>
                      <w:color w:val="auto"/>
                      <w:sz w:val="16"/>
                      <w:szCs w:val="16"/>
                      <w:u w:val="none" w:color="auto"/>
                      <w:lang w:val="en-US" w:eastAsia="zh-CN"/>
                    </w:rPr>
                  </w:pPr>
                  <w:r>
                    <w:rPr>
                      <w:rFonts w:hint="eastAsia"/>
                      <w:color w:val="auto"/>
                      <w:sz w:val="16"/>
                      <w:szCs w:val="16"/>
                      <w:u w:val="none" w:color="auto"/>
                    </w:rPr>
                    <w:t>0.</w:t>
                  </w:r>
                  <w:r>
                    <w:rPr>
                      <w:rFonts w:hint="eastAsia"/>
                      <w:color w:val="auto"/>
                      <w:sz w:val="16"/>
                      <w:szCs w:val="16"/>
                      <w:u w:val="none" w:color="auto"/>
                      <w:lang w:val="en-US" w:eastAsia="zh-CN"/>
                    </w:rPr>
                    <w:t>026</w:t>
                  </w:r>
                </w:p>
              </w:tc>
              <w:tc>
                <w:tcPr>
                  <w:tcW w:w="215" w:type="pct"/>
                  <w:noWrap/>
                  <w:vAlign w:val="center"/>
                </w:tcPr>
                <w:p w14:paraId="22D9D27D">
                  <w:pPr>
                    <w:pStyle w:val="68"/>
                    <w:rPr>
                      <w:rFonts w:hint="default" w:eastAsia="宋体"/>
                      <w:color w:val="auto"/>
                      <w:sz w:val="16"/>
                      <w:szCs w:val="16"/>
                      <w:u w:val="none" w:color="auto"/>
                      <w:lang w:val="en-US" w:eastAsia="zh-CN"/>
                    </w:rPr>
                  </w:pPr>
                  <w:r>
                    <w:rPr>
                      <w:rFonts w:hint="eastAsia"/>
                      <w:color w:val="auto"/>
                      <w:sz w:val="16"/>
                      <w:szCs w:val="16"/>
                      <w:u w:val="none" w:color="auto"/>
                    </w:rPr>
                    <w:t>0.0</w:t>
                  </w:r>
                  <w:r>
                    <w:rPr>
                      <w:rFonts w:hint="eastAsia"/>
                      <w:color w:val="auto"/>
                      <w:sz w:val="16"/>
                      <w:szCs w:val="16"/>
                      <w:u w:val="none" w:color="auto"/>
                      <w:lang w:val="en-US" w:eastAsia="zh-CN"/>
                    </w:rPr>
                    <w:t>05</w:t>
                  </w:r>
                </w:p>
              </w:tc>
              <w:tc>
                <w:tcPr>
                  <w:tcW w:w="143" w:type="pct"/>
                  <w:noWrap/>
                  <w:vAlign w:val="center"/>
                </w:tcPr>
                <w:p w14:paraId="7D24370F">
                  <w:pPr>
                    <w:pStyle w:val="68"/>
                    <w:rPr>
                      <w:rFonts w:hint="eastAsia"/>
                      <w:color w:val="auto"/>
                      <w:sz w:val="16"/>
                      <w:szCs w:val="16"/>
                      <w:u w:val="none" w:color="auto"/>
                    </w:rPr>
                  </w:pPr>
                  <w:r>
                    <w:rPr>
                      <w:rFonts w:hint="eastAsia"/>
                      <w:color w:val="auto"/>
                      <w:sz w:val="16"/>
                      <w:szCs w:val="16"/>
                      <w:u w:val="none" w:color="auto"/>
                    </w:rPr>
                    <w:t>/</w:t>
                  </w:r>
                </w:p>
              </w:tc>
              <w:tc>
                <w:tcPr>
                  <w:tcW w:w="196" w:type="pct"/>
                  <w:noWrap/>
                  <w:vAlign w:val="center"/>
                </w:tcPr>
                <w:p w14:paraId="023C310E">
                  <w:pPr>
                    <w:pStyle w:val="68"/>
                    <w:rPr>
                      <w:rFonts w:hint="eastAsia"/>
                      <w:color w:val="auto"/>
                      <w:sz w:val="16"/>
                      <w:szCs w:val="16"/>
                      <w:u w:val="none" w:color="auto"/>
                    </w:rPr>
                  </w:pPr>
                  <w:r>
                    <w:rPr>
                      <w:rFonts w:hint="eastAsia"/>
                      <w:color w:val="auto"/>
                      <w:sz w:val="16"/>
                      <w:szCs w:val="16"/>
                      <w:u w:val="none" w:color="auto"/>
                    </w:rPr>
                    <w:t>/</w:t>
                  </w:r>
                </w:p>
              </w:tc>
              <w:tc>
                <w:tcPr>
                  <w:tcW w:w="161" w:type="pct"/>
                  <w:noWrap/>
                  <w:vAlign w:val="center"/>
                </w:tcPr>
                <w:p w14:paraId="423D0BBD">
                  <w:pPr>
                    <w:pStyle w:val="68"/>
                    <w:rPr>
                      <w:rFonts w:hint="eastAsia"/>
                      <w:color w:val="auto"/>
                      <w:sz w:val="16"/>
                      <w:szCs w:val="16"/>
                      <w:u w:val="none" w:color="auto"/>
                    </w:rPr>
                  </w:pPr>
                  <w:r>
                    <w:rPr>
                      <w:rFonts w:hint="eastAsia"/>
                      <w:color w:val="auto"/>
                      <w:sz w:val="16"/>
                      <w:szCs w:val="16"/>
                      <w:u w:val="none" w:color="auto"/>
                    </w:rPr>
                    <w:t>/</w:t>
                  </w:r>
                </w:p>
              </w:tc>
              <w:tc>
                <w:tcPr>
                  <w:tcW w:w="143" w:type="pct"/>
                  <w:noWrap/>
                  <w:vAlign w:val="center"/>
                </w:tcPr>
                <w:p w14:paraId="142CDAD5">
                  <w:pPr>
                    <w:pStyle w:val="68"/>
                    <w:rPr>
                      <w:rFonts w:hint="eastAsia"/>
                      <w:color w:val="auto"/>
                      <w:sz w:val="16"/>
                      <w:szCs w:val="16"/>
                      <w:u w:val="none" w:color="auto"/>
                    </w:rPr>
                  </w:pPr>
                  <w:r>
                    <w:rPr>
                      <w:rFonts w:hint="eastAsia"/>
                      <w:color w:val="auto"/>
                      <w:sz w:val="16"/>
                      <w:szCs w:val="16"/>
                      <w:u w:val="none" w:color="auto"/>
                    </w:rPr>
                    <w:t>/</w:t>
                  </w:r>
                </w:p>
              </w:tc>
              <w:tc>
                <w:tcPr>
                  <w:tcW w:w="242" w:type="pct"/>
                  <w:noWrap/>
                  <w:vAlign w:val="center"/>
                </w:tcPr>
                <w:p w14:paraId="67BB7757">
                  <w:pPr>
                    <w:pStyle w:val="68"/>
                    <w:rPr>
                      <w:rFonts w:hint="eastAsia"/>
                      <w:color w:val="auto"/>
                      <w:sz w:val="16"/>
                      <w:szCs w:val="16"/>
                      <w:u w:val="none" w:color="auto"/>
                    </w:rPr>
                  </w:pPr>
                  <w:r>
                    <w:rPr>
                      <w:rFonts w:hint="eastAsia"/>
                      <w:color w:val="auto"/>
                      <w:sz w:val="16"/>
                      <w:szCs w:val="16"/>
                      <w:u w:val="none" w:color="auto"/>
                    </w:rPr>
                    <w:t>/</w:t>
                  </w:r>
                </w:p>
              </w:tc>
              <w:tc>
                <w:tcPr>
                  <w:tcW w:w="251" w:type="pct"/>
                  <w:noWrap/>
                  <w:vAlign w:val="center"/>
                </w:tcPr>
                <w:p w14:paraId="6A27FAA6">
                  <w:pPr>
                    <w:pStyle w:val="68"/>
                    <w:rPr>
                      <w:rFonts w:hint="eastAsia"/>
                      <w:color w:val="auto"/>
                      <w:sz w:val="16"/>
                      <w:szCs w:val="16"/>
                      <w:u w:val="none" w:color="auto"/>
                    </w:rPr>
                  </w:pPr>
                  <w:r>
                    <w:rPr>
                      <w:rFonts w:hint="eastAsia"/>
                      <w:color w:val="auto"/>
                      <w:sz w:val="16"/>
                      <w:szCs w:val="16"/>
                      <w:u w:val="none" w:color="auto"/>
                    </w:rPr>
                    <w:t>/</w:t>
                  </w:r>
                </w:p>
              </w:tc>
              <w:tc>
                <w:tcPr>
                  <w:tcW w:w="296" w:type="pct"/>
                  <w:noWrap/>
                  <w:vAlign w:val="center"/>
                </w:tcPr>
                <w:p w14:paraId="0FD9F5B3">
                  <w:pPr>
                    <w:pStyle w:val="68"/>
                    <w:rPr>
                      <w:rFonts w:hint="eastAsia"/>
                      <w:color w:val="auto"/>
                      <w:sz w:val="16"/>
                      <w:szCs w:val="16"/>
                      <w:u w:val="none" w:color="auto"/>
                    </w:rPr>
                  </w:pPr>
                  <w:r>
                    <w:rPr>
                      <w:rFonts w:hint="eastAsia"/>
                      <w:color w:val="auto"/>
                      <w:sz w:val="16"/>
                      <w:szCs w:val="16"/>
                      <w:u w:val="none" w:color="auto"/>
                    </w:rPr>
                    <w:t>/</w:t>
                  </w:r>
                </w:p>
              </w:tc>
              <w:tc>
                <w:tcPr>
                  <w:tcW w:w="308" w:type="pct"/>
                  <w:noWrap/>
                  <w:vAlign w:val="center"/>
                </w:tcPr>
                <w:p w14:paraId="2CA0D013">
                  <w:pPr>
                    <w:pStyle w:val="68"/>
                    <w:rPr>
                      <w:rFonts w:hint="eastAsia"/>
                      <w:color w:val="auto"/>
                      <w:sz w:val="16"/>
                      <w:szCs w:val="16"/>
                      <w:u w:val="none" w:color="auto"/>
                    </w:rPr>
                  </w:pPr>
                  <w:r>
                    <w:rPr>
                      <w:rFonts w:hint="eastAsia"/>
                      <w:color w:val="auto"/>
                      <w:sz w:val="16"/>
                      <w:szCs w:val="16"/>
                      <w:u w:val="none" w:color="auto"/>
                    </w:rPr>
                    <w:t>/</w:t>
                  </w:r>
                </w:p>
              </w:tc>
              <w:tc>
                <w:tcPr>
                  <w:tcW w:w="311" w:type="pct"/>
                  <w:noWrap/>
                  <w:vAlign w:val="center"/>
                </w:tcPr>
                <w:p w14:paraId="3DAE621E">
                  <w:pPr>
                    <w:pStyle w:val="68"/>
                    <w:rPr>
                      <w:color w:val="auto"/>
                      <w:sz w:val="16"/>
                      <w:szCs w:val="16"/>
                      <w:u w:val="none" w:color="auto"/>
                    </w:rPr>
                  </w:pPr>
                  <w:r>
                    <w:rPr>
                      <w:rFonts w:hint="eastAsia"/>
                      <w:color w:val="auto"/>
                      <w:sz w:val="16"/>
                      <w:szCs w:val="16"/>
                      <w:u w:val="none" w:color="auto"/>
                    </w:rPr>
                    <w:t>2.0</w:t>
                  </w:r>
                </w:p>
              </w:tc>
            </w:tr>
            <w:tr w14:paraId="64D40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5" w:type="pct"/>
                  <w:noWrap/>
                  <w:vAlign w:val="center"/>
                </w:tcPr>
                <w:p w14:paraId="17E4BB48">
                  <w:pPr>
                    <w:pStyle w:val="68"/>
                    <w:rPr>
                      <w:color w:val="auto"/>
                      <w:sz w:val="16"/>
                      <w:szCs w:val="16"/>
                      <w:u w:val="none" w:color="auto"/>
                    </w:rPr>
                  </w:pPr>
                  <w:r>
                    <w:rPr>
                      <w:rFonts w:hint="eastAsia"/>
                      <w:color w:val="auto"/>
                      <w:sz w:val="16"/>
                      <w:szCs w:val="16"/>
                      <w:u w:val="none" w:color="auto"/>
                    </w:rPr>
                    <w:t>3</w:t>
                  </w:r>
                </w:p>
              </w:tc>
              <w:tc>
                <w:tcPr>
                  <w:tcW w:w="350" w:type="pct"/>
                  <w:noWrap/>
                  <w:vAlign w:val="center"/>
                </w:tcPr>
                <w:p w14:paraId="1A451F74">
                  <w:pPr>
                    <w:pStyle w:val="68"/>
                    <w:rPr>
                      <w:rFonts w:hint="eastAsia"/>
                      <w:color w:val="auto"/>
                      <w:sz w:val="16"/>
                      <w:szCs w:val="16"/>
                      <w:u w:val="none" w:color="auto"/>
                    </w:rPr>
                  </w:pPr>
                  <w:r>
                    <w:rPr>
                      <w:rFonts w:hint="eastAsia"/>
                      <w:color w:val="auto"/>
                      <w:sz w:val="16"/>
                      <w:szCs w:val="16"/>
                      <w:u w:val="none" w:color="auto"/>
                    </w:rPr>
                    <w:t>注液</w:t>
                  </w:r>
                </w:p>
              </w:tc>
              <w:tc>
                <w:tcPr>
                  <w:tcW w:w="289" w:type="pct"/>
                  <w:noWrap/>
                  <w:vAlign w:val="center"/>
                </w:tcPr>
                <w:p w14:paraId="4B3B66BD">
                  <w:pPr>
                    <w:pStyle w:val="68"/>
                    <w:rPr>
                      <w:rFonts w:hint="eastAsia" w:ascii="Times New Roman" w:hAnsi="Times New Roman" w:cs="Times New Roman"/>
                      <w:color w:val="auto"/>
                      <w:sz w:val="16"/>
                      <w:szCs w:val="16"/>
                      <w:u w:val="none" w:color="auto"/>
                    </w:rPr>
                  </w:pPr>
                  <w:r>
                    <w:rPr>
                      <w:rFonts w:hint="eastAsia" w:ascii="Times New Roman" w:hAnsi="Times New Roman" w:cs="Times New Roman"/>
                      <w:color w:val="auto"/>
                      <w:sz w:val="16"/>
                      <w:szCs w:val="16"/>
                      <w:u w:val="none" w:color="auto"/>
                    </w:rPr>
                    <w:t>非甲烷总烃</w:t>
                  </w:r>
                </w:p>
              </w:tc>
              <w:tc>
                <w:tcPr>
                  <w:tcW w:w="253" w:type="pct"/>
                  <w:noWrap w:val="0"/>
                  <w:vAlign w:val="center"/>
                </w:tcPr>
                <w:p w14:paraId="7E5D56C5">
                  <w:pPr>
                    <w:pStyle w:val="68"/>
                    <w:rPr>
                      <w:rFonts w:hint="eastAsia" w:ascii="Times New Roman" w:hAnsi="Times New Roman" w:eastAsia="宋体" w:cs="Times New Roman"/>
                      <w:color w:val="auto"/>
                      <w:sz w:val="16"/>
                      <w:szCs w:val="16"/>
                      <w:u w:val="none" w:color="auto"/>
                    </w:rPr>
                  </w:pPr>
                  <w:r>
                    <w:rPr>
                      <w:rFonts w:hint="eastAsia" w:ascii="Times New Roman" w:hAnsi="Times New Roman" w:eastAsia="宋体" w:cs="Times New Roman"/>
                      <w:color w:val="auto"/>
                      <w:sz w:val="16"/>
                      <w:szCs w:val="16"/>
                      <w:u w:val="none" w:color="auto"/>
                    </w:rPr>
                    <w:t>0.</w:t>
                  </w:r>
                  <w:r>
                    <w:rPr>
                      <w:rFonts w:hint="eastAsia" w:ascii="Times New Roman" w:hAnsi="Times New Roman" w:eastAsia="宋体" w:cs="Times New Roman"/>
                      <w:color w:val="auto"/>
                      <w:sz w:val="16"/>
                      <w:szCs w:val="16"/>
                      <w:u w:val="none" w:color="auto"/>
                      <w:lang w:val="en-US" w:eastAsia="zh-CN"/>
                    </w:rPr>
                    <w:t>00063</w:t>
                  </w:r>
                </w:p>
              </w:tc>
              <w:tc>
                <w:tcPr>
                  <w:tcW w:w="245" w:type="pct"/>
                  <w:noWrap w:val="0"/>
                  <w:vAlign w:val="center"/>
                </w:tcPr>
                <w:p w14:paraId="153FC706">
                  <w:pPr>
                    <w:pStyle w:val="68"/>
                    <w:rPr>
                      <w:rFonts w:hint="default" w:ascii="Times New Roman" w:hAnsi="Times New Roman" w:eastAsia="宋体" w:cs="Times New Roman"/>
                      <w:color w:val="auto"/>
                      <w:sz w:val="16"/>
                      <w:szCs w:val="16"/>
                      <w:u w:val="none" w:color="auto"/>
                      <w:lang w:val="en-US" w:eastAsia="zh-CN"/>
                    </w:rPr>
                  </w:pPr>
                  <w:r>
                    <w:rPr>
                      <w:rFonts w:hint="eastAsia" w:ascii="Times New Roman" w:hAnsi="Times New Roman" w:eastAsia="宋体" w:cs="Times New Roman"/>
                      <w:color w:val="auto"/>
                      <w:sz w:val="16"/>
                      <w:szCs w:val="16"/>
                      <w:u w:val="none" w:color="auto"/>
                      <w:lang w:val="en-US" w:eastAsia="zh-CN"/>
                    </w:rPr>
                    <w:t>/</w:t>
                  </w:r>
                </w:p>
              </w:tc>
              <w:tc>
                <w:tcPr>
                  <w:tcW w:w="173" w:type="pct"/>
                  <w:noWrap/>
                  <w:vAlign w:val="center"/>
                </w:tcPr>
                <w:p w14:paraId="6B2DD970">
                  <w:pPr>
                    <w:pStyle w:val="68"/>
                    <w:rPr>
                      <w:rFonts w:hint="eastAsia" w:ascii="Times New Roman" w:hAnsi="Times New Roman" w:eastAsia="宋体" w:cs="Times New Roman"/>
                      <w:color w:val="auto"/>
                      <w:sz w:val="16"/>
                      <w:szCs w:val="16"/>
                      <w:u w:val="none" w:color="auto"/>
                    </w:rPr>
                  </w:pPr>
                  <w:r>
                    <w:rPr>
                      <w:rFonts w:hint="eastAsia" w:ascii="Times New Roman" w:hAnsi="Times New Roman" w:eastAsia="宋体" w:cs="Times New Roman"/>
                      <w:color w:val="auto"/>
                      <w:sz w:val="16"/>
                      <w:szCs w:val="16"/>
                      <w:u w:val="none" w:color="auto"/>
                      <w:lang w:val="en-US" w:eastAsia="zh-CN"/>
                    </w:rPr>
                    <w:t>无</w:t>
                  </w:r>
                  <w:r>
                    <w:rPr>
                      <w:rFonts w:hint="eastAsia" w:ascii="Times New Roman" w:hAnsi="Times New Roman" w:eastAsia="宋体" w:cs="Times New Roman"/>
                      <w:color w:val="auto"/>
                      <w:sz w:val="16"/>
                      <w:szCs w:val="16"/>
                      <w:u w:val="none" w:color="auto"/>
                    </w:rPr>
                    <w:t>组织</w:t>
                  </w:r>
                </w:p>
              </w:tc>
              <w:tc>
                <w:tcPr>
                  <w:tcW w:w="249" w:type="pct"/>
                  <w:noWrap w:val="0"/>
                  <w:vAlign w:val="center"/>
                </w:tcPr>
                <w:p w14:paraId="22691E48">
                  <w:pPr>
                    <w:pStyle w:val="68"/>
                    <w:rPr>
                      <w:rFonts w:hint="default" w:ascii="Times New Roman" w:hAnsi="Times New Roman" w:eastAsia="宋体" w:cs="Times New Roman"/>
                      <w:color w:val="auto"/>
                      <w:sz w:val="16"/>
                      <w:szCs w:val="16"/>
                      <w:u w:val="none" w:color="auto"/>
                      <w:lang w:val="en-US" w:eastAsia="zh-CN"/>
                    </w:rPr>
                  </w:pPr>
                  <w:r>
                    <w:rPr>
                      <w:rFonts w:hint="eastAsia" w:ascii="Times New Roman" w:hAnsi="Times New Roman" w:eastAsia="宋体" w:cs="Times New Roman"/>
                      <w:color w:val="auto"/>
                      <w:sz w:val="16"/>
                      <w:szCs w:val="16"/>
                      <w:u w:val="none" w:color="auto"/>
                    </w:rPr>
                    <w:t>/</w:t>
                  </w:r>
                </w:p>
              </w:tc>
              <w:tc>
                <w:tcPr>
                  <w:tcW w:w="179" w:type="pct"/>
                  <w:noWrap w:val="0"/>
                  <w:vAlign w:val="center"/>
                </w:tcPr>
                <w:p w14:paraId="4E1C1EEC">
                  <w:pPr>
                    <w:pStyle w:val="68"/>
                    <w:rPr>
                      <w:rFonts w:hint="default" w:ascii="Times New Roman" w:hAnsi="Times New Roman" w:eastAsia="宋体" w:cs="Times New Roman"/>
                      <w:color w:val="auto"/>
                      <w:sz w:val="16"/>
                      <w:szCs w:val="16"/>
                      <w:u w:val="none" w:color="auto"/>
                      <w:lang w:val="en-US" w:eastAsia="zh-CN"/>
                    </w:rPr>
                  </w:pPr>
                  <w:r>
                    <w:rPr>
                      <w:rFonts w:hint="eastAsia" w:ascii="Times New Roman" w:hAnsi="Times New Roman" w:eastAsia="宋体" w:cs="Times New Roman"/>
                      <w:color w:val="auto"/>
                      <w:sz w:val="16"/>
                      <w:szCs w:val="16"/>
                      <w:u w:val="none" w:color="auto"/>
                    </w:rPr>
                    <w:t>/</w:t>
                  </w:r>
                </w:p>
              </w:tc>
              <w:tc>
                <w:tcPr>
                  <w:tcW w:w="187" w:type="pct"/>
                  <w:noWrap w:val="0"/>
                  <w:vAlign w:val="center"/>
                </w:tcPr>
                <w:p w14:paraId="1C596853">
                  <w:pPr>
                    <w:pStyle w:val="68"/>
                    <w:rPr>
                      <w:rFonts w:hint="default" w:ascii="Times New Roman" w:hAnsi="Times New Roman" w:eastAsia="宋体" w:cs="Times New Roman"/>
                      <w:color w:val="auto"/>
                      <w:sz w:val="16"/>
                      <w:szCs w:val="16"/>
                      <w:u w:val="none" w:color="auto"/>
                      <w:lang w:val="en-US" w:eastAsia="zh-CN"/>
                    </w:rPr>
                  </w:pPr>
                  <w:r>
                    <w:rPr>
                      <w:rFonts w:hint="eastAsia" w:ascii="Times New Roman" w:hAnsi="Times New Roman" w:eastAsia="宋体" w:cs="Times New Roman"/>
                      <w:color w:val="auto"/>
                      <w:sz w:val="16"/>
                      <w:szCs w:val="16"/>
                      <w:u w:val="none" w:color="auto"/>
                    </w:rPr>
                    <w:t>/</w:t>
                  </w:r>
                </w:p>
              </w:tc>
              <w:tc>
                <w:tcPr>
                  <w:tcW w:w="200" w:type="pct"/>
                  <w:noWrap/>
                  <w:vAlign w:val="center"/>
                </w:tcPr>
                <w:p w14:paraId="5E66ADBA">
                  <w:pPr>
                    <w:pStyle w:val="68"/>
                    <w:rPr>
                      <w:rFonts w:hint="eastAsia" w:ascii="Times New Roman" w:hAnsi="Times New Roman" w:eastAsia="宋体" w:cs="Times New Roman"/>
                      <w:color w:val="auto"/>
                      <w:sz w:val="16"/>
                      <w:szCs w:val="16"/>
                      <w:u w:val="none" w:color="auto"/>
                    </w:rPr>
                  </w:pPr>
                  <w:r>
                    <w:rPr>
                      <w:rFonts w:hint="eastAsia" w:ascii="Times New Roman" w:hAnsi="Times New Roman" w:eastAsia="宋体" w:cs="Times New Roman"/>
                      <w:color w:val="auto"/>
                      <w:sz w:val="16"/>
                      <w:szCs w:val="16"/>
                      <w:u w:val="none" w:color="auto"/>
                    </w:rPr>
                    <w:t>/</w:t>
                  </w:r>
                </w:p>
              </w:tc>
              <w:tc>
                <w:tcPr>
                  <w:tcW w:w="251" w:type="pct"/>
                  <w:noWrap/>
                  <w:vAlign w:val="center"/>
                </w:tcPr>
                <w:p w14:paraId="78B553CC">
                  <w:pPr>
                    <w:pStyle w:val="68"/>
                    <w:rPr>
                      <w:rFonts w:hint="eastAsia" w:ascii="Times New Roman" w:hAnsi="Times New Roman" w:eastAsia="宋体" w:cs="Times New Roman"/>
                      <w:color w:val="auto"/>
                      <w:sz w:val="16"/>
                      <w:szCs w:val="16"/>
                      <w:u w:val="none" w:color="auto"/>
                    </w:rPr>
                  </w:pPr>
                  <w:r>
                    <w:rPr>
                      <w:rFonts w:hint="eastAsia" w:ascii="Times New Roman" w:hAnsi="Times New Roman" w:eastAsia="宋体" w:cs="Times New Roman"/>
                      <w:color w:val="auto"/>
                      <w:sz w:val="16"/>
                      <w:szCs w:val="16"/>
                      <w:u w:val="none" w:color="auto"/>
                    </w:rPr>
                    <w:t>/</w:t>
                  </w:r>
                </w:p>
              </w:tc>
              <w:tc>
                <w:tcPr>
                  <w:tcW w:w="202" w:type="pct"/>
                  <w:noWrap/>
                  <w:vAlign w:val="center"/>
                </w:tcPr>
                <w:p w14:paraId="3C41A444">
                  <w:pPr>
                    <w:pStyle w:val="68"/>
                    <w:rPr>
                      <w:rFonts w:hint="default" w:ascii="Times New Roman" w:hAnsi="Times New Roman" w:eastAsia="宋体" w:cs="Times New Roman"/>
                      <w:color w:val="auto"/>
                      <w:sz w:val="16"/>
                      <w:szCs w:val="16"/>
                      <w:u w:val="none" w:color="auto"/>
                      <w:lang w:val="en-US" w:eastAsia="zh-CN"/>
                    </w:rPr>
                  </w:pPr>
                  <w:r>
                    <w:rPr>
                      <w:rFonts w:hint="eastAsia" w:ascii="Times New Roman" w:hAnsi="Times New Roman" w:eastAsia="宋体" w:cs="Times New Roman"/>
                      <w:color w:val="auto"/>
                      <w:sz w:val="16"/>
                      <w:szCs w:val="16"/>
                      <w:u w:val="none" w:color="auto"/>
                    </w:rPr>
                    <w:t>0.</w:t>
                  </w:r>
                  <w:r>
                    <w:rPr>
                      <w:rFonts w:hint="eastAsia" w:ascii="Times New Roman" w:hAnsi="Times New Roman" w:eastAsia="宋体" w:cs="Times New Roman"/>
                      <w:color w:val="auto"/>
                      <w:sz w:val="16"/>
                      <w:szCs w:val="16"/>
                      <w:u w:val="none" w:color="auto"/>
                      <w:lang w:val="en-US" w:eastAsia="zh-CN"/>
                    </w:rPr>
                    <w:t>00063</w:t>
                  </w:r>
                </w:p>
              </w:tc>
              <w:tc>
                <w:tcPr>
                  <w:tcW w:w="215" w:type="pct"/>
                  <w:noWrap/>
                  <w:vAlign w:val="center"/>
                </w:tcPr>
                <w:p w14:paraId="6814DA7E">
                  <w:pPr>
                    <w:pStyle w:val="68"/>
                    <w:rPr>
                      <w:rFonts w:hint="default" w:ascii="Times New Roman" w:hAnsi="Times New Roman" w:eastAsia="宋体" w:cs="Times New Roman"/>
                      <w:color w:val="auto"/>
                      <w:sz w:val="16"/>
                      <w:szCs w:val="16"/>
                      <w:u w:val="none" w:color="auto"/>
                      <w:lang w:val="en-US" w:eastAsia="zh-CN"/>
                    </w:rPr>
                  </w:pPr>
                  <w:r>
                    <w:rPr>
                      <w:rFonts w:hint="eastAsia" w:ascii="Times New Roman" w:hAnsi="Times New Roman" w:eastAsia="宋体" w:cs="Times New Roman"/>
                      <w:color w:val="auto"/>
                      <w:sz w:val="16"/>
                      <w:szCs w:val="16"/>
                      <w:u w:val="none" w:color="auto"/>
                    </w:rPr>
                    <w:t>0.000</w:t>
                  </w:r>
                  <w:r>
                    <w:rPr>
                      <w:rFonts w:hint="eastAsia" w:ascii="Times New Roman" w:hAnsi="Times New Roman" w:eastAsia="宋体" w:cs="Times New Roman"/>
                      <w:color w:val="auto"/>
                      <w:sz w:val="16"/>
                      <w:szCs w:val="16"/>
                      <w:u w:val="none" w:color="auto"/>
                      <w:lang w:val="en-US" w:eastAsia="zh-CN"/>
                    </w:rPr>
                    <w:t>105</w:t>
                  </w:r>
                </w:p>
              </w:tc>
              <w:tc>
                <w:tcPr>
                  <w:tcW w:w="143" w:type="pct"/>
                  <w:noWrap/>
                  <w:vAlign w:val="center"/>
                </w:tcPr>
                <w:p w14:paraId="12CDCDD6">
                  <w:pPr>
                    <w:pStyle w:val="68"/>
                    <w:rPr>
                      <w:rFonts w:hint="default" w:ascii="Times New Roman" w:hAnsi="Times New Roman" w:eastAsia="宋体" w:cs="Times New Roman"/>
                      <w:color w:val="auto"/>
                      <w:sz w:val="16"/>
                      <w:szCs w:val="16"/>
                      <w:u w:val="none" w:color="auto"/>
                      <w:lang w:val="en-US" w:eastAsia="zh-CN"/>
                    </w:rPr>
                  </w:pPr>
                  <w:r>
                    <w:rPr>
                      <w:rFonts w:hint="eastAsia" w:ascii="Times New Roman" w:hAnsi="Times New Roman" w:eastAsia="宋体" w:cs="Times New Roman"/>
                      <w:color w:val="auto"/>
                      <w:sz w:val="16"/>
                      <w:szCs w:val="16"/>
                      <w:u w:val="none" w:color="auto"/>
                    </w:rPr>
                    <w:t>/</w:t>
                  </w:r>
                </w:p>
              </w:tc>
              <w:tc>
                <w:tcPr>
                  <w:tcW w:w="196" w:type="pct"/>
                  <w:noWrap w:val="0"/>
                  <w:vAlign w:val="center"/>
                </w:tcPr>
                <w:p w14:paraId="54771E9A">
                  <w:pPr>
                    <w:pStyle w:val="68"/>
                    <w:ind w:right="0" w:rightChars="0" w:firstLine="0" w:firstLineChars="0"/>
                    <w:rPr>
                      <w:rFonts w:hint="default" w:ascii="Times New Roman" w:hAnsi="Times New Roman" w:cs="Times New Roman"/>
                      <w:color w:val="auto"/>
                      <w:sz w:val="16"/>
                      <w:szCs w:val="16"/>
                      <w:u w:val="none" w:color="auto"/>
                      <w:lang w:val="en-US" w:eastAsia="zh-CN"/>
                    </w:rPr>
                  </w:pPr>
                  <w:r>
                    <w:rPr>
                      <w:rFonts w:hint="eastAsia" w:ascii="Times New Roman" w:hAnsi="Times New Roman" w:cs="Times New Roman"/>
                      <w:color w:val="auto"/>
                      <w:sz w:val="16"/>
                      <w:szCs w:val="16"/>
                      <w:u w:val="none" w:color="auto"/>
                    </w:rPr>
                    <w:t>/</w:t>
                  </w:r>
                </w:p>
              </w:tc>
              <w:tc>
                <w:tcPr>
                  <w:tcW w:w="161" w:type="pct"/>
                  <w:noWrap w:val="0"/>
                  <w:vAlign w:val="center"/>
                </w:tcPr>
                <w:p w14:paraId="5B5A3B4C">
                  <w:pPr>
                    <w:pStyle w:val="68"/>
                    <w:ind w:right="0" w:rightChars="0" w:firstLine="0" w:firstLineChars="0"/>
                    <w:rPr>
                      <w:rFonts w:hint="default" w:eastAsia="宋体"/>
                      <w:color w:val="auto"/>
                      <w:sz w:val="16"/>
                      <w:szCs w:val="16"/>
                      <w:u w:val="none" w:color="auto"/>
                      <w:lang w:val="en-US" w:eastAsia="zh-CN"/>
                    </w:rPr>
                  </w:pPr>
                  <w:r>
                    <w:rPr>
                      <w:rFonts w:hint="eastAsia"/>
                      <w:color w:val="auto"/>
                      <w:sz w:val="16"/>
                      <w:szCs w:val="16"/>
                      <w:u w:val="none" w:color="auto"/>
                    </w:rPr>
                    <w:t>/</w:t>
                  </w:r>
                </w:p>
              </w:tc>
              <w:tc>
                <w:tcPr>
                  <w:tcW w:w="143" w:type="pct"/>
                  <w:noWrap w:val="0"/>
                  <w:vAlign w:val="center"/>
                </w:tcPr>
                <w:p w14:paraId="2C6B21C9">
                  <w:pPr>
                    <w:pStyle w:val="68"/>
                    <w:ind w:right="0" w:rightChars="0" w:firstLine="0" w:firstLineChars="0"/>
                    <w:rPr>
                      <w:rFonts w:hint="default" w:eastAsia="宋体"/>
                      <w:color w:val="auto"/>
                      <w:sz w:val="16"/>
                      <w:szCs w:val="16"/>
                      <w:u w:val="none" w:color="auto"/>
                      <w:lang w:val="en-US" w:eastAsia="zh-CN"/>
                    </w:rPr>
                  </w:pPr>
                  <w:r>
                    <w:rPr>
                      <w:rFonts w:hint="eastAsia"/>
                      <w:color w:val="auto"/>
                      <w:sz w:val="16"/>
                      <w:szCs w:val="16"/>
                      <w:u w:val="none" w:color="auto"/>
                    </w:rPr>
                    <w:t>/</w:t>
                  </w:r>
                </w:p>
              </w:tc>
              <w:tc>
                <w:tcPr>
                  <w:tcW w:w="242" w:type="pct"/>
                  <w:noWrap w:val="0"/>
                  <w:vAlign w:val="center"/>
                </w:tcPr>
                <w:p w14:paraId="279585C3">
                  <w:pPr>
                    <w:pStyle w:val="68"/>
                    <w:ind w:right="0" w:rightChars="0" w:firstLine="0" w:firstLineChars="0"/>
                    <w:rPr>
                      <w:rFonts w:hint="eastAsia" w:eastAsia="宋体"/>
                      <w:color w:val="auto"/>
                      <w:sz w:val="16"/>
                      <w:szCs w:val="16"/>
                      <w:u w:val="none" w:color="auto"/>
                      <w:lang w:eastAsia="zh-CN"/>
                    </w:rPr>
                  </w:pPr>
                  <w:r>
                    <w:rPr>
                      <w:rFonts w:hint="eastAsia"/>
                      <w:color w:val="auto"/>
                      <w:sz w:val="16"/>
                      <w:szCs w:val="16"/>
                      <w:u w:val="none" w:color="auto"/>
                    </w:rPr>
                    <w:t>/</w:t>
                  </w:r>
                </w:p>
              </w:tc>
              <w:tc>
                <w:tcPr>
                  <w:tcW w:w="251" w:type="pct"/>
                  <w:noWrap w:val="0"/>
                  <w:vAlign w:val="center"/>
                </w:tcPr>
                <w:p w14:paraId="451F8598">
                  <w:pPr>
                    <w:pStyle w:val="68"/>
                    <w:ind w:right="0" w:rightChars="0" w:firstLine="0" w:firstLineChars="0"/>
                    <w:rPr>
                      <w:rFonts w:hint="eastAsia"/>
                      <w:color w:val="auto"/>
                      <w:sz w:val="16"/>
                      <w:szCs w:val="16"/>
                      <w:u w:val="none" w:color="auto"/>
                    </w:rPr>
                  </w:pPr>
                  <w:r>
                    <w:rPr>
                      <w:rFonts w:hint="eastAsia"/>
                      <w:color w:val="auto"/>
                      <w:sz w:val="16"/>
                      <w:szCs w:val="16"/>
                      <w:u w:val="none" w:color="auto"/>
                    </w:rPr>
                    <w:t>/</w:t>
                  </w:r>
                </w:p>
              </w:tc>
              <w:tc>
                <w:tcPr>
                  <w:tcW w:w="296" w:type="pct"/>
                  <w:noWrap w:val="0"/>
                  <w:vAlign w:val="center"/>
                </w:tcPr>
                <w:p w14:paraId="586400A7">
                  <w:pPr>
                    <w:pStyle w:val="68"/>
                    <w:ind w:right="0" w:rightChars="0" w:firstLine="0" w:firstLineChars="0"/>
                    <w:rPr>
                      <w:rFonts w:hint="default"/>
                      <w:color w:val="auto"/>
                      <w:sz w:val="16"/>
                      <w:szCs w:val="16"/>
                      <w:u w:val="none" w:color="auto"/>
                      <w:lang w:val="en-US"/>
                    </w:rPr>
                  </w:pPr>
                  <w:r>
                    <w:rPr>
                      <w:rFonts w:hint="eastAsia"/>
                      <w:color w:val="auto"/>
                      <w:sz w:val="16"/>
                      <w:szCs w:val="16"/>
                      <w:u w:val="none" w:color="auto"/>
                    </w:rPr>
                    <w:t>/</w:t>
                  </w:r>
                </w:p>
              </w:tc>
              <w:tc>
                <w:tcPr>
                  <w:tcW w:w="308" w:type="pct"/>
                  <w:noWrap w:val="0"/>
                  <w:vAlign w:val="center"/>
                </w:tcPr>
                <w:p w14:paraId="23881029">
                  <w:pPr>
                    <w:pStyle w:val="68"/>
                    <w:ind w:right="0" w:rightChars="0" w:firstLine="0" w:firstLineChars="0"/>
                    <w:rPr>
                      <w:rFonts w:hint="default"/>
                      <w:color w:val="auto"/>
                      <w:sz w:val="16"/>
                      <w:szCs w:val="16"/>
                      <w:u w:val="none" w:color="auto"/>
                      <w:lang w:val="en-US"/>
                    </w:rPr>
                  </w:pPr>
                  <w:r>
                    <w:rPr>
                      <w:rFonts w:hint="eastAsia"/>
                      <w:color w:val="auto"/>
                      <w:sz w:val="16"/>
                      <w:szCs w:val="16"/>
                      <w:u w:val="none" w:color="auto"/>
                    </w:rPr>
                    <w:t>/</w:t>
                  </w:r>
                </w:p>
              </w:tc>
              <w:tc>
                <w:tcPr>
                  <w:tcW w:w="311" w:type="pct"/>
                  <w:noWrap/>
                  <w:vAlign w:val="center"/>
                </w:tcPr>
                <w:p w14:paraId="2C36E078">
                  <w:pPr>
                    <w:pStyle w:val="68"/>
                    <w:ind w:right="0" w:rightChars="0" w:firstLine="0" w:firstLineChars="0"/>
                    <w:rPr>
                      <w:color w:val="auto"/>
                      <w:sz w:val="16"/>
                      <w:szCs w:val="16"/>
                      <w:u w:val="none" w:color="auto"/>
                    </w:rPr>
                  </w:pPr>
                  <w:r>
                    <w:rPr>
                      <w:rFonts w:hint="eastAsia"/>
                      <w:color w:val="auto"/>
                      <w:sz w:val="16"/>
                      <w:szCs w:val="16"/>
                      <w:u w:val="none" w:color="auto"/>
                    </w:rPr>
                    <w:t>2.0</w:t>
                  </w:r>
                </w:p>
              </w:tc>
            </w:tr>
            <w:tr w14:paraId="5F104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5" w:type="pct"/>
                  <w:noWrap/>
                  <w:vAlign w:val="center"/>
                </w:tcPr>
                <w:p w14:paraId="6B38C550">
                  <w:pPr>
                    <w:pStyle w:val="68"/>
                    <w:rPr>
                      <w:rFonts w:hint="eastAsia" w:eastAsia="宋体"/>
                      <w:color w:val="auto"/>
                      <w:sz w:val="16"/>
                      <w:szCs w:val="16"/>
                      <w:u w:val="none" w:color="auto"/>
                      <w:lang w:val="en-US" w:eastAsia="zh-CN"/>
                    </w:rPr>
                  </w:pPr>
                  <w:r>
                    <w:rPr>
                      <w:rFonts w:hint="eastAsia"/>
                      <w:color w:val="auto"/>
                      <w:sz w:val="16"/>
                      <w:szCs w:val="16"/>
                      <w:u w:val="none" w:color="auto"/>
                      <w:lang w:val="en-US" w:eastAsia="zh-CN"/>
                    </w:rPr>
                    <w:t>4</w:t>
                  </w:r>
                </w:p>
              </w:tc>
              <w:tc>
                <w:tcPr>
                  <w:tcW w:w="350" w:type="pct"/>
                  <w:noWrap/>
                  <w:vAlign w:val="center"/>
                </w:tcPr>
                <w:p w14:paraId="0AA4E245">
                  <w:pPr>
                    <w:pStyle w:val="68"/>
                    <w:rPr>
                      <w:rFonts w:hint="default" w:eastAsia="宋体"/>
                      <w:color w:val="auto"/>
                      <w:sz w:val="16"/>
                      <w:szCs w:val="16"/>
                      <w:u w:val="none" w:color="auto"/>
                      <w:lang w:val="en-US" w:eastAsia="zh-CN"/>
                    </w:rPr>
                  </w:pPr>
                  <w:r>
                    <w:rPr>
                      <w:rFonts w:hint="eastAsia"/>
                      <w:color w:val="auto"/>
                      <w:sz w:val="16"/>
                      <w:szCs w:val="16"/>
                      <w:u w:val="none" w:color="auto"/>
                      <w:lang w:val="en-US" w:eastAsia="zh-CN"/>
                    </w:rPr>
                    <w:t>喷码</w:t>
                  </w:r>
                </w:p>
              </w:tc>
              <w:tc>
                <w:tcPr>
                  <w:tcW w:w="289" w:type="pct"/>
                  <w:noWrap/>
                  <w:vAlign w:val="center"/>
                </w:tcPr>
                <w:p w14:paraId="078A5D52">
                  <w:pPr>
                    <w:pStyle w:val="68"/>
                    <w:rPr>
                      <w:rFonts w:hint="eastAsia" w:ascii="Times New Roman" w:hAnsi="Times New Roman" w:cs="Times New Roman"/>
                      <w:color w:val="auto"/>
                      <w:sz w:val="16"/>
                      <w:szCs w:val="16"/>
                      <w:u w:val="none" w:color="auto"/>
                    </w:rPr>
                  </w:pPr>
                  <w:r>
                    <w:rPr>
                      <w:rFonts w:hint="eastAsia"/>
                      <w:color w:val="auto"/>
                      <w:sz w:val="16"/>
                      <w:szCs w:val="16"/>
                      <w:u w:val="none" w:color="auto"/>
                    </w:rPr>
                    <w:t>非甲烷总烃</w:t>
                  </w:r>
                </w:p>
              </w:tc>
              <w:tc>
                <w:tcPr>
                  <w:tcW w:w="253" w:type="pct"/>
                  <w:noWrap w:val="0"/>
                  <w:vAlign w:val="center"/>
                </w:tcPr>
                <w:p w14:paraId="77C99EA2">
                  <w:pPr>
                    <w:pStyle w:val="68"/>
                    <w:rPr>
                      <w:rFonts w:hint="default" w:ascii="Times New Roman" w:hAnsi="Times New Roman" w:eastAsia="宋体" w:cs="Times New Roman"/>
                      <w:color w:val="auto"/>
                      <w:sz w:val="16"/>
                      <w:szCs w:val="16"/>
                      <w:u w:val="none" w:color="auto"/>
                      <w:lang w:val="en-US" w:eastAsia="zh-CN"/>
                    </w:rPr>
                  </w:pPr>
                  <w:r>
                    <w:rPr>
                      <w:rFonts w:hint="eastAsia" w:cs="Times New Roman"/>
                      <w:color w:val="auto"/>
                      <w:sz w:val="16"/>
                      <w:szCs w:val="16"/>
                      <w:u w:val="none" w:color="auto"/>
                      <w:lang w:val="en-US" w:eastAsia="zh-CN"/>
                    </w:rPr>
                    <w:t>0.006</w:t>
                  </w:r>
                </w:p>
              </w:tc>
              <w:tc>
                <w:tcPr>
                  <w:tcW w:w="245" w:type="pct"/>
                  <w:noWrap w:val="0"/>
                  <w:vAlign w:val="center"/>
                </w:tcPr>
                <w:p w14:paraId="72A15E4F">
                  <w:pPr>
                    <w:pStyle w:val="68"/>
                    <w:rPr>
                      <w:rFonts w:hint="eastAsia" w:ascii="Times New Roman" w:hAnsi="Times New Roman" w:eastAsia="宋体" w:cs="Times New Roman"/>
                      <w:color w:val="auto"/>
                      <w:sz w:val="16"/>
                      <w:szCs w:val="16"/>
                      <w:u w:val="none" w:color="auto"/>
                      <w:lang w:val="en-US" w:eastAsia="zh-CN"/>
                    </w:rPr>
                  </w:pPr>
                  <w:r>
                    <w:rPr>
                      <w:rFonts w:hint="eastAsia" w:ascii="Times New Roman" w:hAnsi="Times New Roman" w:eastAsia="宋体" w:cs="Times New Roman"/>
                      <w:color w:val="auto"/>
                      <w:sz w:val="16"/>
                      <w:szCs w:val="16"/>
                      <w:u w:val="none" w:color="auto"/>
                      <w:lang w:val="en-US" w:eastAsia="zh-CN"/>
                    </w:rPr>
                    <w:t>/</w:t>
                  </w:r>
                </w:p>
              </w:tc>
              <w:tc>
                <w:tcPr>
                  <w:tcW w:w="173" w:type="pct"/>
                  <w:noWrap/>
                  <w:vAlign w:val="center"/>
                </w:tcPr>
                <w:p w14:paraId="473F7C73">
                  <w:pPr>
                    <w:pStyle w:val="68"/>
                    <w:rPr>
                      <w:rFonts w:hint="eastAsia" w:ascii="Times New Roman" w:hAnsi="Times New Roman" w:eastAsia="宋体" w:cs="Times New Roman"/>
                      <w:color w:val="auto"/>
                      <w:sz w:val="16"/>
                      <w:szCs w:val="16"/>
                      <w:u w:val="none" w:color="auto"/>
                      <w:lang w:val="en-US" w:eastAsia="zh-CN"/>
                    </w:rPr>
                  </w:pPr>
                  <w:r>
                    <w:rPr>
                      <w:rFonts w:hint="eastAsia" w:ascii="Times New Roman" w:hAnsi="Times New Roman" w:eastAsia="宋体" w:cs="Times New Roman"/>
                      <w:color w:val="auto"/>
                      <w:sz w:val="16"/>
                      <w:szCs w:val="16"/>
                      <w:u w:val="none" w:color="auto"/>
                      <w:lang w:val="en-US" w:eastAsia="zh-CN"/>
                    </w:rPr>
                    <w:t>无</w:t>
                  </w:r>
                  <w:r>
                    <w:rPr>
                      <w:rFonts w:hint="eastAsia" w:ascii="Times New Roman" w:hAnsi="Times New Roman" w:eastAsia="宋体" w:cs="Times New Roman"/>
                      <w:color w:val="auto"/>
                      <w:sz w:val="16"/>
                      <w:szCs w:val="16"/>
                      <w:u w:val="none" w:color="auto"/>
                    </w:rPr>
                    <w:t>组织</w:t>
                  </w:r>
                </w:p>
              </w:tc>
              <w:tc>
                <w:tcPr>
                  <w:tcW w:w="249" w:type="pct"/>
                  <w:shd w:val="clear" w:color="auto" w:fill="auto"/>
                  <w:noWrap w:val="0"/>
                  <w:vAlign w:val="center"/>
                </w:tcPr>
                <w:p w14:paraId="559DD533">
                  <w:pPr>
                    <w:pStyle w:val="68"/>
                    <w:ind w:right="0" w:rightChars="0" w:firstLine="0" w:firstLineChars="0"/>
                    <w:rPr>
                      <w:rFonts w:hint="eastAsia" w:ascii="Times New Roman" w:hAnsi="Times New Roman" w:eastAsia="宋体" w:cs="Times New Roman"/>
                      <w:color w:val="auto"/>
                      <w:kern w:val="0"/>
                      <w:sz w:val="16"/>
                      <w:szCs w:val="16"/>
                      <w:u w:val="none" w:color="auto"/>
                      <w:lang w:val="en-US" w:eastAsia="zh-CN" w:bidi="ar-SA"/>
                    </w:rPr>
                  </w:pPr>
                  <w:r>
                    <w:rPr>
                      <w:rFonts w:hint="eastAsia" w:ascii="Times New Roman" w:hAnsi="Times New Roman" w:eastAsia="宋体" w:cs="Times New Roman"/>
                      <w:color w:val="auto"/>
                      <w:sz w:val="16"/>
                      <w:szCs w:val="16"/>
                      <w:u w:val="none" w:color="auto"/>
                    </w:rPr>
                    <w:t>/</w:t>
                  </w:r>
                </w:p>
              </w:tc>
              <w:tc>
                <w:tcPr>
                  <w:tcW w:w="179" w:type="pct"/>
                  <w:shd w:val="clear" w:color="auto" w:fill="auto"/>
                  <w:noWrap w:val="0"/>
                  <w:vAlign w:val="center"/>
                </w:tcPr>
                <w:p w14:paraId="410BF10C">
                  <w:pPr>
                    <w:pStyle w:val="68"/>
                    <w:ind w:right="0" w:rightChars="0" w:firstLine="0" w:firstLineChars="0"/>
                    <w:rPr>
                      <w:rFonts w:hint="eastAsia" w:ascii="Times New Roman" w:hAnsi="Times New Roman" w:eastAsia="宋体" w:cs="Times New Roman"/>
                      <w:color w:val="auto"/>
                      <w:kern w:val="0"/>
                      <w:sz w:val="16"/>
                      <w:szCs w:val="16"/>
                      <w:u w:val="none" w:color="auto"/>
                      <w:lang w:val="en-US" w:eastAsia="zh-CN" w:bidi="ar-SA"/>
                    </w:rPr>
                  </w:pPr>
                  <w:r>
                    <w:rPr>
                      <w:rFonts w:hint="eastAsia" w:ascii="Times New Roman" w:hAnsi="Times New Roman" w:eastAsia="宋体" w:cs="Times New Roman"/>
                      <w:color w:val="auto"/>
                      <w:sz w:val="16"/>
                      <w:szCs w:val="16"/>
                      <w:u w:val="none" w:color="auto"/>
                    </w:rPr>
                    <w:t>/</w:t>
                  </w:r>
                </w:p>
              </w:tc>
              <w:tc>
                <w:tcPr>
                  <w:tcW w:w="187" w:type="pct"/>
                  <w:shd w:val="clear" w:color="auto" w:fill="auto"/>
                  <w:noWrap w:val="0"/>
                  <w:vAlign w:val="center"/>
                </w:tcPr>
                <w:p w14:paraId="20E6C16E">
                  <w:pPr>
                    <w:pStyle w:val="68"/>
                    <w:ind w:right="0" w:rightChars="0" w:firstLine="0" w:firstLineChars="0"/>
                    <w:rPr>
                      <w:rFonts w:hint="eastAsia" w:ascii="Times New Roman" w:hAnsi="Times New Roman" w:eastAsia="宋体" w:cs="Times New Roman"/>
                      <w:color w:val="auto"/>
                      <w:kern w:val="0"/>
                      <w:sz w:val="16"/>
                      <w:szCs w:val="16"/>
                      <w:u w:val="none" w:color="auto"/>
                      <w:lang w:val="en-US" w:eastAsia="zh-CN" w:bidi="ar-SA"/>
                    </w:rPr>
                  </w:pPr>
                  <w:r>
                    <w:rPr>
                      <w:rFonts w:hint="eastAsia" w:ascii="Times New Roman" w:hAnsi="Times New Roman" w:eastAsia="宋体" w:cs="Times New Roman"/>
                      <w:color w:val="auto"/>
                      <w:sz w:val="16"/>
                      <w:szCs w:val="16"/>
                      <w:u w:val="none" w:color="auto"/>
                    </w:rPr>
                    <w:t>/</w:t>
                  </w:r>
                </w:p>
              </w:tc>
              <w:tc>
                <w:tcPr>
                  <w:tcW w:w="200" w:type="pct"/>
                  <w:shd w:val="clear" w:color="auto" w:fill="auto"/>
                  <w:noWrap/>
                  <w:vAlign w:val="center"/>
                </w:tcPr>
                <w:p w14:paraId="793FF3E8">
                  <w:pPr>
                    <w:pStyle w:val="68"/>
                    <w:ind w:right="0" w:rightChars="0" w:firstLine="0" w:firstLineChars="0"/>
                    <w:rPr>
                      <w:rFonts w:hint="eastAsia" w:ascii="Times New Roman" w:hAnsi="Times New Roman" w:eastAsia="宋体" w:cs="Times New Roman"/>
                      <w:color w:val="auto"/>
                      <w:kern w:val="0"/>
                      <w:sz w:val="16"/>
                      <w:szCs w:val="16"/>
                      <w:u w:val="none" w:color="auto"/>
                      <w:lang w:val="en-US" w:eastAsia="zh-CN" w:bidi="ar-SA"/>
                    </w:rPr>
                  </w:pPr>
                  <w:r>
                    <w:rPr>
                      <w:rFonts w:hint="eastAsia" w:ascii="Times New Roman" w:hAnsi="Times New Roman" w:eastAsia="宋体" w:cs="Times New Roman"/>
                      <w:color w:val="auto"/>
                      <w:sz w:val="16"/>
                      <w:szCs w:val="16"/>
                      <w:u w:val="none" w:color="auto"/>
                    </w:rPr>
                    <w:t>/</w:t>
                  </w:r>
                </w:p>
              </w:tc>
              <w:tc>
                <w:tcPr>
                  <w:tcW w:w="251" w:type="pct"/>
                  <w:shd w:val="clear" w:color="auto" w:fill="auto"/>
                  <w:noWrap/>
                  <w:vAlign w:val="center"/>
                </w:tcPr>
                <w:p w14:paraId="776FAD8B">
                  <w:pPr>
                    <w:pStyle w:val="68"/>
                    <w:ind w:right="0" w:rightChars="0" w:firstLine="0" w:firstLineChars="0"/>
                    <w:rPr>
                      <w:rFonts w:hint="eastAsia" w:ascii="Times New Roman" w:hAnsi="Times New Roman" w:eastAsia="宋体" w:cs="Times New Roman"/>
                      <w:color w:val="auto"/>
                      <w:kern w:val="0"/>
                      <w:sz w:val="16"/>
                      <w:szCs w:val="16"/>
                      <w:u w:val="none" w:color="auto"/>
                      <w:lang w:val="en-US" w:eastAsia="zh-CN" w:bidi="ar-SA"/>
                    </w:rPr>
                  </w:pPr>
                  <w:r>
                    <w:rPr>
                      <w:rFonts w:hint="eastAsia" w:ascii="Times New Roman" w:hAnsi="Times New Roman" w:eastAsia="宋体" w:cs="Times New Roman"/>
                      <w:color w:val="auto"/>
                      <w:sz w:val="16"/>
                      <w:szCs w:val="16"/>
                      <w:u w:val="none" w:color="auto"/>
                    </w:rPr>
                    <w:t>/</w:t>
                  </w:r>
                </w:p>
              </w:tc>
              <w:tc>
                <w:tcPr>
                  <w:tcW w:w="202" w:type="pct"/>
                  <w:shd w:val="clear" w:color="auto" w:fill="auto"/>
                  <w:noWrap/>
                  <w:vAlign w:val="center"/>
                </w:tcPr>
                <w:p w14:paraId="770745F7">
                  <w:pPr>
                    <w:pStyle w:val="68"/>
                    <w:ind w:right="0" w:rightChars="0" w:firstLine="0" w:firstLineChars="0"/>
                    <w:rPr>
                      <w:rFonts w:hint="default" w:ascii="Times New Roman" w:hAnsi="Times New Roman" w:eastAsia="宋体" w:cs="Times New Roman"/>
                      <w:color w:val="auto"/>
                      <w:kern w:val="0"/>
                      <w:sz w:val="16"/>
                      <w:szCs w:val="16"/>
                      <w:u w:val="none" w:color="auto"/>
                      <w:lang w:val="en-US" w:eastAsia="zh-CN" w:bidi="ar-SA"/>
                    </w:rPr>
                  </w:pPr>
                  <w:r>
                    <w:rPr>
                      <w:rFonts w:hint="eastAsia" w:ascii="Times New Roman" w:hAnsi="Times New Roman" w:eastAsia="宋体" w:cs="Times New Roman"/>
                      <w:color w:val="auto"/>
                      <w:sz w:val="16"/>
                      <w:szCs w:val="16"/>
                      <w:u w:val="none" w:color="auto"/>
                    </w:rPr>
                    <w:t>0.</w:t>
                  </w:r>
                  <w:r>
                    <w:rPr>
                      <w:rFonts w:hint="eastAsia" w:ascii="Times New Roman" w:hAnsi="Times New Roman" w:eastAsia="宋体" w:cs="Times New Roman"/>
                      <w:color w:val="auto"/>
                      <w:sz w:val="16"/>
                      <w:szCs w:val="16"/>
                      <w:u w:val="none" w:color="auto"/>
                      <w:lang w:val="en-US" w:eastAsia="zh-CN"/>
                    </w:rPr>
                    <w:t>00</w:t>
                  </w:r>
                  <w:r>
                    <w:rPr>
                      <w:rFonts w:hint="eastAsia" w:cs="Times New Roman"/>
                      <w:color w:val="auto"/>
                      <w:sz w:val="16"/>
                      <w:szCs w:val="16"/>
                      <w:u w:val="none" w:color="auto"/>
                      <w:lang w:val="en-US" w:eastAsia="zh-CN"/>
                    </w:rPr>
                    <w:t>6</w:t>
                  </w:r>
                </w:p>
              </w:tc>
              <w:tc>
                <w:tcPr>
                  <w:tcW w:w="215" w:type="pct"/>
                  <w:shd w:val="clear" w:color="auto" w:fill="auto"/>
                  <w:noWrap/>
                  <w:vAlign w:val="center"/>
                </w:tcPr>
                <w:p w14:paraId="03673CD2">
                  <w:pPr>
                    <w:pStyle w:val="68"/>
                    <w:ind w:right="0" w:rightChars="0" w:firstLine="0" w:firstLineChars="0"/>
                    <w:rPr>
                      <w:rFonts w:hint="default" w:ascii="Times New Roman" w:hAnsi="Times New Roman" w:eastAsia="宋体" w:cs="Times New Roman"/>
                      <w:color w:val="auto"/>
                      <w:kern w:val="0"/>
                      <w:sz w:val="16"/>
                      <w:szCs w:val="16"/>
                      <w:u w:val="none" w:color="auto"/>
                      <w:lang w:val="en-US" w:eastAsia="zh-CN" w:bidi="ar-SA"/>
                    </w:rPr>
                  </w:pPr>
                  <w:r>
                    <w:rPr>
                      <w:rFonts w:hint="eastAsia" w:ascii="Times New Roman" w:hAnsi="Times New Roman" w:eastAsia="宋体" w:cs="Times New Roman"/>
                      <w:color w:val="auto"/>
                      <w:sz w:val="16"/>
                      <w:szCs w:val="16"/>
                      <w:u w:val="none" w:color="auto"/>
                    </w:rPr>
                    <w:t>0.00</w:t>
                  </w:r>
                  <w:r>
                    <w:rPr>
                      <w:rFonts w:hint="eastAsia" w:cs="Times New Roman"/>
                      <w:color w:val="auto"/>
                      <w:sz w:val="16"/>
                      <w:szCs w:val="16"/>
                      <w:u w:val="none" w:color="auto"/>
                      <w:lang w:val="en-US" w:eastAsia="zh-CN"/>
                    </w:rPr>
                    <w:t>13</w:t>
                  </w:r>
                </w:p>
              </w:tc>
              <w:tc>
                <w:tcPr>
                  <w:tcW w:w="143" w:type="pct"/>
                  <w:shd w:val="clear" w:color="auto" w:fill="auto"/>
                  <w:noWrap/>
                  <w:vAlign w:val="center"/>
                </w:tcPr>
                <w:p w14:paraId="0C5B0A83">
                  <w:pPr>
                    <w:pStyle w:val="68"/>
                    <w:ind w:right="0" w:rightChars="0" w:firstLine="0" w:firstLineChars="0"/>
                    <w:rPr>
                      <w:rFonts w:hint="eastAsia" w:ascii="Times New Roman" w:hAnsi="Times New Roman" w:eastAsia="宋体" w:cs="Times New Roman"/>
                      <w:color w:val="auto"/>
                      <w:kern w:val="0"/>
                      <w:sz w:val="16"/>
                      <w:szCs w:val="16"/>
                      <w:u w:val="none" w:color="auto"/>
                      <w:lang w:val="en-US" w:eastAsia="zh-CN" w:bidi="ar-SA"/>
                    </w:rPr>
                  </w:pPr>
                  <w:r>
                    <w:rPr>
                      <w:rFonts w:hint="eastAsia" w:ascii="Times New Roman" w:hAnsi="Times New Roman" w:eastAsia="宋体" w:cs="Times New Roman"/>
                      <w:color w:val="auto"/>
                      <w:sz w:val="16"/>
                      <w:szCs w:val="16"/>
                      <w:u w:val="none" w:color="auto"/>
                    </w:rPr>
                    <w:t>/</w:t>
                  </w:r>
                </w:p>
              </w:tc>
              <w:tc>
                <w:tcPr>
                  <w:tcW w:w="196" w:type="pct"/>
                  <w:shd w:val="clear" w:color="auto" w:fill="auto"/>
                  <w:noWrap w:val="0"/>
                  <w:vAlign w:val="center"/>
                </w:tcPr>
                <w:p w14:paraId="78087C56">
                  <w:pPr>
                    <w:pStyle w:val="68"/>
                    <w:ind w:right="0" w:rightChars="0" w:firstLine="0" w:firstLineChars="0"/>
                    <w:rPr>
                      <w:rFonts w:hint="eastAsia" w:ascii="Times New Roman" w:hAnsi="Times New Roman" w:eastAsia="宋体" w:cs="Times New Roman"/>
                      <w:color w:val="auto"/>
                      <w:kern w:val="0"/>
                      <w:sz w:val="16"/>
                      <w:szCs w:val="16"/>
                      <w:u w:val="none" w:color="auto"/>
                      <w:lang w:val="en-US" w:eastAsia="zh-CN" w:bidi="ar-SA"/>
                    </w:rPr>
                  </w:pPr>
                  <w:r>
                    <w:rPr>
                      <w:rFonts w:hint="eastAsia" w:ascii="Times New Roman" w:hAnsi="Times New Roman" w:cs="Times New Roman"/>
                      <w:color w:val="auto"/>
                      <w:sz w:val="16"/>
                      <w:szCs w:val="16"/>
                      <w:u w:val="none" w:color="auto"/>
                    </w:rPr>
                    <w:t>/</w:t>
                  </w:r>
                </w:p>
              </w:tc>
              <w:tc>
                <w:tcPr>
                  <w:tcW w:w="161" w:type="pct"/>
                  <w:shd w:val="clear" w:color="auto" w:fill="auto"/>
                  <w:noWrap w:val="0"/>
                  <w:vAlign w:val="center"/>
                </w:tcPr>
                <w:p w14:paraId="7DB537A8">
                  <w:pPr>
                    <w:pStyle w:val="68"/>
                    <w:ind w:right="0" w:rightChars="0" w:firstLine="0" w:firstLineChars="0"/>
                    <w:rPr>
                      <w:rFonts w:hint="eastAsia" w:ascii="Times New Roman" w:hAnsi="Times New Roman" w:eastAsia="宋体" w:cs="Times New Roman"/>
                      <w:color w:val="auto"/>
                      <w:kern w:val="0"/>
                      <w:sz w:val="16"/>
                      <w:szCs w:val="16"/>
                      <w:u w:val="none" w:color="auto"/>
                      <w:lang w:val="en-US" w:eastAsia="zh-CN" w:bidi="ar-SA"/>
                    </w:rPr>
                  </w:pPr>
                  <w:r>
                    <w:rPr>
                      <w:rFonts w:hint="eastAsia"/>
                      <w:color w:val="auto"/>
                      <w:sz w:val="16"/>
                      <w:szCs w:val="16"/>
                      <w:u w:val="none" w:color="auto"/>
                    </w:rPr>
                    <w:t>/</w:t>
                  </w:r>
                </w:p>
              </w:tc>
              <w:tc>
                <w:tcPr>
                  <w:tcW w:w="143" w:type="pct"/>
                  <w:shd w:val="clear" w:color="auto" w:fill="auto"/>
                  <w:noWrap w:val="0"/>
                  <w:vAlign w:val="center"/>
                </w:tcPr>
                <w:p w14:paraId="01FCFDB4">
                  <w:pPr>
                    <w:pStyle w:val="68"/>
                    <w:ind w:right="0" w:rightChars="0" w:firstLine="0" w:firstLineChars="0"/>
                    <w:rPr>
                      <w:rFonts w:hint="eastAsia" w:ascii="Times New Roman" w:hAnsi="Times New Roman" w:eastAsia="宋体" w:cs="Times New Roman"/>
                      <w:color w:val="auto"/>
                      <w:kern w:val="0"/>
                      <w:sz w:val="16"/>
                      <w:szCs w:val="16"/>
                      <w:u w:val="none" w:color="auto"/>
                      <w:lang w:val="en-US" w:eastAsia="zh-CN" w:bidi="ar-SA"/>
                    </w:rPr>
                  </w:pPr>
                  <w:r>
                    <w:rPr>
                      <w:rFonts w:hint="eastAsia"/>
                      <w:color w:val="auto"/>
                      <w:sz w:val="16"/>
                      <w:szCs w:val="16"/>
                      <w:u w:val="none" w:color="auto"/>
                    </w:rPr>
                    <w:t>/</w:t>
                  </w:r>
                </w:p>
              </w:tc>
              <w:tc>
                <w:tcPr>
                  <w:tcW w:w="242" w:type="pct"/>
                  <w:shd w:val="clear" w:color="auto" w:fill="auto"/>
                  <w:noWrap w:val="0"/>
                  <w:vAlign w:val="center"/>
                </w:tcPr>
                <w:p w14:paraId="2B199867">
                  <w:pPr>
                    <w:pStyle w:val="68"/>
                    <w:ind w:right="0" w:rightChars="0" w:firstLine="0" w:firstLineChars="0"/>
                    <w:rPr>
                      <w:rFonts w:hint="eastAsia" w:ascii="Times New Roman" w:hAnsi="Times New Roman" w:eastAsia="宋体" w:cs="Times New Roman"/>
                      <w:color w:val="auto"/>
                      <w:kern w:val="0"/>
                      <w:sz w:val="16"/>
                      <w:szCs w:val="16"/>
                      <w:u w:val="none" w:color="auto"/>
                      <w:lang w:val="en-US" w:eastAsia="zh-CN" w:bidi="ar-SA"/>
                    </w:rPr>
                  </w:pPr>
                  <w:r>
                    <w:rPr>
                      <w:rFonts w:hint="eastAsia"/>
                      <w:color w:val="auto"/>
                      <w:sz w:val="16"/>
                      <w:szCs w:val="16"/>
                      <w:u w:val="none" w:color="auto"/>
                    </w:rPr>
                    <w:t>/</w:t>
                  </w:r>
                </w:p>
              </w:tc>
              <w:tc>
                <w:tcPr>
                  <w:tcW w:w="251" w:type="pct"/>
                  <w:shd w:val="clear" w:color="auto" w:fill="auto"/>
                  <w:noWrap w:val="0"/>
                  <w:vAlign w:val="center"/>
                </w:tcPr>
                <w:p w14:paraId="4DFA742B">
                  <w:pPr>
                    <w:pStyle w:val="68"/>
                    <w:ind w:right="0" w:rightChars="0" w:firstLine="0" w:firstLineChars="0"/>
                    <w:rPr>
                      <w:rFonts w:hint="eastAsia" w:ascii="Times New Roman" w:hAnsi="Times New Roman" w:eastAsia="宋体" w:cs="Times New Roman"/>
                      <w:color w:val="auto"/>
                      <w:kern w:val="0"/>
                      <w:sz w:val="16"/>
                      <w:szCs w:val="16"/>
                      <w:u w:val="none" w:color="auto"/>
                      <w:lang w:val="en-US" w:eastAsia="zh-CN" w:bidi="ar-SA"/>
                    </w:rPr>
                  </w:pPr>
                  <w:r>
                    <w:rPr>
                      <w:rFonts w:hint="eastAsia"/>
                      <w:color w:val="auto"/>
                      <w:sz w:val="16"/>
                      <w:szCs w:val="16"/>
                      <w:u w:val="none" w:color="auto"/>
                    </w:rPr>
                    <w:t>/</w:t>
                  </w:r>
                </w:p>
              </w:tc>
              <w:tc>
                <w:tcPr>
                  <w:tcW w:w="296" w:type="pct"/>
                  <w:shd w:val="clear" w:color="auto" w:fill="auto"/>
                  <w:noWrap w:val="0"/>
                  <w:vAlign w:val="center"/>
                </w:tcPr>
                <w:p w14:paraId="419C40EE">
                  <w:pPr>
                    <w:pStyle w:val="68"/>
                    <w:ind w:right="0" w:rightChars="0" w:firstLine="0" w:firstLineChars="0"/>
                    <w:rPr>
                      <w:rFonts w:hint="eastAsia" w:ascii="Times New Roman" w:hAnsi="Times New Roman" w:eastAsia="宋体" w:cs="Times New Roman"/>
                      <w:color w:val="auto"/>
                      <w:kern w:val="0"/>
                      <w:sz w:val="16"/>
                      <w:szCs w:val="16"/>
                      <w:u w:val="none" w:color="auto"/>
                      <w:lang w:val="en-US" w:eastAsia="zh-CN" w:bidi="ar-SA"/>
                    </w:rPr>
                  </w:pPr>
                  <w:r>
                    <w:rPr>
                      <w:rFonts w:hint="eastAsia"/>
                      <w:color w:val="auto"/>
                      <w:sz w:val="16"/>
                      <w:szCs w:val="16"/>
                      <w:u w:val="none" w:color="auto"/>
                    </w:rPr>
                    <w:t>/</w:t>
                  </w:r>
                </w:p>
              </w:tc>
              <w:tc>
                <w:tcPr>
                  <w:tcW w:w="308" w:type="pct"/>
                  <w:shd w:val="clear" w:color="auto" w:fill="auto"/>
                  <w:noWrap w:val="0"/>
                  <w:vAlign w:val="center"/>
                </w:tcPr>
                <w:p w14:paraId="68E3C754">
                  <w:pPr>
                    <w:pStyle w:val="68"/>
                    <w:ind w:right="0" w:rightChars="0" w:firstLine="0" w:firstLineChars="0"/>
                    <w:rPr>
                      <w:rFonts w:hint="eastAsia" w:ascii="Times New Roman" w:hAnsi="Times New Roman" w:eastAsia="宋体" w:cs="Times New Roman"/>
                      <w:color w:val="auto"/>
                      <w:kern w:val="0"/>
                      <w:sz w:val="16"/>
                      <w:szCs w:val="16"/>
                      <w:u w:val="none" w:color="auto"/>
                      <w:lang w:val="en-US" w:eastAsia="zh-CN" w:bidi="ar-SA"/>
                    </w:rPr>
                  </w:pPr>
                  <w:r>
                    <w:rPr>
                      <w:rFonts w:hint="eastAsia"/>
                      <w:color w:val="auto"/>
                      <w:sz w:val="16"/>
                      <w:szCs w:val="16"/>
                      <w:u w:val="none" w:color="auto"/>
                    </w:rPr>
                    <w:t>/</w:t>
                  </w:r>
                </w:p>
              </w:tc>
              <w:tc>
                <w:tcPr>
                  <w:tcW w:w="311" w:type="pct"/>
                  <w:shd w:val="clear" w:color="auto" w:fill="auto"/>
                  <w:noWrap/>
                  <w:vAlign w:val="center"/>
                </w:tcPr>
                <w:p w14:paraId="2D775F5D">
                  <w:pPr>
                    <w:pStyle w:val="68"/>
                    <w:ind w:right="0" w:rightChars="0" w:firstLine="0" w:firstLineChars="0"/>
                    <w:rPr>
                      <w:rFonts w:hint="eastAsia" w:ascii="Times New Roman" w:hAnsi="Times New Roman" w:eastAsia="宋体" w:cs="Times New Roman"/>
                      <w:color w:val="auto"/>
                      <w:kern w:val="0"/>
                      <w:sz w:val="16"/>
                      <w:szCs w:val="16"/>
                      <w:u w:val="none" w:color="auto"/>
                      <w:lang w:val="en-US" w:eastAsia="zh-CN" w:bidi="ar-SA"/>
                    </w:rPr>
                  </w:pPr>
                  <w:r>
                    <w:rPr>
                      <w:rFonts w:hint="eastAsia"/>
                      <w:color w:val="auto"/>
                      <w:sz w:val="16"/>
                      <w:szCs w:val="16"/>
                      <w:u w:val="none" w:color="auto"/>
                    </w:rPr>
                    <w:t>2.0</w:t>
                  </w:r>
                </w:p>
              </w:tc>
            </w:tr>
          </w:tbl>
          <w:p w14:paraId="0B7AFD39">
            <w:pPr>
              <w:widowControl/>
              <w:autoSpaceDE w:val="0"/>
              <w:autoSpaceDN w:val="0"/>
              <w:adjustRightInd w:val="0"/>
              <w:ind w:firstLine="480"/>
              <w:rPr>
                <w:rFonts w:hint="eastAsia"/>
                <w:color w:val="auto"/>
                <w:u w:val="none" w:color="auto"/>
              </w:rPr>
            </w:pPr>
            <w:r>
              <w:rPr>
                <w:rFonts w:hint="eastAsia"/>
                <w:color w:val="auto"/>
                <w:u w:val="none" w:color="auto"/>
              </w:rPr>
              <w:t>2、源强核算</w:t>
            </w:r>
          </w:p>
          <w:p w14:paraId="70FE50DC">
            <w:pPr>
              <w:ind w:firstLine="480"/>
              <w:rPr>
                <w:color w:val="auto"/>
                <w:u w:val="none" w:color="auto"/>
              </w:rPr>
            </w:pPr>
            <w:r>
              <w:rPr>
                <w:color w:val="auto"/>
                <w:u w:val="none" w:color="auto"/>
              </w:rPr>
              <w:t>本项目营运期废气污染源主要为</w:t>
            </w:r>
            <w:r>
              <w:rPr>
                <w:rFonts w:hint="eastAsia"/>
                <w:color w:val="auto"/>
                <w:u w:val="none" w:color="auto"/>
                <w:lang w:eastAsia="zh-CN"/>
              </w:rPr>
              <w:t>配料粉尘</w:t>
            </w:r>
            <w:r>
              <w:rPr>
                <w:rFonts w:hint="eastAsia"/>
                <w:color w:val="auto"/>
                <w:u w:val="none" w:color="auto"/>
              </w:rPr>
              <w:t>、涂布烘干NMP废气</w:t>
            </w:r>
            <w:r>
              <w:rPr>
                <w:color w:val="auto"/>
                <w:u w:val="none" w:color="auto"/>
              </w:rPr>
              <w:t>、</w:t>
            </w:r>
            <w:r>
              <w:rPr>
                <w:rFonts w:hint="eastAsia"/>
                <w:color w:val="auto"/>
                <w:u w:val="none" w:color="auto"/>
              </w:rPr>
              <w:t>注液</w:t>
            </w:r>
            <w:r>
              <w:rPr>
                <w:color w:val="auto"/>
                <w:u w:val="none" w:color="auto"/>
              </w:rPr>
              <w:t>废气。</w:t>
            </w:r>
          </w:p>
          <w:p w14:paraId="3A11AE24">
            <w:pPr>
              <w:bidi w:val="0"/>
              <w:rPr>
                <w:rFonts w:hint="eastAsia"/>
                <w:color w:val="auto"/>
                <w:u w:val="none" w:color="auto"/>
                <w:lang w:eastAsia="zh-CN"/>
              </w:rPr>
            </w:pPr>
            <w:r>
              <w:rPr>
                <w:rFonts w:hint="eastAsia"/>
                <w:color w:val="auto"/>
                <w:u w:val="none" w:color="auto"/>
              </w:rPr>
              <w:t>（1）</w:t>
            </w:r>
            <w:r>
              <w:rPr>
                <w:rFonts w:hint="eastAsia"/>
                <w:color w:val="auto"/>
                <w:u w:val="none" w:color="auto"/>
                <w:lang w:eastAsia="zh-CN"/>
              </w:rPr>
              <w:t>粉尘</w:t>
            </w:r>
          </w:p>
          <w:p w14:paraId="7E3DA415">
            <w:pPr>
              <w:bidi w:val="0"/>
              <w:rPr>
                <w:rFonts w:hint="eastAsia"/>
                <w:color w:val="auto"/>
                <w:u w:val="none" w:color="auto"/>
                <w:lang w:eastAsia="zh-CN"/>
              </w:rPr>
            </w:pPr>
            <w:r>
              <w:rPr>
                <w:rFonts w:hint="eastAsia"/>
                <w:color w:val="auto"/>
                <w:u w:val="none" w:color="auto"/>
              </w:rPr>
              <w:t>项目</w:t>
            </w:r>
            <w:r>
              <w:rPr>
                <w:rFonts w:hint="eastAsia"/>
                <w:color w:val="auto"/>
                <w:u w:val="none" w:color="auto"/>
                <w:lang w:val="en-US" w:eastAsia="zh-CN"/>
              </w:rPr>
              <w:t>各粉状原辅材料均采用真空包装，固体物料采用纸箱包装，液态原料采用桶装，委托专业运输公司运送至厂内，储存在原辅材料仓库，无散装的物料装卸及堆放，因此不存在</w:t>
            </w:r>
            <w:r>
              <w:rPr>
                <w:rFonts w:hint="eastAsia"/>
                <w:color w:val="auto"/>
                <w:u w:val="none" w:color="auto"/>
                <w:lang w:eastAsia="zh-CN"/>
              </w:rPr>
              <w:t>供卸料、原料堆放粉尘。</w:t>
            </w:r>
          </w:p>
          <w:p w14:paraId="47020EEF">
            <w:pPr>
              <w:bidi w:val="0"/>
              <w:rPr>
                <w:rFonts w:hint="eastAsia"/>
                <w:color w:val="auto"/>
                <w:u w:val="none" w:color="auto"/>
              </w:rPr>
            </w:pPr>
            <w:r>
              <w:rPr>
                <w:rFonts w:hint="eastAsia"/>
                <w:color w:val="auto"/>
                <w:u w:val="none" w:color="auto"/>
                <w:lang w:val="en-US" w:eastAsia="zh-CN"/>
              </w:rPr>
              <w:t>项目</w:t>
            </w:r>
            <w:r>
              <w:rPr>
                <w:rFonts w:hint="eastAsia"/>
                <w:color w:val="auto"/>
                <w:u w:val="none" w:color="auto"/>
              </w:rPr>
              <w:t>生产过程中各种粉料称量、投加等转移过程均机械自动化操作，采用真空负压吸料方式，投料过程产生的粉尘随负压排气口排出，其主要污染因子为颗粒物，根据建设方提供的资料，称量及投料等过程中粉料损失量按投加量的1‰计算。项目粉料总用量为</w:t>
            </w:r>
            <w:r>
              <w:rPr>
                <w:rFonts w:hint="eastAsia"/>
                <w:color w:val="auto"/>
                <w:u w:val="none" w:color="auto"/>
                <w:lang w:val="en-US" w:eastAsia="zh-CN"/>
              </w:rPr>
              <w:t>161.8</w:t>
            </w:r>
            <w:r>
              <w:rPr>
                <w:rFonts w:hint="eastAsia"/>
                <w:color w:val="auto"/>
                <w:u w:val="none" w:color="auto"/>
              </w:rPr>
              <w:t>t/a，则粉尘产生量为</w:t>
            </w:r>
            <w:r>
              <w:rPr>
                <w:rFonts w:hint="eastAsia"/>
                <w:color w:val="auto"/>
                <w:u w:val="none" w:color="auto"/>
                <w:lang w:val="en-US" w:eastAsia="zh-CN"/>
              </w:rPr>
              <w:t>0.1618</w:t>
            </w:r>
            <w:r>
              <w:rPr>
                <w:rFonts w:hint="eastAsia"/>
                <w:color w:val="auto"/>
                <w:u w:val="none" w:color="auto"/>
              </w:rPr>
              <w:t>t/a</w:t>
            </w:r>
            <w:r>
              <w:rPr>
                <w:rFonts w:hint="eastAsia"/>
                <w:color w:val="auto"/>
                <w:u w:val="none" w:color="auto"/>
                <w:lang w:eastAsia="zh-CN"/>
              </w:rPr>
              <w:t>，粉料原料含镍钴锰酸锂，因此粉尘中含镍因子，考虑到镍钴锰酸锂占所有粉料原料约</w:t>
            </w:r>
            <w:r>
              <w:rPr>
                <w:rFonts w:hint="eastAsia"/>
                <w:color w:val="auto"/>
                <w:u w:val="none" w:color="auto"/>
                <w:lang w:val="en-US" w:eastAsia="zh-CN"/>
              </w:rPr>
              <w:t>25%</w:t>
            </w:r>
            <w:r>
              <w:rPr>
                <w:rFonts w:hint="eastAsia"/>
                <w:color w:val="auto"/>
                <w:u w:val="none" w:color="auto"/>
                <w:lang w:eastAsia="zh-CN"/>
              </w:rPr>
              <w:t>，其中镍的含量在镍钴锰酸锂中不超过</w:t>
            </w:r>
            <w:r>
              <w:rPr>
                <w:rFonts w:hint="eastAsia"/>
                <w:color w:val="auto"/>
                <w:u w:val="none" w:color="auto"/>
                <w:lang w:val="en-US" w:eastAsia="zh-CN"/>
              </w:rPr>
              <w:t>30%，因此无组织粉尘中含镍很少</w:t>
            </w:r>
            <w:r>
              <w:rPr>
                <w:rFonts w:hint="eastAsia"/>
                <w:color w:val="auto"/>
                <w:u w:val="none" w:color="auto"/>
              </w:rPr>
              <w:t>。根据企业提供的资料，投料过程为非连续投料，各种粉料称量、投加等转移过程以每天平均</w:t>
            </w:r>
            <w:r>
              <w:rPr>
                <w:rFonts w:hint="eastAsia"/>
                <w:color w:val="auto"/>
                <w:u w:val="none" w:color="auto"/>
                <w:lang w:val="en-US" w:eastAsia="zh-CN"/>
              </w:rPr>
              <w:t>6</w:t>
            </w:r>
            <w:r>
              <w:rPr>
                <w:rFonts w:hint="eastAsia"/>
                <w:color w:val="auto"/>
                <w:u w:val="none" w:color="auto"/>
              </w:rPr>
              <w:t>h计，即粉尘</w:t>
            </w:r>
            <w:r>
              <w:rPr>
                <w:rFonts w:hint="eastAsia"/>
                <w:color w:val="auto"/>
                <w:u w:val="none" w:color="auto"/>
                <w:lang w:eastAsia="zh-CN"/>
              </w:rPr>
              <w:t>为</w:t>
            </w:r>
            <w:r>
              <w:rPr>
                <w:rFonts w:hint="eastAsia"/>
                <w:color w:val="auto"/>
                <w:u w:val="none" w:color="auto"/>
              </w:rPr>
              <w:t>间歇式排放。</w:t>
            </w:r>
          </w:p>
          <w:p w14:paraId="1D804DF6">
            <w:pPr>
              <w:ind w:firstLine="480"/>
              <w:rPr>
                <w:color w:val="auto"/>
                <w:u w:val="none" w:color="auto"/>
              </w:rPr>
            </w:pPr>
            <w:r>
              <w:rPr>
                <w:rFonts w:hint="eastAsia"/>
                <w:color w:val="auto"/>
                <w:u w:val="none" w:color="auto"/>
              </w:rPr>
              <w:t>（</w:t>
            </w:r>
            <w:r>
              <w:rPr>
                <w:rFonts w:hint="eastAsia"/>
                <w:color w:val="auto"/>
                <w:u w:val="none" w:color="auto"/>
                <w:lang w:val="en-US" w:eastAsia="zh-CN"/>
              </w:rPr>
              <w:t>2</w:t>
            </w:r>
            <w:r>
              <w:rPr>
                <w:rFonts w:hint="eastAsia"/>
                <w:color w:val="auto"/>
                <w:u w:val="none" w:color="auto"/>
              </w:rPr>
              <w:t>）涂布烘干NMP废气</w:t>
            </w:r>
          </w:p>
          <w:p w14:paraId="6106077B">
            <w:pPr>
              <w:ind w:firstLine="480"/>
              <w:rPr>
                <w:color w:val="auto"/>
                <w:u w:val="none" w:color="auto"/>
              </w:rPr>
            </w:pPr>
            <w:r>
              <w:rPr>
                <w:color w:val="auto"/>
                <w:u w:val="none" w:color="auto"/>
              </w:rPr>
              <w:t>项目在涂布烘干工序</w:t>
            </w:r>
            <w:r>
              <w:rPr>
                <w:rFonts w:hint="eastAsia"/>
                <w:color w:val="auto"/>
                <w:u w:val="none" w:color="auto"/>
              </w:rPr>
              <w:t>中，</w:t>
            </w:r>
            <w:r>
              <w:rPr>
                <w:color w:val="auto"/>
                <w:u w:val="none" w:color="auto"/>
              </w:rPr>
              <w:t>涂布机自带电烘箱，利用电热循环热风烘干极片。烘干极片是为了加热蒸发浆料中的溶剂，使固体物质粘结</w:t>
            </w:r>
            <w:r>
              <w:rPr>
                <w:rFonts w:hint="eastAsia"/>
                <w:color w:val="auto"/>
                <w:u w:val="none" w:color="auto"/>
                <w:lang w:eastAsia="zh-CN"/>
              </w:rPr>
              <w:t>于</w:t>
            </w:r>
            <w:r>
              <w:rPr>
                <w:color w:val="auto"/>
                <w:u w:val="none" w:color="auto"/>
              </w:rPr>
              <w:t>基材上。由于负极的浆料溶剂是</w:t>
            </w:r>
            <w:r>
              <w:rPr>
                <w:rFonts w:hint="eastAsia"/>
                <w:color w:val="auto"/>
                <w:u w:val="none" w:color="auto"/>
                <w:lang w:eastAsia="zh-CN"/>
              </w:rPr>
              <w:t>纯水</w:t>
            </w:r>
            <w:r>
              <w:rPr>
                <w:color w:val="auto"/>
                <w:u w:val="none" w:color="auto"/>
              </w:rPr>
              <w:t>，故负极涂布工序中不产生废气。正极浆料溶剂是NMP有机溶剂，烘烤过程中会</w:t>
            </w:r>
            <w:r>
              <w:rPr>
                <w:rFonts w:hint="eastAsia"/>
                <w:color w:val="auto"/>
                <w:u w:val="none" w:color="auto"/>
              </w:rPr>
              <w:t>产生</w:t>
            </w:r>
            <w:r>
              <w:rPr>
                <w:color w:val="auto"/>
                <w:u w:val="none" w:color="auto"/>
              </w:rPr>
              <w:t>有机废气。</w:t>
            </w:r>
          </w:p>
          <w:p w14:paraId="0D19BFB2">
            <w:pPr>
              <w:ind w:firstLine="480"/>
              <w:rPr>
                <w:rFonts w:hint="eastAsia" w:eastAsia="宋体"/>
                <w:color w:val="auto"/>
                <w:u w:val="none" w:color="auto"/>
                <w:lang w:eastAsia="zh-CN"/>
              </w:rPr>
            </w:pPr>
            <w:r>
              <w:rPr>
                <w:color w:val="auto"/>
                <w:u w:val="none" w:color="auto"/>
              </w:rPr>
              <w:t>项目正、负极涂布工序均位于密闭厂房。正极涂布过程中，铝箔经过涂布机机头涂布后进入烘箱，经过烘干后，从烘箱的另一端到达涂布机尾。烘箱内温度为120±5℃，</w:t>
            </w:r>
            <w:r>
              <w:rPr>
                <w:rFonts w:hint="eastAsia"/>
                <w:color w:val="auto"/>
                <w:u w:val="none" w:color="auto"/>
              </w:rPr>
              <w:t>10</w:t>
            </w:r>
            <w:r>
              <w:rPr>
                <w:color w:val="auto"/>
                <w:u w:val="none" w:color="auto"/>
              </w:rPr>
              <w:t>000m</w:t>
            </w:r>
            <w:r>
              <w:rPr>
                <w:color w:val="auto"/>
                <w:u w:val="none" w:color="auto"/>
                <w:vertAlign w:val="superscript"/>
              </w:rPr>
              <w:t>3</w:t>
            </w:r>
            <w:r>
              <w:rPr>
                <w:color w:val="auto"/>
                <w:u w:val="none" w:color="auto"/>
              </w:rPr>
              <w:t>/h的风量。涂了浆料的箔片进入烘箱后，在这种环境下达到了NMP有机溶剂的挥发点，NMP开始从浆料中挥发出来。箔片进入烘箱后缓慢传送至烘箱的另一端，这个过程中浆料中的NMP有机溶剂几乎全部挥发出来，不会残留在箔片上。项目使用NMP有机溶剂</w:t>
            </w:r>
            <w:r>
              <w:rPr>
                <w:rFonts w:hint="eastAsia"/>
                <w:color w:val="auto"/>
                <w:u w:val="none" w:color="auto"/>
                <w:lang w:val="en-US" w:eastAsia="zh-CN"/>
              </w:rPr>
              <w:t>约13</w:t>
            </w:r>
            <w:r>
              <w:rPr>
                <w:color w:val="auto"/>
                <w:u w:val="none" w:color="auto"/>
              </w:rPr>
              <w:t>t/a，在称量、投料、搅拌、转移、涂布等过程中，几乎无原料损失。因此均匀涂抹了浆料的铝箔在经过烘箱后，</w:t>
            </w:r>
            <w:r>
              <w:rPr>
                <w:rFonts w:hint="eastAsia"/>
                <w:color w:val="auto"/>
                <w:u w:val="none" w:color="auto"/>
                <w:lang w:val="en-US" w:eastAsia="zh-CN"/>
              </w:rPr>
              <w:t>13</w:t>
            </w:r>
            <w:r>
              <w:rPr>
                <w:color w:val="auto"/>
                <w:u w:val="none" w:color="auto"/>
              </w:rPr>
              <w:t>t/a的NMP几乎全部挥发成气体。烘箱顶端设有排风口通过集气装置将烘箱内的</w:t>
            </w:r>
            <w:r>
              <w:rPr>
                <w:rFonts w:hint="eastAsia"/>
                <w:color w:val="auto"/>
                <w:u w:val="none" w:color="auto"/>
              </w:rPr>
              <w:t>NMP废气</w:t>
            </w:r>
            <w:r>
              <w:rPr>
                <w:color w:val="auto"/>
                <w:u w:val="none" w:color="auto"/>
              </w:rPr>
              <w:t>引至回收系统进行处理，烘箱是全密闭的（15-30pa的负压）</w:t>
            </w:r>
            <w:r>
              <w:rPr>
                <w:rFonts w:hint="eastAsia"/>
                <w:color w:val="auto"/>
                <w:u w:val="none" w:color="auto"/>
              </w:rPr>
              <w:t>。根据建设单位提供的NMP回收系统技术</w:t>
            </w:r>
            <w:r>
              <w:rPr>
                <w:rFonts w:hint="eastAsia"/>
                <w:color w:val="auto"/>
                <w:u w:val="none" w:color="auto"/>
                <w:lang w:eastAsia="zh-CN"/>
              </w:rPr>
              <w:t>资料</w:t>
            </w:r>
            <w:r>
              <w:rPr>
                <w:rFonts w:hint="eastAsia"/>
                <w:color w:val="auto"/>
                <w:u w:val="none" w:color="auto"/>
              </w:rPr>
              <w:t>，NMP回收系统</w:t>
            </w:r>
            <w:r>
              <w:rPr>
                <w:color w:val="auto"/>
                <w:u w:val="none" w:color="auto"/>
              </w:rPr>
              <w:t>集气效率可达99.</w:t>
            </w:r>
            <w:r>
              <w:rPr>
                <w:rFonts w:hint="eastAsia"/>
                <w:color w:val="auto"/>
                <w:u w:val="none" w:color="auto"/>
              </w:rPr>
              <w:t>8</w:t>
            </w:r>
            <w:r>
              <w:rPr>
                <w:color w:val="auto"/>
                <w:u w:val="none" w:color="auto"/>
              </w:rPr>
              <w:t>%</w:t>
            </w:r>
            <w:r>
              <w:rPr>
                <w:rFonts w:hint="eastAsia"/>
                <w:color w:val="auto"/>
                <w:u w:val="none" w:color="auto"/>
              </w:rPr>
              <w:t>，</w:t>
            </w:r>
            <w:r>
              <w:rPr>
                <w:color w:val="auto"/>
                <w:u w:val="none" w:color="auto"/>
              </w:rPr>
              <w:t>约</w:t>
            </w:r>
            <w:r>
              <w:rPr>
                <w:rFonts w:hint="eastAsia"/>
                <w:color w:val="auto"/>
                <w:u w:val="none" w:color="auto"/>
                <w:lang w:val="en-US" w:eastAsia="zh-CN"/>
              </w:rPr>
              <w:t>12.974</w:t>
            </w:r>
            <w:r>
              <w:rPr>
                <w:color w:val="auto"/>
                <w:u w:val="none" w:color="auto"/>
              </w:rPr>
              <w:t>t/a</w:t>
            </w:r>
            <w:r>
              <w:rPr>
                <w:rFonts w:hint="eastAsia"/>
                <w:color w:val="auto"/>
                <w:u w:val="none" w:color="auto"/>
              </w:rPr>
              <w:t>NMP废气被</w:t>
            </w:r>
            <w:r>
              <w:rPr>
                <w:color w:val="auto"/>
                <w:u w:val="none" w:color="auto"/>
              </w:rPr>
              <w:t>收集</w:t>
            </w:r>
            <w:r>
              <w:rPr>
                <w:rFonts w:hint="eastAsia"/>
                <w:color w:val="auto"/>
                <w:u w:val="none" w:color="auto"/>
                <w:lang w:eastAsia="zh-CN"/>
              </w:rPr>
              <w:t>。</w:t>
            </w:r>
          </w:p>
          <w:p w14:paraId="50E49355">
            <w:pPr>
              <w:ind w:firstLine="480"/>
              <w:rPr>
                <w:color w:val="auto"/>
                <w:u w:val="none" w:color="auto"/>
              </w:rPr>
            </w:pPr>
            <w:r>
              <w:rPr>
                <w:color w:val="auto"/>
                <w:u w:val="none" w:color="auto"/>
              </w:rPr>
              <w:t>余下未被集气装置收集到的0.</w:t>
            </w:r>
            <w:r>
              <w:rPr>
                <w:rFonts w:hint="eastAsia"/>
                <w:color w:val="auto"/>
                <w:u w:val="none" w:color="auto"/>
              </w:rPr>
              <w:t>2</w:t>
            </w:r>
            <w:r>
              <w:rPr>
                <w:color w:val="auto"/>
                <w:u w:val="none" w:color="auto"/>
              </w:rPr>
              <w:t>%的量分别从物料进出口散发至机头、机尾厂房内以及从烘箱设备表面缝隙散发至机身厂房内。项目的涂布、烘干工序分割成三个密闭区域，分别为物料进出口的机头/机尾以及烘箱机身</w:t>
            </w:r>
            <w:r>
              <w:rPr>
                <w:rFonts w:hint="eastAsia"/>
                <w:color w:val="auto"/>
                <w:u w:val="none" w:color="auto"/>
              </w:rPr>
              <w:t>（</w:t>
            </w:r>
            <w:r>
              <w:rPr>
                <w:color w:val="auto"/>
                <w:u w:val="none" w:color="auto"/>
              </w:rPr>
              <w:t>由于烘箱内的温度是从涂布机头处逐渐上升至120±5℃后又逐渐下降至室温至涂布机机尾，因此0.</w:t>
            </w:r>
            <w:r>
              <w:rPr>
                <w:rFonts w:hint="eastAsia"/>
                <w:color w:val="auto"/>
                <w:u w:val="none" w:color="auto"/>
              </w:rPr>
              <w:t>2</w:t>
            </w:r>
            <w:r>
              <w:rPr>
                <w:color w:val="auto"/>
                <w:u w:val="none" w:color="auto"/>
              </w:rPr>
              <w:t>%的量中，有20%的量从物料进口散发至机头厂房、20%的量从物料出口散发至机尾厂房、60%的量从烘箱设备表面缝隙散发至厂房内），其无组织排放量约</w:t>
            </w:r>
            <w:r>
              <w:rPr>
                <w:rFonts w:hint="eastAsia"/>
                <w:color w:val="auto"/>
                <w:u w:val="none" w:color="auto"/>
              </w:rPr>
              <w:t>0.</w:t>
            </w:r>
            <w:r>
              <w:rPr>
                <w:rFonts w:hint="eastAsia"/>
                <w:color w:val="auto"/>
                <w:u w:val="none" w:color="auto"/>
                <w:lang w:val="en-US" w:eastAsia="zh-CN"/>
              </w:rPr>
              <w:t>026</w:t>
            </w:r>
            <w:r>
              <w:rPr>
                <w:color w:val="auto"/>
                <w:u w:val="none" w:color="auto"/>
              </w:rPr>
              <w:t>t/a，</w:t>
            </w:r>
            <w:r>
              <w:rPr>
                <w:rFonts w:hint="eastAsia"/>
                <w:color w:val="auto"/>
                <w:u w:val="none" w:color="auto"/>
                <w:lang w:val="en-US" w:eastAsia="zh-CN"/>
              </w:rPr>
              <w:t>0.005</w:t>
            </w:r>
            <w:r>
              <w:rPr>
                <w:color w:val="auto"/>
                <w:u w:val="none" w:color="auto"/>
              </w:rPr>
              <w:t>kg/h。</w:t>
            </w:r>
          </w:p>
          <w:p w14:paraId="3DA43041">
            <w:pPr>
              <w:ind w:firstLine="480"/>
              <w:rPr>
                <w:color w:val="auto"/>
                <w:u w:val="none" w:color="auto"/>
              </w:rPr>
            </w:pPr>
            <w:r>
              <w:rPr>
                <w:rFonts w:hint="eastAsia"/>
                <w:color w:val="auto"/>
                <w:u w:val="none" w:color="auto"/>
                <w:lang w:eastAsia="zh-CN"/>
              </w:rPr>
              <w:t>参照《排污许可证申请与核发技术规范电池工业（征求意见稿）》编制说明中“采用冷凝回收的方法，NMP回收率可达90%以上”，</w:t>
            </w:r>
            <w:r>
              <w:rPr>
                <w:rFonts w:hint="eastAsia"/>
                <w:color w:val="auto"/>
                <w:u w:val="none" w:color="auto"/>
                <w:lang w:val="en-US" w:eastAsia="zh-CN"/>
              </w:rPr>
              <w:t>本项目</w:t>
            </w:r>
            <w:r>
              <w:rPr>
                <w:rFonts w:hint="eastAsia"/>
                <w:color w:val="auto"/>
                <w:u w:val="none" w:color="auto"/>
              </w:rPr>
              <w:t>NMP</w:t>
            </w:r>
            <w:r>
              <w:rPr>
                <w:rFonts w:hint="eastAsia"/>
                <w:color w:val="auto"/>
                <w:u w:val="none" w:color="auto"/>
                <w:lang w:eastAsia="zh-CN"/>
              </w:rPr>
              <w:t>冷凝</w:t>
            </w:r>
            <w:r>
              <w:rPr>
                <w:rFonts w:hint="eastAsia"/>
                <w:color w:val="auto"/>
                <w:u w:val="none" w:color="auto"/>
              </w:rPr>
              <w:t>回收系统处理效率</w:t>
            </w:r>
            <w:r>
              <w:rPr>
                <w:rFonts w:hint="eastAsia"/>
                <w:color w:val="auto"/>
                <w:u w:val="none" w:color="auto"/>
                <w:lang w:eastAsia="zh-CN"/>
              </w:rPr>
              <w:t>取</w:t>
            </w:r>
            <w:r>
              <w:rPr>
                <w:rFonts w:hint="eastAsia"/>
                <w:color w:val="auto"/>
                <w:u w:val="none" w:color="auto"/>
              </w:rPr>
              <w:t>9</w:t>
            </w:r>
            <w:r>
              <w:rPr>
                <w:rFonts w:hint="eastAsia"/>
                <w:color w:val="auto"/>
                <w:u w:val="none" w:color="auto"/>
                <w:lang w:val="en-US" w:eastAsia="zh-CN"/>
              </w:rPr>
              <w:t>0</w:t>
            </w:r>
            <w:r>
              <w:rPr>
                <w:rFonts w:hint="eastAsia"/>
                <w:color w:val="auto"/>
                <w:u w:val="none" w:color="auto"/>
              </w:rPr>
              <w:t>%</w:t>
            </w:r>
            <w:r>
              <w:rPr>
                <w:rFonts w:hint="eastAsia"/>
                <w:color w:val="auto"/>
                <w:u w:val="none" w:color="auto"/>
                <w:lang w:eastAsia="zh-CN"/>
              </w:rPr>
              <w:t>，</w:t>
            </w:r>
            <w:r>
              <w:rPr>
                <w:rFonts w:hint="eastAsia"/>
                <w:color w:val="auto"/>
                <w:u w:val="none" w:color="auto"/>
              </w:rPr>
              <w:t>经NMP回收系统处理后NMP废气排放</w:t>
            </w:r>
            <w:r>
              <w:rPr>
                <w:rFonts w:hint="eastAsia"/>
                <w:color w:val="auto"/>
                <w:u w:val="none" w:color="auto"/>
                <w:lang w:val="en-US" w:eastAsia="zh-CN"/>
              </w:rPr>
              <w:t>总</w:t>
            </w:r>
            <w:r>
              <w:rPr>
                <w:rFonts w:hint="eastAsia"/>
                <w:color w:val="auto"/>
                <w:u w:val="none" w:color="auto"/>
              </w:rPr>
              <w:t>量为</w:t>
            </w:r>
            <w:r>
              <w:rPr>
                <w:rFonts w:hint="eastAsia"/>
                <w:color w:val="auto"/>
                <w:u w:val="none" w:color="auto"/>
                <w:lang w:val="en-US" w:eastAsia="zh-CN"/>
              </w:rPr>
              <w:t>1.3</w:t>
            </w:r>
            <w:r>
              <w:rPr>
                <w:rFonts w:hint="eastAsia"/>
                <w:color w:val="auto"/>
                <w:u w:val="none" w:color="auto"/>
              </w:rPr>
              <w:t>t/a，</w:t>
            </w:r>
            <w:r>
              <w:rPr>
                <w:rFonts w:hint="eastAsia"/>
                <w:color w:val="auto"/>
                <w:u w:val="none" w:color="auto"/>
                <w:lang w:val="en-US" w:eastAsia="zh-CN"/>
              </w:rPr>
              <w:t>总</w:t>
            </w:r>
            <w:r>
              <w:rPr>
                <w:rFonts w:hint="eastAsia"/>
                <w:color w:val="auto"/>
                <w:u w:val="none" w:color="auto"/>
              </w:rPr>
              <w:t>排放速率为</w:t>
            </w:r>
            <w:r>
              <w:rPr>
                <w:rFonts w:hint="eastAsia"/>
                <w:color w:val="auto"/>
                <w:u w:val="none" w:color="auto"/>
                <w:lang w:val="en-US" w:eastAsia="zh-CN"/>
              </w:rPr>
              <w:t>0.217</w:t>
            </w:r>
            <w:r>
              <w:rPr>
                <w:rFonts w:hint="eastAsia"/>
                <w:color w:val="auto"/>
                <w:u w:val="none" w:color="auto"/>
              </w:rPr>
              <w:t>kg/h</w:t>
            </w:r>
            <w:r>
              <w:rPr>
                <w:rFonts w:hint="eastAsia"/>
                <w:color w:val="auto"/>
                <w:u w:val="none" w:color="auto"/>
                <w:lang w:eastAsia="zh-CN"/>
              </w:rPr>
              <w:t>（年生产</w:t>
            </w:r>
            <w:r>
              <w:rPr>
                <w:rFonts w:hint="eastAsia"/>
                <w:color w:val="auto"/>
                <w:u w:val="none" w:color="auto"/>
                <w:lang w:val="en-US" w:eastAsia="zh-CN"/>
              </w:rPr>
              <w:t>300天，每天生产20小时</w:t>
            </w:r>
            <w:r>
              <w:rPr>
                <w:rFonts w:hint="eastAsia"/>
                <w:color w:val="auto"/>
                <w:u w:val="none" w:color="auto"/>
                <w:lang w:eastAsia="zh-CN"/>
              </w:rPr>
              <w:t>），</w:t>
            </w:r>
            <w:r>
              <w:rPr>
                <w:rFonts w:hint="eastAsia"/>
                <w:color w:val="auto"/>
                <w:u w:val="none" w:color="auto"/>
              </w:rPr>
              <w:t>处理后的NMP废气经</w:t>
            </w:r>
            <w:r>
              <w:rPr>
                <w:rFonts w:hint="eastAsia"/>
                <w:color w:val="auto"/>
                <w:u w:val="none" w:color="auto"/>
                <w:lang w:eastAsia="zh-CN"/>
              </w:rPr>
              <w:t>不低于1</w:t>
            </w:r>
            <w:r>
              <w:rPr>
                <w:rFonts w:hint="eastAsia"/>
                <w:color w:val="auto"/>
                <w:u w:val="none" w:color="auto"/>
                <w:lang w:val="en-US" w:eastAsia="zh-CN"/>
              </w:rPr>
              <w:t>5</w:t>
            </w:r>
            <w:r>
              <w:rPr>
                <w:rFonts w:hint="eastAsia"/>
                <w:color w:val="auto"/>
                <w:u w:val="none" w:color="auto"/>
                <w:lang w:eastAsia="zh-CN"/>
              </w:rPr>
              <w:t>m</w:t>
            </w:r>
            <w:r>
              <w:rPr>
                <w:rFonts w:hint="eastAsia"/>
                <w:color w:val="auto"/>
                <w:u w:val="none" w:color="auto"/>
              </w:rPr>
              <w:t>高排气筒（</w:t>
            </w:r>
            <w:r>
              <w:rPr>
                <w:rFonts w:hint="eastAsia"/>
                <w:color w:val="auto"/>
                <w:u w:val="none" w:color="auto"/>
                <w:lang w:val="en-US" w:eastAsia="zh-CN"/>
              </w:rPr>
              <w:t>DA001</w:t>
            </w:r>
            <w:r>
              <w:rPr>
                <w:rFonts w:hint="eastAsia"/>
                <w:color w:val="auto"/>
                <w:u w:val="none" w:color="auto"/>
              </w:rPr>
              <w:t>）排放，</w:t>
            </w:r>
            <w:r>
              <w:rPr>
                <w:rFonts w:hint="eastAsia"/>
                <w:color w:val="auto"/>
                <w:u w:val="none" w:color="auto"/>
                <w:lang w:val="en-US" w:eastAsia="zh-CN"/>
              </w:rPr>
              <w:t>平均</w:t>
            </w:r>
            <w:r>
              <w:rPr>
                <w:rFonts w:hint="eastAsia"/>
                <w:color w:val="auto"/>
                <w:u w:val="none" w:color="auto"/>
              </w:rPr>
              <w:t>排放浓度为</w:t>
            </w:r>
            <w:r>
              <w:rPr>
                <w:rFonts w:hint="eastAsia"/>
                <w:color w:val="auto"/>
                <w:u w:val="none" w:color="auto"/>
                <w:lang w:val="en-US" w:eastAsia="zh-CN"/>
              </w:rPr>
              <w:t>21.7</w:t>
            </w:r>
            <w:r>
              <w:rPr>
                <w:rFonts w:hint="eastAsia"/>
                <w:color w:val="auto"/>
                <w:u w:val="none" w:color="auto"/>
              </w:rPr>
              <w:t>mg/m</w:t>
            </w:r>
            <w:r>
              <w:rPr>
                <w:rFonts w:hint="eastAsia"/>
                <w:color w:val="auto"/>
                <w:u w:val="none" w:color="auto"/>
                <w:vertAlign w:val="superscript"/>
              </w:rPr>
              <w:t>3</w:t>
            </w:r>
            <w:r>
              <w:rPr>
                <w:rFonts w:hint="eastAsia"/>
                <w:color w:val="auto"/>
                <w:u w:val="none" w:color="auto"/>
              </w:rPr>
              <w:t>，可达到《电池工业污染物排放标准》(GB30484-2013</w:t>
            </w:r>
            <w:r>
              <w:rPr>
                <w:rFonts w:hint="eastAsia"/>
                <w:color w:val="auto"/>
                <w:u w:val="none" w:color="auto"/>
                <w:lang w:eastAsia="zh-CN"/>
              </w:rPr>
              <w:t>）</w:t>
            </w:r>
            <w:r>
              <w:rPr>
                <w:rFonts w:hint="eastAsia"/>
                <w:color w:val="auto"/>
                <w:u w:val="none" w:color="auto"/>
              </w:rPr>
              <w:t>排放标准</w:t>
            </w:r>
            <w:r>
              <w:rPr>
                <w:rFonts w:hint="eastAsia"/>
                <w:color w:val="auto"/>
                <w:u w:val="none" w:color="auto"/>
                <w:lang w:eastAsia="zh-CN"/>
              </w:rPr>
              <w:t>（</w:t>
            </w:r>
            <w:r>
              <w:rPr>
                <w:rFonts w:hint="eastAsia"/>
                <w:color w:val="auto"/>
                <w:u w:val="none" w:color="auto"/>
              </w:rPr>
              <w:t>非甲烷总烃50mg/Nm</w:t>
            </w:r>
            <w:r>
              <w:rPr>
                <w:rFonts w:hint="eastAsia"/>
                <w:color w:val="auto"/>
                <w:u w:val="none" w:color="auto"/>
                <w:vertAlign w:val="superscript"/>
              </w:rPr>
              <w:t>3</w:t>
            </w:r>
            <w:r>
              <w:rPr>
                <w:rFonts w:hint="eastAsia"/>
                <w:color w:val="auto"/>
                <w:u w:val="none" w:color="auto"/>
                <w:vertAlign w:val="superscript"/>
                <w:lang w:eastAsia="zh-CN"/>
              </w:rPr>
              <w:t>）</w:t>
            </w:r>
            <w:r>
              <w:rPr>
                <w:rFonts w:hint="eastAsia"/>
                <w:color w:val="auto"/>
                <w:u w:val="none" w:color="auto"/>
              </w:rPr>
              <w:t>要求。</w:t>
            </w:r>
          </w:p>
          <w:p w14:paraId="19033401">
            <w:pPr>
              <w:ind w:firstLine="48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项目202</w:t>
            </w:r>
            <w:r>
              <w:rPr>
                <w:rFonts w:hint="eastAsia" w:cs="Times New Roman"/>
                <w:color w:val="auto"/>
                <w:u w:val="none" w:color="auto"/>
                <w:lang w:val="en-US" w:eastAsia="zh-CN"/>
              </w:rPr>
              <w:t>4</w:t>
            </w:r>
            <w:r>
              <w:rPr>
                <w:rFonts w:hint="eastAsia" w:ascii="Times New Roman" w:hAnsi="Times New Roman" w:cs="Times New Roman"/>
                <w:color w:val="auto"/>
                <w:u w:val="none" w:color="auto"/>
                <w:lang w:val="en-US" w:eastAsia="zh-CN"/>
              </w:rPr>
              <w:t>年</w:t>
            </w:r>
            <w:r>
              <w:rPr>
                <w:rFonts w:hint="eastAsia" w:cs="Times New Roman"/>
                <w:color w:val="auto"/>
                <w:u w:val="none" w:color="auto"/>
                <w:lang w:val="en-US" w:eastAsia="zh-CN"/>
              </w:rPr>
              <w:t>11</w:t>
            </w:r>
            <w:r>
              <w:rPr>
                <w:rFonts w:hint="eastAsia" w:ascii="Times New Roman" w:hAnsi="Times New Roman" w:cs="Times New Roman"/>
                <w:color w:val="auto"/>
                <w:u w:val="none" w:color="auto"/>
                <w:lang w:val="en-US" w:eastAsia="zh-CN"/>
              </w:rPr>
              <w:t>月委托</w:t>
            </w:r>
            <w:r>
              <w:rPr>
                <w:rFonts w:hint="eastAsia" w:cs="Times New Roman"/>
                <w:color w:val="auto"/>
                <w:u w:val="none" w:color="auto"/>
                <w:lang w:val="en-US" w:eastAsia="zh-CN"/>
              </w:rPr>
              <w:t>湖南科比特亿美检测有限公司</w:t>
            </w:r>
            <w:r>
              <w:rPr>
                <w:rFonts w:hint="eastAsia" w:ascii="Times New Roman" w:hAnsi="Times New Roman" w:cs="Times New Roman"/>
                <w:color w:val="auto"/>
                <w:u w:val="none" w:color="auto"/>
                <w:lang w:val="en-US" w:eastAsia="zh-CN"/>
              </w:rPr>
              <w:t>对NMP回收系统排气筒</w:t>
            </w:r>
            <w:r>
              <w:rPr>
                <w:rFonts w:hint="eastAsia" w:cs="Times New Roman"/>
                <w:color w:val="auto"/>
                <w:u w:val="none" w:color="auto"/>
                <w:lang w:val="en-US" w:eastAsia="zh-CN"/>
              </w:rPr>
              <w:t>进行</w:t>
            </w:r>
            <w:r>
              <w:rPr>
                <w:rFonts w:hint="eastAsia" w:ascii="Times New Roman" w:hAnsi="Times New Roman" w:cs="Times New Roman"/>
                <w:color w:val="auto"/>
                <w:u w:val="none" w:color="auto"/>
                <w:lang w:val="en-US" w:eastAsia="zh-CN"/>
              </w:rPr>
              <w:t>了现场监测，</w:t>
            </w:r>
            <w:r>
              <w:rPr>
                <w:rFonts w:hint="eastAsia" w:cs="Times New Roman"/>
                <w:color w:val="auto"/>
                <w:u w:val="none" w:color="auto"/>
                <w:lang w:val="en-US" w:eastAsia="zh-CN"/>
              </w:rPr>
              <w:t>检测期间企业生产工况约70%，</w:t>
            </w:r>
            <w:r>
              <w:rPr>
                <w:rFonts w:hint="eastAsia" w:ascii="Times New Roman" w:hAnsi="Times New Roman" w:cs="Times New Roman"/>
                <w:color w:val="auto"/>
                <w:u w:val="none" w:color="auto"/>
                <w:lang w:val="en-US" w:eastAsia="zh-CN"/>
              </w:rPr>
              <w:t>监测数据统计如下：</w:t>
            </w:r>
          </w:p>
          <w:p w14:paraId="5497ACFD">
            <w:pPr>
              <w:bidi w:val="0"/>
              <w:spacing w:line="240" w:lineRule="auto"/>
              <w:ind w:left="0" w:leftChars="0" w:firstLine="0" w:firstLineChars="0"/>
              <w:jc w:val="center"/>
              <w:rPr>
                <w:rFonts w:hint="eastAsia"/>
                <w:b/>
                <w:bCs/>
                <w:color w:val="auto"/>
                <w:sz w:val="21"/>
                <w:szCs w:val="21"/>
                <w:u w:val="none" w:color="auto"/>
              </w:rPr>
            </w:pPr>
            <w:r>
              <w:rPr>
                <w:rFonts w:hint="eastAsia"/>
                <w:b/>
                <w:bCs/>
                <w:color w:val="auto"/>
                <w:sz w:val="21"/>
                <w:szCs w:val="21"/>
                <w:u w:val="none" w:color="auto"/>
              </w:rPr>
              <w:t>表4-2有组织废气检测结果</w:t>
            </w:r>
          </w:p>
          <w:tbl>
            <w:tblPr>
              <w:tblStyle w:val="95"/>
              <w:tblW w:w="500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2"/>
              <w:gridCol w:w="1430"/>
              <w:gridCol w:w="932"/>
              <w:gridCol w:w="1119"/>
              <w:gridCol w:w="930"/>
              <w:gridCol w:w="1095"/>
              <w:gridCol w:w="975"/>
              <w:gridCol w:w="553"/>
            </w:tblGrid>
            <w:tr w14:paraId="4328D5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750" w:type="pct"/>
                  <w:vMerge w:val="restart"/>
                  <w:tcBorders>
                    <w:tl2br w:val="nil"/>
                    <w:tr2bl w:val="nil"/>
                  </w:tcBorders>
                  <w:vAlign w:val="center"/>
                </w:tcPr>
                <w:p w14:paraId="45AE21FD">
                  <w:pPr>
                    <w:widowControl/>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kern w:val="0"/>
                      <w:sz w:val="21"/>
                      <w:szCs w:val="21"/>
                      <w:u w:val="none" w:color="auto"/>
                      <w:lang w:val="en-US" w:eastAsia="zh-CN" w:bidi="ar-SA"/>
                    </w:rPr>
                  </w:pPr>
                  <w:r>
                    <w:rPr>
                      <w:rFonts w:hint="eastAsia" w:ascii="Times New Roman" w:hAnsi="Times New Roman" w:eastAsia="宋体" w:cs="Times New Roman"/>
                      <w:snapToGrid/>
                      <w:color w:val="auto"/>
                      <w:kern w:val="0"/>
                      <w:sz w:val="21"/>
                      <w:szCs w:val="21"/>
                      <w:u w:val="none" w:color="auto"/>
                      <w:lang w:val="en-US" w:eastAsia="zh-CN" w:bidi="ar-SA"/>
                    </w:rPr>
                    <w:t>点位名称</w:t>
                  </w:r>
                </w:p>
              </w:tc>
              <w:tc>
                <w:tcPr>
                  <w:tcW w:w="1427" w:type="pct"/>
                  <w:gridSpan w:val="2"/>
                  <w:vMerge w:val="restart"/>
                  <w:tcBorders>
                    <w:tl2br w:val="nil"/>
                    <w:tr2bl w:val="nil"/>
                  </w:tcBorders>
                  <w:vAlign w:val="center"/>
                </w:tcPr>
                <w:p w14:paraId="34AD3820">
                  <w:pPr>
                    <w:widowControl/>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kern w:val="0"/>
                      <w:sz w:val="21"/>
                      <w:szCs w:val="21"/>
                      <w:u w:val="none" w:color="auto"/>
                      <w:lang w:val="en-US" w:eastAsia="zh-CN" w:bidi="ar-SA"/>
                    </w:rPr>
                  </w:pPr>
                  <w:r>
                    <w:rPr>
                      <w:rFonts w:hint="eastAsia" w:ascii="Times New Roman" w:hAnsi="Times New Roman" w:eastAsia="宋体" w:cs="Times New Roman"/>
                      <w:snapToGrid/>
                      <w:color w:val="auto"/>
                      <w:kern w:val="0"/>
                      <w:sz w:val="21"/>
                      <w:szCs w:val="21"/>
                      <w:u w:val="none" w:color="auto"/>
                      <w:lang w:val="en-US" w:eastAsia="zh-CN" w:bidi="ar-SA"/>
                    </w:rPr>
                    <w:t>检测项目</w:t>
                  </w:r>
                </w:p>
              </w:tc>
              <w:tc>
                <w:tcPr>
                  <w:tcW w:w="2822" w:type="pct"/>
                  <w:gridSpan w:val="5"/>
                  <w:tcBorders>
                    <w:tl2br w:val="nil"/>
                    <w:tr2bl w:val="nil"/>
                  </w:tcBorders>
                  <w:vAlign w:val="center"/>
                </w:tcPr>
                <w:p w14:paraId="7127F576">
                  <w:pPr>
                    <w:widowControl/>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kern w:val="0"/>
                      <w:sz w:val="21"/>
                      <w:szCs w:val="21"/>
                      <w:u w:val="none" w:color="auto"/>
                      <w:lang w:val="en-US" w:eastAsia="zh-CN" w:bidi="ar-SA"/>
                    </w:rPr>
                  </w:pPr>
                  <w:r>
                    <w:rPr>
                      <w:rFonts w:hint="eastAsia" w:ascii="Times New Roman" w:hAnsi="Times New Roman" w:eastAsia="宋体" w:cs="Times New Roman"/>
                      <w:snapToGrid/>
                      <w:color w:val="auto"/>
                      <w:kern w:val="0"/>
                      <w:sz w:val="21"/>
                      <w:szCs w:val="21"/>
                      <w:u w:val="none" w:color="auto"/>
                      <w:lang w:val="en-US" w:eastAsia="zh-CN" w:bidi="ar-SA"/>
                    </w:rPr>
                    <w:t>采样日期及检测结果</w:t>
                  </w:r>
                  <w:r>
                    <w:rPr>
                      <w:rFonts w:hint="eastAsia" w:cs="Times New Roman"/>
                      <w:snapToGrid/>
                      <w:color w:val="auto"/>
                      <w:kern w:val="0"/>
                      <w:sz w:val="21"/>
                      <w:szCs w:val="21"/>
                      <w:u w:val="none" w:color="auto"/>
                      <w:lang w:val="en-US" w:eastAsia="zh-CN" w:bidi="ar-SA"/>
                    </w:rPr>
                    <w:t>（</w:t>
                  </w:r>
                  <w:r>
                    <w:rPr>
                      <w:rFonts w:hint="eastAsia" w:ascii="Times New Roman" w:hAnsi="Times New Roman" w:eastAsia="宋体" w:cs="Times New Roman"/>
                      <w:snapToGrid/>
                      <w:color w:val="auto"/>
                      <w:kern w:val="0"/>
                      <w:sz w:val="21"/>
                      <w:szCs w:val="21"/>
                      <w:u w:val="none" w:color="auto"/>
                      <w:lang w:val="en-US" w:eastAsia="zh-CN" w:bidi="ar-SA"/>
                    </w:rPr>
                    <w:t>单位：浓度mg/m</w:t>
                  </w:r>
                  <w:r>
                    <w:rPr>
                      <w:rFonts w:hint="eastAsia" w:ascii="Times New Roman" w:hAnsi="Times New Roman" w:eastAsia="宋体" w:cs="Times New Roman"/>
                      <w:snapToGrid/>
                      <w:color w:val="auto"/>
                      <w:kern w:val="0"/>
                      <w:sz w:val="21"/>
                      <w:szCs w:val="21"/>
                      <w:u w:val="none" w:color="auto"/>
                      <w:vertAlign w:val="superscript"/>
                      <w:lang w:val="en-US" w:eastAsia="zh-CN" w:bidi="ar-SA"/>
                    </w:rPr>
                    <w:t>3</w:t>
                  </w:r>
                  <w:r>
                    <w:rPr>
                      <w:rFonts w:hint="eastAsia" w:ascii="Times New Roman" w:hAnsi="Times New Roman" w:eastAsia="宋体" w:cs="Times New Roman"/>
                      <w:snapToGrid/>
                      <w:color w:val="auto"/>
                      <w:kern w:val="0"/>
                      <w:sz w:val="21"/>
                      <w:szCs w:val="21"/>
                      <w:u w:val="none" w:color="auto"/>
                      <w:lang w:val="en-US" w:eastAsia="zh-CN" w:bidi="ar-SA"/>
                    </w:rPr>
                    <w:t>，风量：m</w:t>
                  </w:r>
                  <w:r>
                    <w:rPr>
                      <w:rFonts w:hint="eastAsia" w:ascii="Times New Roman" w:hAnsi="Times New Roman" w:eastAsia="宋体" w:cs="Times New Roman"/>
                      <w:snapToGrid/>
                      <w:color w:val="auto"/>
                      <w:kern w:val="0"/>
                      <w:sz w:val="21"/>
                      <w:szCs w:val="21"/>
                      <w:u w:val="none" w:color="auto"/>
                      <w:vertAlign w:val="superscript"/>
                      <w:lang w:val="en-US" w:eastAsia="zh-CN" w:bidi="ar-SA"/>
                    </w:rPr>
                    <w:t>3</w:t>
                  </w:r>
                  <w:r>
                    <w:rPr>
                      <w:rFonts w:hint="eastAsia" w:ascii="Times New Roman" w:hAnsi="Times New Roman" w:eastAsia="宋体" w:cs="Times New Roman"/>
                      <w:snapToGrid/>
                      <w:color w:val="auto"/>
                      <w:kern w:val="0"/>
                      <w:sz w:val="21"/>
                      <w:szCs w:val="21"/>
                      <w:u w:val="none" w:color="auto"/>
                      <w:lang w:val="en-US" w:eastAsia="zh-CN" w:bidi="ar-SA"/>
                    </w:rPr>
                    <w:t>/h</w:t>
                  </w:r>
                  <w:r>
                    <w:rPr>
                      <w:rFonts w:hint="eastAsia" w:cs="Times New Roman"/>
                      <w:snapToGrid/>
                      <w:color w:val="auto"/>
                      <w:kern w:val="0"/>
                      <w:sz w:val="21"/>
                      <w:szCs w:val="21"/>
                      <w:u w:val="none" w:color="auto"/>
                      <w:lang w:val="en-US" w:eastAsia="zh-CN" w:bidi="ar-SA"/>
                    </w:rPr>
                    <w:t>）</w:t>
                  </w:r>
                </w:p>
              </w:tc>
            </w:tr>
            <w:tr w14:paraId="669798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750" w:type="pct"/>
                  <w:vMerge w:val="continue"/>
                  <w:tcBorders>
                    <w:tl2br w:val="nil"/>
                    <w:tr2bl w:val="nil"/>
                  </w:tcBorders>
                  <w:vAlign w:val="center"/>
                </w:tcPr>
                <w:p w14:paraId="04CEB6FA">
                  <w:pPr>
                    <w:widowControl/>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kern w:val="0"/>
                      <w:sz w:val="21"/>
                      <w:szCs w:val="21"/>
                      <w:u w:val="none" w:color="auto"/>
                      <w:lang w:val="en-US" w:eastAsia="zh-CN" w:bidi="ar-SA"/>
                    </w:rPr>
                  </w:pPr>
                </w:p>
              </w:tc>
              <w:tc>
                <w:tcPr>
                  <w:tcW w:w="1427" w:type="pct"/>
                  <w:gridSpan w:val="2"/>
                  <w:vMerge w:val="continue"/>
                  <w:tcBorders>
                    <w:tl2br w:val="nil"/>
                    <w:tr2bl w:val="nil"/>
                  </w:tcBorders>
                  <w:vAlign w:val="center"/>
                </w:tcPr>
                <w:p w14:paraId="182D3144">
                  <w:pPr>
                    <w:widowControl/>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kern w:val="0"/>
                      <w:sz w:val="21"/>
                      <w:szCs w:val="21"/>
                      <w:u w:val="none" w:color="auto"/>
                      <w:lang w:val="en-US" w:eastAsia="zh-CN" w:bidi="ar-SA"/>
                    </w:rPr>
                  </w:pPr>
                </w:p>
              </w:tc>
              <w:tc>
                <w:tcPr>
                  <w:tcW w:w="1899" w:type="pct"/>
                  <w:gridSpan w:val="3"/>
                  <w:tcBorders>
                    <w:tl2br w:val="nil"/>
                    <w:tr2bl w:val="nil"/>
                  </w:tcBorders>
                  <w:vAlign w:val="center"/>
                </w:tcPr>
                <w:p w14:paraId="1B855412">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r>
                    <w:rPr>
                      <w:rFonts w:hint="eastAsia" w:ascii="Times New Roman" w:hAnsi="Times New Roman" w:eastAsia="宋体" w:cs="Times New Roman"/>
                      <w:snapToGrid/>
                      <w:color w:val="auto"/>
                      <w:kern w:val="0"/>
                      <w:sz w:val="21"/>
                      <w:szCs w:val="21"/>
                      <w:u w:val="none" w:color="auto"/>
                      <w:lang w:val="en-US" w:eastAsia="zh-CN" w:bidi="ar-SA"/>
                    </w:rPr>
                    <w:t>202</w:t>
                  </w:r>
                  <w:r>
                    <w:rPr>
                      <w:rFonts w:hint="eastAsia" w:cs="Times New Roman"/>
                      <w:snapToGrid/>
                      <w:color w:val="auto"/>
                      <w:kern w:val="0"/>
                      <w:sz w:val="21"/>
                      <w:szCs w:val="21"/>
                      <w:u w:val="none" w:color="auto"/>
                      <w:lang w:val="en-US" w:eastAsia="zh-CN" w:bidi="ar-SA"/>
                    </w:rPr>
                    <w:t>4</w:t>
                  </w:r>
                  <w:r>
                    <w:rPr>
                      <w:rFonts w:hint="eastAsia" w:ascii="Times New Roman" w:hAnsi="Times New Roman" w:eastAsia="宋体" w:cs="Times New Roman"/>
                      <w:snapToGrid/>
                      <w:color w:val="auto"/>
                      <w:kern w:val="0"/>
                      <w:sz w:val="21"/>
                      <w:szCs w:val="21"/>
                      <w:u w:val="none" w:color="auto"/>
                      <w:lang w:val="en-US" w:eastAsia="zh-CN" w:bidi="ar-SA"/>
                    </w:rPr>
                    <w:t>.</w:t>
                  </w:r>
                  <w:r>
                    <w:rPr>
                      <w:rFonts w:hint="eastAsia" w:cs="Times New Roman"/>
                      <w:snapToGrid/>
                      <w:color w:val="auto"/>
                      <w:kern w:val="0"/>
                      <w:sz w:val="21"/>
                      <w:szCs w:val="21"/>
                      <w:u w:val="none" w:color="auto"/>
                      <w:lang w:val="en-US" w:eastAsia="zh-CN" w:bidi="ar-SA"/>
                    </w:rPr>
                    <w:t>11</w:t>
                  </w:r>
                  <w:r>
                    <w:rPr>
                      <w:rFonts w:hint="eastAsia" w:ascii="Times New Roman" w:hAnsi="Times New Roman" w:eastAsia="宋体" w:cs="Times New Roman"/>
                      <w:snapToGrid/>
                      <w:color w:val="auto"/>
                      <w:kern w:val="0"/>
                      <w:sz w:val="21"/>
                      <w:szCs w:val="21"/>
                      <w:u w:val="none" w:color="auto"/>
                      <w:lang w:val="en-US" w:eastAsia="zh-CN" w:bidi="ar-SA"/>
                    </w:rPr>
                    <w:t>.</w:t>
                  </w:r>
                  <w:r>
                    <w:rPr>
                      <w:rFonts w:hint="eastAsia" w:cs="Times New Roman"/>
                      <w:snapToGrid/>
                      <w:color w:val="auto"/>
                      <w:kern w:val="0"/>
                      <w:sz w:val="21"/>
                      <w:szCs w:val="21"/>
                      <w:u w:val="none" w:color="auto"/>
                      <w:lang w:val="en-US" w:eastAsia="zh-CN" w:bidi="ar-SA"/>
                    </w:rPr>
                    <w:t>22</w:t>
                  </w:r>
                </w:p>
              </w:tc>
              <w:tc>
                <w:tcPr>
                  <w:tcW w:w="589" w:type="pct"/>
                  <w:vMerge w:val="restart"/>
                  <w:tcBorders>
                    <w:tl2br w:val="nil"/>
                    <w:tr2bl w:val="nil"/>
                  </w:tcBorders>
                  <w:vAlign w:val="center"/>
                </w:tcPr>
                <w:p w14:paraId="4CE4DA30">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r>
                    <w:rPr>
                      <w:rFonts w:hint="eastAsia" w:ascii="Times New Roman" w:hAnsi="Times New Roman" w:eastAsia="宋体" w:cs="Times New Roman"/>
                      <w:snapToGrid/>
                      <w:color w:val="auto"/>
                      <w:kern w:val="0"/>
                      <w:sz w:val="21"/>
                      <w:szCs w:val="21"/>
                      <w:u w:val="none" w:color="auto"/>
                      <w:lang w:val="en-US" w:eastAsia="zh-CN" w:bidi="ar-SA"/>
                    </w:rPr>
                    <w:t>平均值</w:t>
                  </w:r>
                </w:p>
              </w:tc>
              <w:tc>
                <w:tcPr>
                  <w:tcW w:w="334" w:type="pct"/>
                  <w:vMerge w:val="restart"/>
                  <w:tcBorders>
                    <w:tl2br w:val="nil"/>
                    <w:tr2bl w:val="nil"/>
                  </w:tcBorders>
                  <w:vAlign w:val="center"/>
                </w:tcPr>
                <w:p w14:paraId="4173C521">
                  <w:pPr>
                    <w:widowControl/>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kern w:val="0"/>
                      <w:sz w:val="21"/>
                      <w:szCs w:val="21"/>
                      <w:u w:val="none" w:color="auto"/>
                      <w:lang w:val="en-US" w:eastAsia="zh-CN" w:bidi="ar-SA"/>
                    </w:rPr>
                  </w:pPr>
                  <w:r>
                    <w:rPr>
                      <w:rFonts w:hint="eastAsia" w:ascii="Times New Roman" w:hAnsi="Times New Roman" w:eastAsia="宋体" w:cs="Times New Roman"/>
                      <w:snapToGrid/>
                      <w:color w:val="auto"/>
                      <w:kern w:val="0"/>
                      <w:sz w:val="21"/>
                      <w:szCs w:val="21"/>
                      <w:u w:val="none" w:color="auto"/>
                      <w:lang w:val="en-US" w:eastAsia="zh-CN" w:bidi="ar-SA"/>
                    </w:rPr>
                    <w:t>标准限值</w:t>
                  </w:r>
                </w:p>
              </w:tc>
            </w:tr>
            <w:tr w14:paraId="140CB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750" w:type="pct"/>
                  <w:vMerge w:val="continue"/>
                  <w:tcBorders>
                    <w:tl2br w:val="nil"/>
                    <w:tr2bl w:val="nil"/>
                  </w:tcBorders>
                  <w:vAlign w:val="center"/>
                </w:tcPr>
                <w:p w14:paraId="6D12318F">
                  <w:pPr>
                    <w:widowControl/>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kern w:val="0"/>
                      <w:sz w:val="21"/>
                      <w:szCs w:val="21"/>
                      <w:u w:val="none" w:color="auto"/>
                      <w:lang w:val="en-US" w:eastAsia="zh-CN" w:bidi="ar-SA"/>
                    </w:rPr>
                  </w:pPr>
                </w:p>
              </w:tc>
              <w:tc>
                <w:tcPr>
                  <w:tcW w:w="1427" w:type="pct"/>
                  <w:gridSpan w:val="2"/>
                  <w:vMerge w:val="continue"/>
                  <w:tcBorders>
                    <w:tl2br w:val="nil"/>
                    <w:tr2bl w:val="nil"/>
                  </w:tcBorders>
                  <w:vAlign w:val="center"/>
                </w:tcPr>
                <w:p w14:paraId="57E1B49B">
                  <w:pPr>
                    <w:widowControl/>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kern w:val="0"/>
                      <w:sz w:val="21"/>
                      <w:szCs w:val="21"/>
                      <w:u w:val="none" w:color="auto"/>
                      <w:lang w:val="en-US" w:eastAsia="zh-CN" w:bidi="ar-SA"/>
                    </w:rPr>
                  </w:pPr>
                </w:p>
              </w:tc>
              <w:tc>
                <w:tcPr>
                  <w:tcW w:w="676" w:type="pct"/>
                  <w:tcBorders>
                    <w:tl2br w:val="nil"/>
                    <w:tr2bl w:val="nil"/>
                  </w:tcBorders>
                  <w:vAlign w:val="center"/>
                </w:tcPr>
                <w:p w14:paraId="089D2C23">
                  <w:pPr>
                    <w:widowControl/>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kern w:val="0"/>
                      <w:sz w:val="21"/>
                      <w:szCs w:val="21"/>
                      <w:u w:val="none" w:color="auto"/>
                      <w:lang w:val="en-US" w:eastAsia="zh-CN" w:bidi="ar-SA"/>
                    </w:rPr>
                  </w:pPr>
                  <w:r>
                    <w:rPr>
                      <w:rFonts w:hint="eastAsia" w:ascii="Times New Roman" w:hAnsi="Times New Roman" w:eastAsia="宋体" w:cs="Times New Roman"/>
                      <w:snapToGrid/>
                      <w:color w:val="auto"/>
                      <w:kern w:val="0"/>
                      <w:sz w:val="21"/>
                      <w:szCs w:val="21"/>
                      <w:u w:val="none" w:color="auto"/>
                      <w:lang w:val="en-US" w:eastAsia="zh-CN" w:bidi="ar-SA"/>
                    </w:rPr>
                    <w:t>I</w:t>
                  </w:r>
                </w:p>
              </w:tc>
              <w:tc>
                <w:tcPr>
                  <w:tcW w:w="561" w:type="pct"/>
                  <w:tcBorders>
                    <w:tl2br w:val="nil"/>
                    <w:tr2bl w:val="nil"/>
                  </w:tcBorders>
                  <w:vAlign w:val="center"/>
                </w:tcPr>
                <w:p w14:paraId="335DF74E">
                  <w:pPr>
                    <w:widowControl/>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kern w:val="0"/>
                      <w:sz w:val="21"/>
                      <w:szCs w:val="21"/>
                      <w:u w:val="none" w:color="auto"/>
                      <w:lang w:val="en-US" w:eastAsia="zh-CN" w:bidi="ar-SA"/>
                    </w:rPr>
                  </w:pPr>
                  <w:r>
                    <w:rPr>
                      <w:rFonts w:hint="eastAsia" w:ascii="Times New Roman" w:hAnsi="Times New Roman" w:eastAsia="宋体" w:cs="Times New Roman"/>
                      <w:snapToGrid/>
                      <w:color w:val="auto"/>
                      <w:kern w:val="0"/>
                      <w:sz w:val="21"/>
                      <w:szCs w:val="21"/>
                      <w:u w:val="none" w:color="auto"/>
                      <w:lang w:val="en-US" w:eastAsia="zh-CN" w:bidi="ar-SA"/>
                    </w:rPr>
                    <w:t>Ⅱ</w:t>
                  </w:r>
                </w:p>
              </w:tc>
              <w:tc>
                <w:tcPr>
                  <w:tcW w:w="661" w:type="pct"/>
                  <w:tcBorders>
                    <w:tl2br w:val="nil"/>
                    <w:tr2bl w:val="nil"/>
                  </w:tcBorders>
                  <w:vAlign w:val="center"/>
                </w:tcPr>
                <w:p w14:paraId="63AE1789">
                  <w:pPr>
                    <w:widowControl/>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kern w:val="0"/>
                      <w:sz w:val="21"/>
                      <w:szCs w:val="21"/>
                      <w:u w:val="none" w:color="auto"/>
                      <w:lang w:val="en-US" w:eastAsia="zh-CN" w:bidi="ar-SA"/>
                    </w:rPr>
                  </w:pPr>
                  <w:r>
                    <w:rPr>
                      <w:rFonts w:hint="eastAsia" w:ascii="Times New Roman" w:hAnsi="Times New Roman" w:eastAsia="宋体" w:cs="Times New Roman"/>
                      <w:snapToGrid/>
                      <w:color w:val="auto"/>
                      <w:kern w:val="0"/>
                      <w:sz w:val="21"/>
                      <w:szCs w:val="21"/>
                      <w:u w:val="none" w:color="auto"/>
                      <w:lang w:val="en-US" w:eastAsia="zh-CN" w:bidi="ar-SA"/>
                    </w:rPr>
                    <w:t>Ⅲ</w:t>
                  </w:r>
                </w:p>
              </w:tc>
              <w:tc>
                <w:tcPr>
                  <w:tcW w:w="589" w:type="pct"/>
                  <w:vMerge w:val="continue"/>
                  <w:tcBorders>
                    <w:tl2br w:val="nil"/>
                    <w:tr2bl w:val="nil"/>
                  </w:tcBorders>
                  <w:vAlign w:val="center"/>
                </w:tcPr>
                <w:p w14:paraId="15C3109B">
                  <w:pPr>
                    <w:widowControl/>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kern w:val="0"/>
                      <w:sz w:val="21"/>
                      <w:szCs w:val="21"/>
                      <w:u w:val="none" w:color="auto"/>
                      <w:lang w:val="en-US" w:eastAsia="zh-CN" w:bidi="ar-SA"/>
                    </w:rPr>
                  </w:pPr>
                </w:p>
              </w:tc>
              <w:tc>
                <w:tcPr>
                  <w:tcW w:w="334" w:type="pct"/>
                  <w:vMerge w:val="continue"/>
                  <w:tcBorders>
                    <w:tl2br w:val="nil"/>
                    <w:tr2bl w:val="nil"/>
                  </w:tcBorders>
                  <w:vAlign w:val="center"/>
                </w:tcPr>
                <w:p w14:paraId="6E047A29">
                  <w:pPr>
                    <w:widowControl/>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kern w:val="0"/>
                      <w:sz w:val="21"/>
                      <w:szCs w:val="21"/>
                      <w:u w:val="none" w:color="auto"/>
                      <w:lang w:val="en-US" w:eastAsia="zh-CN" w:bidi="ar-SA"/>
                    </w:rPr>
                  </w:pPr>
                </w:p>
              </w:tc>
            </w:tr>
            <w:tr w14:paraId="0085C8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750" w:type="pct"/>
                  <w:vMerge w:val="restart"/>
                  <w:tcBorders>
                    <w:tl2br w:val="nil"/>
                    <w:tr2bl w:val="nil"/>
                  </w:tcBorders>
                  <w:vAlign w:val="center"/>
                </w:tcPr>
                <w:p w14:paraId="3B4AD880">
                  <w:pPr>
                    <w:widowControl/>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kern w:val="0"/>
                      <w:sz w:val="21"/>
                      <w:szCs w:val="21"/>
                      <w:u w:val="none" w:color="auto"/>
                      <w:lang w:val="en-US" w:eastAsia="zh-CN" w:bidi="ar-SA"/>
                    </w:rPr>
                  </w:pPr>
                  <w:r>
                    <w:rPr>
                      <w:rFonts w:hint="eastAsia" w:ascii="Times New Roman" w:hAnsi="Times New Roman" w:eastAsia="宋体" w:cs="Times New Roman"/>
                      <w:snapToGrid/>
                      <w:color w:val="auto"/>
                      <w:kern w:val="0"/>
                      <w:sz w:val="21"/>
                      <w:szCs w:val="21"/>
                      <w:u w:val="none" w:color="auto"/>
                      <w:lang w:val="en-US" w:eastAsia="zh-CN" w:bidi="ar-SA"/>
                    </w:rPr>
                    <w:t>废气排放口DA001</w:t>
                  </w:r>
                </w:p>
              </w:tc>
              <w:tc>
                <w:tcPr>
                  <w:tcW w:w="1427" w:type="pct"/>
                  <w:gridSpan w:val="2"/>
                  <w:tcBorders>
                    <w:tl2br w:val="nil"/>
                    <w:tr2bl w:val="nil"/>
                  </w:tcBorders>
                  <w:vAlign w:val="center"/>
                </w:tcPr>
                <w:p w14:paraId="06EB9DF0">
                  <w:pPr>
                    <w:widowControl/>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kern w:val="0"/>
                      <w:sz w:val="21"/>
                      <w:szCs w:val="21"/>
                      <w:u w:val="none" w:color="auto"/>
                      <w:lang w:val="en-US" w:eastAsia="zh-CN" w:bidi="ar-SA"/>
                    </w:rPr>
                  </w:pPr>
                  <w:r>
                    <w:rPr>
                      <w:rFonts w:hint="eastAsia" w:ascii="Times New Roman" w:hAnsi="Times New Roman" w:eastAsia="宋体" w:cs="Times New Roman"/>
                      <w:snapToGrid/>
                      <w:color w:val="auto"/>
                      <w:kern w:val="0"/>
                      <w:sz w:val="21"/>
                      <w:szCs w:val="21"/>
                      <w:u w:val="none" w:color="auto"/>
                      <w:lang w:val="en-US" w:eastAsia="zh-CN" w:bidi="ar-SA"/>
                    </w:rPr>
                    <w:t>标干风量</w:t>
                  </w:r>
                </w:p>
              </w:tc>
              <w:tc>
                <w:tcPr>
                  <w:tcW w:w="676" w:type="pct"/>
                  <w:tcBorders>
                    <w:tl2br w:val="nil"/>
                    <w:tr2bl w:val="nil"/>
                  </w:tcBorders>
                  <w:vAlign w:val="center"/>
                </w:tcPr>
                <w:p w14:paraId="5ABDF231">
                  <w:pPr>
                    <w:widowControl/>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kern w:val="0"/>
                      <w:sz w:val="21"/>
                      <w:szCs w:val="21"/>
                      <w:u w:val="none" w:color="auto"/>
                      <w:lang w:val="en-US" w:eastAsia="zh-CN" w:bidi="ar-SA"/>
                    </w:rPr>
                  </w:pPr>
                  <w:r>
                    <w:rPr>
                      <w:rFonts w:hint="eastAsia" w:cs="Times New Roman"/>
                      <w:snapToGrid/>
                      <w:color w:val="auto"/>
                      <w:kern w:val="0"/>
                      <w:sz w:val="21"/>
                      <w:szCs w:val="21"/>
                      <w:u w:val="none" w:color="auto"/>
                      <w:lang w:val="en-US" w:eastAsia="zh-CN" w:bidi="ar-SA"/>
                    </w:rPr>
                    <w:t>/</w:t>
                  </w:r>
                </w:p>
              </w:tc>
              <w:tc>
                <w:tcPr>
                  <w:tcW w:w="561" w:type="pct"/>
                  <w:tcBorders>
                    <w:tl2br w:val="nil"/>
                    <w:tr2bl w:val="nil"/>
                  </w:tcBorders>
                  <w:vAlign w:val="center"/>
                </w:tcPr>
                <w:p w14:paraId="761429A5">
                  <w:pPr>
                    <w:widowControl/>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kern w:val="0"/>
                      <w:sz w:val="21"/>
                      <w:szCs w:val="21"/>
                      <w:u w:val="none" w:color="auto"/>
                      <w:lang w:val="en-US" w:eastAsia="zh-CN" w:bidi="ar-SA"/>
                    </w:rPr>
                  </w:pPr>
                  <w:r>
                    <w:rPr>
                      <w:rFonts w:hint="eastAsia" w:cs="Times New Roman"/>
                      <w:snapToGrid/>
                      <w:color w:val="auto"/>
                      <w:kern w:val="0"/>
                      <w:sz w:val="21"/>
                      <w:szCs w:val="21"/>
                      <w:u w:val="none" w:color="auto"/>
                      <w:lang w:val="en-US" w:eastAsia="zh-CN" w:bidi="ar-SA"/>
                    </w:rPr>
                    <w:t>/</w:t>
                  </w:r>
                </w:p>
              </w:tc>
              <w:tc>
                <w:tcPr>
                  <w:tcW w:w="661" w:type="pct"/>
                  <w:tcBorders>
                    <w:tl2br w:val="nil"/>
                    <w:tr2bl w:val="nil"/>
                  </w:tcBorders>
                  <w:vAlign w:val="center"/>
                </w:tcPr>
                <w:p w14:paraId="272C2F26">
                  <w:pPr>
                    <w:widowControl/>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kern w:val="0"/>
                      <w:sz w:val="21"/>
                      <w:szCs w:val="21"/>
                      <w:u w:val="none" w:color="auto"/>
                      <w:lang w:val="en-US" w:eastAsia="zh-CN" w:bidi="ar-SA"/>
                    </w:rPr>
                  </w:pPr>
                  <w:r>
                    <w:rPr>
                      <w:rFonts w:hint="eastAsia" w:cs="Times New Roman"/>
                      <w:snapToGrid/>
                      <w:color w:val="auto"/>
                      <w:kern w:val="0"/>
                      <w:sz w:val="21"/>
                      <w:szCs w:val="21"/>
                      <w:u w:val="none" w:color="auto"/>
                      <w:lang w:val="en-US" w:eastAsia="zh-CN" w:bidi="ar-SA"/>
                    </w:rPr>
                    <w:t>/</w:t>
                  </w:r>
                </w:p>
              </w:tc>
              <w:tc>
                <w:tcPr>
                  <w:tcW w:w="589" w:type="pct"/>
                  <w:tcBorders>
                    <w:tl2br w:val="nil"/>
                    <w:tr2bl w:val="nil"/>
                  </w:tcBorders>
                  <w:vAlign w:val="center"/>
                </w:tcPr>
                <w:p w14:paraId="6A0DA4FD">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r>
                    <w:rPr>
                      <w:rFonts w:hint="eastAsia" w:cs="Times New Roman"/>
                      <w:snapToGrid/>
                      <w:color w:val="auto"/>
                      <w:kern w:val="0"/>
                      <w:sz w:val="21"/>
                      <w:szCs w:val="21"/>
                      <w:u w:val="none" w:color="auto"/>
                      <w:lang w:val="en-US" w:eastAsia="zh-CN" w:bidi="ar-SA"/>
                    </w:rPr>
                    <w:t>3163</w:t>
                  </w:r>
                </w:p>
              </w:tc>
              <w:tc>
                <w:tcPr>
                  <w:tcW w:w="334" w:type="pct"/>
                  <w:tcBorders>
                    <w:tl2br w:val="nil"/>
                    <w:tr2bl w:val="nil"/>
                  </w:tcBorders>
                  <w:vAlign w:val="center"/>
                </w:tcPr>
                <w:p w14:paraId="76555D10">
                  <w:pPr>
                    <w:widowControl/>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kern w:val="0"/>
                      <w:sz w:val="21"/>
                      <w:szCs w:val="21"/>
                      <w:u w:val="none" w:color="auto"/>
                      <w:lang w:val="en-US" w:eastAsia="zh-CN" w:bidi="ar-SA"/>
                    </w:rPr>
                  </w:pPr>
                  <w:r>
                    <w:rPr>
                      <w:rFonts w:hint="eastAsia" w:ascii="Times New Roman" w:hAnsi="Times New Roman" w:eastAsia="宋体" w:cs="Times New Roman"/>
                      <w:snapToGrid/>
                      <w:color w:val="auto"/>
                      <w:kern w:val="0"/>
                      <w:sz w:val="21"/>
                      <w:szCs w:val="21"/>
                      <w:u w:val="none" w:color="auto"/>
                      <w:lang w:val="en-US" w:eastAsia="zh-CN" w:bidi="ar-SA"/>
                    </w:rPr>
                    <w:t>/</w:t>
                  </w:r>
                </w:p>
              </w:tc>
            </w:tr>
            <w:tr w14:paraId="2F59DF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750" w:type="pct"/>
                  <w:vMerge w:val="continue"/>
                  <w:tcBorders>
                    <w:tl2br w:val="nil"/>
                    <w:tr2bl w:val="nil"/>
                  </w:tcBorders>
                  <w:vAlign w:val="center"/>
                </w:tcPr>
                <w:p w14:paraId="545E55EE">
                  <w:pPr>
                    <w:widowControl/>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kern w:val="0"/>
                      <w:sz w:val="21"/>
                      <w:szCs w:val="21"/>
                      <w:u w:val="none" w:color="auto"/>
                      <w:lang w:val="en-US" w:eastAsia="zh-CN" w:bidi="ar-SA"/>
                    </w:rPr>
                  </w:pPr>
                </w:p>
              </w:tc>
              <w:tc>
                <w:tcPr>
                  <w:tcW w:w="863" w:type="pct"/>
                  <w:tcBorders>
                    <w:tl2br w:val="nil"/>
                    <w:tr2bl w:val="nil"/>
                  </w:tcBorders>
                  <w:vAlign w:val="center"/>
                </w:tcPr>
                <w:p w14:paraId="3E66A3BA">
                  <w:pPr>
                    <w:widowControl/>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kern w:val="0"/>
                      <w:sz w:val="21"/>
                      <w:szCs w:val="21"/>
                      <w:u w:val="none" w:color="auto"/>
                      <w:lang w:val="en-US" w:eastAsia="zh-CN" w:bidi="ar-SA"/>
                    </w:rPr>
                  </w:pPr>
                  <w:r>
                    <w:rPr>
                      <w:rFonts w:hint="eastAsia" w:ascii="Times New Roman" w:hAnsi="Times New Roman" w:eastAsia="宋体" w:cs="Times New Roman"/>
                      <w:snapToGrid/>
                      <w:color w:val="auto"/>
                      <w:kern w:val="0"/>
                      <w:sz w:val="21"/>
                      <w:szCs w:val="21"/>
                      <w:u w:val="none" w:color="auto"/>
                      <w:lang w:val="en-US" w:eastAsia="zh-CN" w:bidi="ar-SA"/>
                    </w:rPr>
                    <w:t>非甲烷总烃</w:t>
                  </w:r>
                </w:p>
              </w:tc>
              <w:tc>
                <w:tcPr>
                  <w:tcW w:w="563" w:type="pct"/>
                  <w:tcBorders>
                    <w:tl2br w:val="nil"/>
                    <w:tr2bl w:val="nil"/>
                  </w:tcBorders>
                  <w:vAlign w:val="center"/>
                </w:tcPr>
                <w:p w14:paraId="69599531">
                  <w:pPr>
                    <w:widowControl/>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kern w:val="0"/>
                      <w:sz w:val="21"/>
                      <w:szCs w:val="21"/>
                      <w:u w:val="none" w:color="auto"/>
                      <w:lang w:val="en-US" w:eastAsia="zh-CN" w:bidi="ar-SA"/>
                    </w:rPr>
                  </w:pPr>
                  <w:r>
                    <w:rPr>
                      <w:rFonts w:hint="eastAsia" w:ascii="Times New Roman" w:hAnsi="Times New Roman" w:eastAsia="宋体" w:cs="Times New Roman"/>
                      <w:snapToGrid/>
                      <w:color w:val="auto"/>
                      <w:kern w:val="0"/>
                      <w:sz w:val="21"/>
                      <w:szCs w:val="21"/>
                      <w:u w:val="none" w:color="auto"/>
                      <w:lang w:val="en-US" w:eastAsia="zh-CN" w:bidi="ar-SA"/>
                    </w:rPr>
                    <w:t>实测浓度</w:t>
                  </w:r>
                </w:p>
              </w:tc>
              <w:tc>
                <w:tcPr>
                  <w:tcW w:w="676" w:type="pct"/>
                  <w:tcBorders>
                    <w:tl2br w:val="nil"/>
                    <w:tr2bl w:val="nil"/>
                  </w:tcBorders>
                  <w:vAlign w:val="center"/>
                </w:tcPr>
                <w:p w14:paraId="18E08F9F">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r>
                    <w:rPr>
                      <w:rFonts w:hint="eastAsia" w:cs="Times New Roman"/>
                      <w:snapToGrid/>
                      <w:color w:val="auto"/>
                      <w:kern w:val="0"/>
                      <w:sz w:val="21"/>
                      <w:szCs w:val="21"/>
                      <w:u w:val="none" w:color="auto"/>
                      <w:lang w:val="en-US" w:eastAsia="zh-CN" w:bidi="ar-SA"/>
                    </w:rPr>
                    <w:t>10.7</w:t>
                  </w:r>
                </w:p>
              </w:tc>
              <w:tc>
                <w:tcPr>
                  <w:tcW w:w="561" w:type="pct"/>
                  <w:tcBorders>
                    <w:tl2br w:val="nil"/>
                    <w:tr2bl w:val="nil"/>
                  </w:tcBorders>
                  <w:vAlign w:val="center"/>
                </w:tcPr>
                <w:p w14:paraId="26E7C61C">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r>
                    <w:rPr>
                      <w:rFonts w:hint="eastAsia" w:cs="Times New Roman"/>
                      <w:snapToGrid/>
                      <w:color w:val="auto"/>
                      <w:kern w:val="0"/>
                      <w:sz w:val="21"/>
                      <w:szCs w:val="21"/>
                      <w:u w:val="none" w:color="auto"/>
                      <w:lang w:val="en-US" w:eastAsia="zh-CN" w:bidi="ar-SA"/>
                    </w:rPr>
                    <w:t>11.1</w:t>
                  </w:r>
                </w:p>
              </w:tc>
              <w:tc>
                <w:tcPr>
                  <w:tcW w:w="661" w:type="pct"/>
                  <w:tcBorders>
                    <w:tl2br w:val="nil"/>
                    <w:tr2bl w:val="nil"/>
                  </w:tcBorders>
                  <w:vAlign w:val="center"/>
                </w:tcPr>
                <w:p w14:paraId="0CA41728">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r>
                    <w:rPr>
                      <w:rFonts w:hint="eastAsia" w:cs="Times New Roman"/>
                      <w:snapToGrid/>
                      <w:color w:val="auto"/>
                      <w:kern w:val="0"/>
                      <w:sz w:val="21"/>
                      <w:szCs w:val="21"/>
                      <w:u w:val="none" w:color="auto"/>
                      <w:lang w:val="en-US" w:eastAsia="zh-CN" w:bidi="ar-SA"/>
                    </w:rPr>
                    <w:t>11.4</w:t>
                  </w:r>
                </w:p>
              </w:tc>
              <w:tc>
                <w:tcPr>
                  <w:tcW w:w="589" w:type="pct"/>
                  <w:tcBorders>
                    <w:tl2br w:val="nil"/>
                    <w:tr2bl w:val="nil"/>
                  </w:tcBorders>
                  <w:vAlign w:val="center"/>
                </w:tcPr>
                <w:p w14:paraId="053CAD3C">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r>
                    <w:rPr>
                      <w:rFonts w:hint="eastAsia" w:cs="Times New Roman"/>
                      <w:snapToGrid/>
                      <w:color w:val="auto"/>
                      <w:kern w:val="0"/>
                      <w:sz w:val="21"/>
                      <w:szCs w:val="21"/>
                      <w:u w:val="none" w:color="auto"/>
                      <w:lang w:val="en-US" w:eastAsia="zh-CN" w:bidi="ar-SA"/>
                    </w:rPr>
                    <w:t>11.1</w:t>
                  </w:r>
                </w:p>
              </w:tc>
              <w:tc>
                <w:tcPr>
                  <w:tcW w:w="334" w:type="pct"/>
                  <w:tcBorders>
                    <w:tl2br w:val="nil"/>
                    <w:tr2bl w:val="nil"/>
                  </w:tcBorders>
                  <w:vAlign w:val="center"/>
                </w:tcPr>
                <w:p w14:paraId="13B01830">
                  <w:pPr>
                    <w:widowControl/>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kern w:val="0"/>
                      <w:sz w:val="21"/>
                      <w:szCs w:val="21"/>
                      <w:u w:val="none" w:color="auto"/>
                      <w:lang w:val="en-US" w:eastAsia="zh-CN" w:bidi="ar-SA"/>
                    </w:rPr>
                  </w:pPr>
                  <w:r>
                    <w:rPr>
                      <w:rFonts w:hint="eastAsia" w:ascii="Times New Roman" w:hAnsi="Times New Roman" w:eastAsia="宋体" w:cs="Times New Roman"/>
                      <w:snapToGrid/>
                      <w:color w:val="auto"/>
                      <w:kern w:val="0"/>
                      <w:sz w:val="21"/>
                      <w:szCs w:val="21"/>
                      <w:u w:val="none" w:color="auto"/>
                      <w:lang w:val="en-US" w:eastAsia="zh-CN" w:bidi="ar-SA"/>
                    </w:rPr>
                    <w:t>50</w:t>
                  </w:r>
                </w:p>
              </w:tc>
            </w:tr>
          </w:tbl>
          <w:p w14:paraId="73958306">
            <w:pPr>
              <w:bidi w:val="0"/>
              <w:rPr>
                <w:rFonts w:hint="eastAsia" w:ascii="Times New Roman" w:hAnsi="Times New Roman" w:cs="Times New Roman"/>
                <w:snapToGrid/>
                <w:color w:val="auto"/>
                <w:kern w:val="0"/>
                <w:sz w:val="24"/>
                <w:szCs w:val="24"/>
                <w:u w:val="none" w:color="auto"/>
                <w:vertAlign w:val="baseline"/>
                <w:lang w:val="en-US" w:eastAsia="zh-CN" w:bidi="ar-SA"/>
              </w:rPr>
            </w:pPr>
            <w:r>
              <w:rPr>
                <w:rFonts w:hint="eastAsia" w:ascii="Times New Roman" w:hAnsi="Times New Roman" w:cs="Times New Roman"/>
                <w:color w:val="auto"/>
                <w:sz w:val="24"/>
                <w:szCs w:val="24"/>
                <w:u w:val="none" w:color="auto"/>
                <w:lang w:val="en-US" w:eastAsia="zh-CN"/>
              </w:rPr>
              <w:t>据上述统计数据，</w:t>
            </w:r>
            <w:r>
              <w:rPr>
                <w:rFonts w:hint="eastAsia" w:cs="Times New Roman"/>
                <w:color w:val="auto"/>
                <w:sz w:val="24"/>
                <w:szCs w:val="24"/>
                <w:u w:val="none" w:color="auto"/>
                <w:lang w:val="en-US" w:eastAsia="zh-CN"/>
              </w:rPr>
              <w:t>检测期间，</w:t>
            </w:r>
            <w:r>
              <w:rPr>
                <w:rFonts w:hint="eastAsia" w:ascii="Times New Roman" w:hAnsi="Times New Roman" w:cs="Times New Roman"/>
                <w:color w:val="auto"/>
                <w:sz w:val="24"/>
                <w:szCs w:val="24"/>
                <w:u w:val="none" w:color="auto"/>
                <w:lang w:val="en-US" w:eastAsia="zh-CN"/>
              </w:rPr>
              <w:t>项目</w:t>
            </w:r>
            <w:r>
              <w:rPr>
                <w:rFonts w:hint="eastAsia"/>
                <w:color w:val="auto"/>
                <w:sz w:val="24"/>
                <w:szCs w:val="24"/>
                <w:u w:val="none" w:color="auto"/>
              </w:rPr>
              <w:t>NMP回收系统</w:t>
            </w:r>
            <w:r>
              <w:rPr>
                <w:rFonts w:hint="eastAsia" w:ascii="Times New Roman" w:hAnsi="Times New Roman" w:cs="Times New Roman"/>
                <w:color w:val="auto"/>
                <w:sz w:val="24"/>
                <w:szCs w:val="24"/>
                <w:u w:val="none" w:color="auto"/>
                <w:lang w:val="en-US" w:eastAsia="zh-CN"/>
              </w:rPr>
              <w:t>废气排放口（DA001）平均风量为</w:t>
            </w:r>
            <w:r>
              <w:rPr>
                <w:rFonts w:hint="eastAsia" w:cs="Times New Roman"/>
                <w:color w:val="auto"/>
                <w:sz w:val="24"/>
                <w:szCs w:val="24"/>
                <w:u w:val="none" w:color="auto"/>
                <w:lang w:val="en-US" w:eastAsia="zh-CN"/>
              </w:rPr>
              <w:t>3163</w:t>
            </w:r>
            <w:r>
              <w:rPr>
                <w:rFonts w:hint="eastAsia" w:ascii="Times New Roman" w:hAnsi="Times New Roman" w:eastAsia="宋体" w:cs="Times New Roman"/>
                <w:snapToGrid/>
                <w:color w:val="auto"/>
                <w:kern w:val="0"/>
                <w:sz w:val="24"/>
                <w:szCs w:val="24"/>
                <w:u w:val="none" w:color="auto"/>
                <w:lang w:val="en-US" w:eastAsia="zh-CN" w:bidi="ar-SA"/>
              </w:rPr>
              <w:t>m</w:t>
            </w:r>
            <w:r>
              <w:rPr>
                <w:rFonts w:hint="eastAsia" w:ascii="Times New Roman" w:hAnsi="Times New Roman" w:eastAsia="宋体" w:cs="Times New Roman"/>
                <w:snapToGrid/>
                <w:color w:val="auto"/>
                <w:kern w:val="0"/>
                <w:sz w:val="24"/>
                <w:szCs w:val="24"/>
                <w:u w:val="none" w:color="auto"/>
                <w:vertAlign w:val="superscript"/>
                <w:lang w:val="en-US" w:eastAsia="zh-CN" w:bidi="ar-SA"/>
              </w:rPr>
              <w:t>3</w:t>
            </w:r>
            <w:r>
              <w:rPr>
                <w:rFonts w:hint="eastAsia" w:ascii="Times New Roman" w:hAnsi="Times New Roman" w:eastAsia="宋体" w:cs="Times New Roman"/>
                <w:snapToGrid/>
                <w:color w:val="auto"/>
                <w:kern w:val="0"/>
                <w:sz w:val="24"/>
                <w:szCs w:val="24"/>
                <w:u w:val="none" w:color="auto"/>
                <w:lang w:val="en-US" w:eastAsia="zh-CN" w:bidi="ar-SA"/>
              </w:rPr>
              <w:t>/h</w:t>
            </w:r>
            <w:r>
              <w:rPr>
                <w:rFonts w:hint="eastAsia" w:ascii="Times New Roman" w:hAnsi="Times New Roman" w:cs="Times New Roman"/>
                <w:snapToGrid/>
                <w:color w:val="auto"/>
                <w:kern w:val="0"/>
                <w:sz w:val="24"/>
                <w:szCs w:val="24"/>
                <w:u w:val="none" w:color="auto"/>
                <w:lang w:val="en-US" w:eastAsia="zh-CN" w:bidi="ar-SA"/>
              </w:rPr>
              <w:t>，非甲烷总烃</w:t>
            </w:r>
            <w:r>
              <w:rPr>
                <w:rFonts w:hint="eastAsia" w:cs="Times New Roman"/>
                <w:snapToGrid/>
                <w:color w:val="auto"/>
                <w:kern w:val="0"/>
                <w:sz w:val="24"/>
                <w:szCs w:val="24"/>
                <w:u w:val="none" w:color="auto"/>
                <w:lang w:val="en-US" w:eastAsia="zh-CN" w:bidi="ar-SA"/>
              </w:rPr>
              <w:t>平均</w:t>
            </w:r>
            <w:r>
              <w:rPr>
                <w:rFonts w:hint="eastAsia" w:ascii="Times New Roman" w:hAnsi="Times New Roman" w:cs="Times New Roman"/>
                <w:snapToGrid/>
                <w:color w:val="auto"/>
                <w:kern w:val="0"/>
                <w:sz w:val="24"/>
                <w:szCs w:val="24"/>
                <w:u w:val="none" w:color="auto"/>
                <w:lang w:val="en-US" w:eastAsia="zh-CN" w:bidi="ar-SA"/>
              </w:rPr>
              <w:t>排放浓度为</w:t>
            </w:r>
            <w:r>
              <w:rPr>
                <w:rFonts w:hint="eastAsia" w:cs="Times New Roman"/>
                <w:snapToGrid/>
                <w:color w:val="auto"/>
                <w:kern w:val="0"/>
                <w:sz w:val="24"/>
                <w:szCs w:val="24"/>
                <w:u w:val="none" w:color="auto"/>
                <w:lang w:val="en-US" w:eastAsia="zh-CN" w:bidi="ar-SA"/>
              </w:rPr>
              <w:t>11.1</w:t>
            </w:r>
            <w:r>
              <w:rPr>
                <w:rFonts w:hint="eastAsia" w:ascii="Times New Roman" w:hAnsi="Times New Roman" w:eastAsia="宋体" w:cs="Times New Roman"/>
                <w:snapToGrid/>
                <w:color w:val="auto"/>
                <w:kern w:val="0"/>
                <w:sz w:val="24"/>
                <w:szCs w:val="24"/>
                <w:u w:val="none" w:color="auto"/>
                <w:lang w:val="en-US" w:eastAsia="zh-CN" w:bidi="ar-SA"/>
              </w:rPr>
              <w:t>mg/m</w:t>
            </w:r>
            <w:r>
              <w:rPr>
                <w:rFonts w:hint="eastAsia" w:ascii="Times New Roman" w:hAnsi="Times New Roman" w:eastAsia="宋体" w:cs="Times New Roman"/>
                <w:snapToGrid/>
                <w:color w:val="auto"/>
                <w:kern w:val="0"/>
                <w:sz w:val="24"/>
                <w:szCs w:val="24"/>
                <w:u w:val="none" w:color="auto"/>
                <w:vertAlign w:val="superscript"/>
                <w:lang w:val="en-US" w:eastAsia="zh-CN" w:bidi="ar-SA"/>
              </w:rPr>
              <w:t>3</w:t>
            </w:r>
            <w:r>
              <w:rPr>
                <w:rFonts w:hint="eastAsia" w:ascii="Times New Roman" w:hAnsi="Times New Roman" w:cs="Times New Roman"/>
                <w:snapToGrid/>
                <w:color w:val="auto"/>
                <w:kern w:val="0"/>
                <w:sz w:val="24"/>
                <w:szCs w:val="24"/>
                <w:u w:val="none" w:color="auto"/>
                <w:vertAlign w:val="baseline"/>
                <w:lang w:val="en-US" w:eastAsia="zh-CN" w:bidi="ar-SA"/>
              </w:rPr>
              <w:t>。</w:t>
            </w:r>
          </w:p>
          <w:p w14:paraId="2EFA825E">
            <w:pPr>
              <w:bidi w:val="0"/>
              <w:rPr>
                <w:rFonts w:hint="default" w:ascii="Times New Roman" w:hAnsi="Times New Roman" w:eastAsia="宋体" w:cs="Times New Roman"/>
                <w:color w:val="auto"/>
                <w:sz w:val="24"/>
                <w:szCs w:val="24"/>
                <w:u w:val="none" w:color="auto"/>
                <w:vertAlign w:val="baseline"/>
                <w:lang w:val="en-US" w:eastAsia="zh-CN"/>
              </w:rPr>
            </w:pPr>
            <w:r>
              <w:rPr>
                <w:rFonts w:hint="eastAsia" w:ascii="Times New Roman" w:hAnsi="Times New Roman" w:cs="Times New Roman"/>
                <w:snapToGrid/>
                <w:color w:val="auto"/>
                <w:kern w:val="0"/>
                <w:sz w:val="24"/>
                <w:szCs w:val="24"/>
                <w:u w:val="none" w:color="auto"/>
                <w:vertAlign w:val="baseline"/>
                <w:lang w:val="en-US" w:eastAsia="zh-CN" w:bidi="ar-SA"/>
              </w:rPr>
              <w:t>本次源强预测的</w:t>
            </w:r>
            <w:r>
              <w:rPr>
                <w:rFonts w:hint="eastAsia" w:cs="Times New Roman"/>
                <w:snapToGrid/>
                <w:color w:val="auto"/>
                <w:kern w:val="0"/>
                <w:sz w:val="24"/>
                <w:szCs w:val="24"/>
                <w:u w:val="none" w:color="auto"/>
                <w:vertAlign w:val="baseline"/>
                <w:lang w:val="en-US" w:eastAsia="zh-CN" w:bidi="ar-SA"/>
              </w:rPr>
              <w:t>风量是</w:t>
            </w:r>
            <w:r>
              <w:rPr>
                <w:rFonts w:hint="eastAsia"/>
                <w:color w:val="auto"/>
                <w:u w:val="none" w:color="auto"/>
              </w:rPr>
              <w:t>10</w:t>
            </w:r>
            <w:r>
              <w:rPr>
                <w:color w:val="auto"/>
                <w:u w:val="none" w:color="auto"/>
              </w:rPr>
              <w:t>000m</w:t>
            </w:r>
            <w:r>
              <w:rPr>
                <w:color w:val="auto"/>
                <w:u w:val="none" w:color="auto"/>
                <w:vertAlign w:val="superscript"/>
              </w:rPr>
              <w:t>3</w:t>
            </w:r>
            <w:r>
              <w:rPr>
                <w:color w:val="auto"/>
                <w:u w:val="none" w:color="auto"/>
              </w:rPr>
              <w:t>/h</w:t>
            </w:r>
            <w:r>
              <w:rPr>
                <w:rFonts w:hint="eastAsia"/>
                <w:color w:val="auto"/>
                <w:u w:val="none" w:color="auto"/>
                <w:lang w:eastAsia="zh-CN"/>
              </w:rPr>
              <w:t>，</w:t>
            </w:r>
            <w:r>
              <w:rPr>
                <w:rFonts w:hint="eastAsia" w:ascii="Times New Roman" w:hAnsi="Times New Roman" w:cs="Times New Roman"/>
                <w:snapToGrid/>
                <w:color w:val="auto"/>
                <w:kern w:val="0"/>
                <w:sz w:val="24"/>
                <w:szCs w:val="24"/>
                <w:u w:val="none" w:color="auto"/>
                <w:vertAlign w:val="baseline"/>
                <w:lang w:val="en-US" w:eastAsia="zh-CN" w:bidi="ar-SA"/>
              </w:rPr>
              <w:t>非甲烷总烃污染源强为</w:t>
            </w:r>
            <w:r>
              <w:rPr>
                <w:rFonts w:hint="eastAsia"/>
                <w:color w:val="auto"/>
                <w:u w:val="none" w:color="auto"/>
                <w:lang w:val="en-US" w:eastAsia="zh-CN"/>
              </w:rPr>
              <w:t>21.7</w:t>
            </w:r>
            <w:r>
              <w:rPr>
                <w:rFonts w:hint="eastAsia"/>
                <w:color w:val="auto"/>
                <w:u w:val="none" w:color="auto"/>
              </w:rPr>
              <w:t>mg/m</w:t>
            </w:r>
            <w:r>
              <w:rPr>
                <w:rFonts w:hint="eastAsia"/>
                <w:color w:val="auto"/>
                <w:u w:val="none" w:color="auto"/>
                <w:vertAlign w:val="superscript"/>
              </w:rPr>
              <w:t>3</w:t>
            </w:r>
            <w:r>
              <w:rPr>
                <w:rFonts w:hint="eastAsia"/>
                <w:color w:val="auto"/>
                <w:u w:val="none" w:color="auto"/>
                <w:vertAlign w:val="baseline"/>
                <w:lang w:eastAsia="zh-CN"/>
              </w:rPr>
              <w:t>，较</w:t>
            </w:r>
            <w:r>
              <w:rPr>
                <w:rFonts w:hint="eastAsia" w:ascii="Times New Roman" w:hAnsi="Times New Roman" w:cs="Times New Roman"/>
                <w:snapToGrid/>
                <w:color w:val="auto"/>
                <w:kern w:val="0"/>
                <w:sz w:val="24"/>
                <w:szCs w:val="24"/>
                <w:u w:val="none" w:color="auto"/>
                <w:vertAlign w:val="baseline"/>
                <w:lang w:val="en-US" w:eastAsia="zh-CN" w:bidi="ar-SA"/>
              </w:rPr>
              <w:t>自行监测的污染源强为</w:t>
            </w:r>
            <w:r>
              <w:rPr>
                <w:rFonts w:hint="eastAsia" w:cs="Times New Roman"/>
                <w:snapToGrid/>
                <w:color w:val="auto"/>
                <w:kern w:val="0"/>
                <w:sz w:val="24"/>
                <w:szCs w:val="24"/>
                <w:u w:val="none" w:color="auto"/>
                <w:vertAlign w:val="baseline"/>
                <w:lang w:val="en-US" w:eastAsia="zh-CN" w:bidi="ar-SA"/>
              </w:rPr>
              <w:t>11.1</w:t>
            </w:r>
            <w:r>
              <w:rPr>
                <w:rFonts w:hint="eastAsia"/>
                <w:color w:val="auto"/>
                <w:u w:val="none" w:color="auto"/>
              </w:rPr>
              <w:t>mg/m</w:t>
            </w:r>
            <w:r>
              <w:rPr>
                <w:rFonts w:hint="eastAsia"/>
                <w:color w:val="auto"/>
                <w:u w:val="none" w:color="auto"/>
                <w:vertAlign w:val="superscript"/>
              </w:rPr>
              <w:t>3</w:t>
            </w:r>
            <w:r>
              <w:rPr>
                <w:rFonts w:hint="eastAsia"/>
                <w:color w:val="auto"/>
                <w:u w:val="none" w:color="auto"/>
                <w:vertAlign w:val="baseline"/>
                <w:lang w:eastAsia="zh-CN"/>
              </w:rPr>
              <w:t>大，</w:t>
            </w:r>
            <w:r>
              <w:rPr>
                <w:rFonts w:hint="eastAsia"/>
                <w:color w:val="auto"/>
                <w:u w:val="none" w:color="auto"/>
                <w:vertAlign w:val="baseline"/>
                <w:lang w:val="en-US" w:eastAsia="zh-CN"/>
              </w:rPr>
              <w:t>环评预测的污染源强是可信的。</w:t>
            </w:r>
          </w:p>
          <w:p w14:paraId="313C3DFF">
            <w:pPr>
              <w:ind w:firstLine="480"/>
              <w:rPr>
                <w:rFonts w:hint="eastAsia" w:eastAsia="宋体"/>
                <w:color w:val="auto"/>
                <w:u w:val="none" w:color="auto"/>
                <w:lang w:eastAsia="zh-CN"/>
              </w:rPr>
            </w:pPr>
            <w:r>
              <w:rPr>
                <w:rFonts w:hint="eastAsia"/>
                <w:color w:val="auto"/>
                <w:u w:val="none" w:color="auto"/>
                <w:lang w:val="en-US" w:eastAsia="zh-CN"/>
              </w:rPr>
              <w:t>NMP</w:t>
            </w:r>
            <w:r>
              <w:rPr>
                <w:color w:val="auto"/>
                <w:u w:val="none" w:color="auto"/>
              </w:rPr>
              <w:t>有机溶剂</w:t>
            </w:r>
            <w:r>
              <w:rPr>
                <w:rFonts w:hint="eastAsia"/>
                <w:color w:val="auto"/>
                <w:u w:val="none" w:color="auto"/>
                <w:lang w:val="en-US" w:eastAsia="zh-CN"/>
              </w:rPr>
              <w:t>平衡关系如下：</w:t>
            </w:r>
          </w:p>
          <w:p w14:paraId="7B630FB2">
            <w:pPr>
              <w:bidi w:val="0"/>
              <w:ind w:left="0" w:leftChars="0" w:firstLine="0" w:firstLineChars="0"/>
              <w:rPr>
                <w:rFonts w:hint="eastAsia" w:eastAsia="宋体"/>
                <w:color w:val="auto"/>
                <w:u w:val="none" w:color="auto"/>
                <w:lang w:eastAsia="zh-CN"/>
              </w:rPr>
            </w:pPr>
            <w:r>
              <w:rPr>
                <w:color w:val="auto"/>
                <w:sz w:val="24"/>
                <w:u w:val="none" w:color="auto"/>
              </w:rPr>
              <mc:AlternateContent>
                <mc:Choice Requires="wpc">
                  <w:drawing>
                    <wp:inline distT="0" distB="0" distL="114300" distR="114300">
                      <wp:extent cx="5257165" cy="1736090"/>
                      <wp:effectExtent l="0" t="0" r="0" b="0"/>
                      <wp:docPr id="13" name="画布 13"/>
                      <wp:cNvGraphicFramePr/>
                      <a:graphic xmlns:a="http://schemas.openxmlformats.org/drawingml/2006/main">
                        <a:graphicData uri="http://schemas.microsoft.com/office/word/2010/wordprocessingCanvas">
                          <wpc:wpc>
                            <wpc:bg/>
                            <wpc:whole/>
                            <wps:wsp>
                              <wps:cNvPr id="14" name="矩形 14"/>
                              <wps:cNvSpPr/>
                              <wps:spPr>
                                <a:xfrm>
                                  <a:off x="36195" y="826770"/>
                                  <a:ext cx="1275080" cy="3524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5E0CE1">
                                    <w:pPr>
                                      <w:spacing w:line="240" w:lineRule="auto"/>
                                      <w:ind w:left="0" w:leftChars="0" w:firstLine="0" w:firstLineChars="0"/>
                                      <w:jc w:val="both"/>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NMP溶剂(13t/a)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 name="矩形 16"/>
                              <wps:cNvSpPr/>
                              <wps:spPr>
                                <a:xfrm>
                                  <a:off x="1703705" y="170180"/>
                                  <a:ext cx="1195070" cy="5429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07772F">
                                    <w:pPr>
                                      <w:spacing w:line="240" w:lineRule="auto"/>
                                      <w:ind w:left="0" w:leftChars="0" w:firstLine="0" w:firstLineChars="0"/>
                                      <w:jc w:val="both"/>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有组织收集(12.974t/a)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 name="矩形 17"/>
                              <wps:cNvSpPr/>
                              <wps:spPr>
                                <a:xfrm>
                                  <a:off x="1687830" y="1287780"/>
                                  <a:ext cx="1608455" cy="3524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D47C56">
                                    <w:pPr>
                                      <w:spacing w:line="240" w:lineRule="auto"/>
                                      <w:ind w:left="0" w:leftChars="0" w:firstLine="0" w:firstLineChars="0"/>
                                      <w:jc w:val="both"/>
                                      <w:rPr>
                                        <w:rFonts w:hint="default" w:eastAsia="宋体"/>
                                        <w:color w:val="000000" w:themeColor="text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无组织挥发(0.026t/a</w:t>
                                    </w:r>
                                    <w:r>
                                      <w:rPr>
                                        <w:rFonts w:hint="eastAsia"/>
                                        <w:color w:val="000000" w:themeColor="text1"/>
                                        <w:lang w:val="en-US"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 name="矩形 18"/>
                              <wps:cNvSpPr/>
                              <wps:spPr>
                                <a:xfrm>
                                  <a:off x="3660140" y="697230"/>
                                  <a:ext cx="1419860" cy="3524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F43517">
                                    <w:pPr>
                                      <w:spacing w:line="240" w:lineRule="auto"/>
                                      <w:ind w:left="0" w:leftChars="0" w:firstLine="0" w:firstLineChars="0"/>
                                      <w:jc w:val="both"/>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冷凝回收(11.674t/a)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 name="矩形 19"/>
                              <wps:cNvSpPr/>
                              <wps:spPr>
                                <a:xfrm>
                                  <a:off x="3660140" y="52705"/>
                                  <a:ext cx="1399540" cy="3333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130BDA">
                                    <w:pPr>
                                      <w:spacing w:line="240" w:lineRule="auto"/>
                                      <w:ind w:left="0" w:leftChars="0" w:firstLine="0" w:firstLineChars="0"/>
                                      <w:jc w:val="both"/>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有组织排放(1.3t/a)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 name="肘形连接符 20"/>
                              <wps:cNvCnPr>
                                <a:stCxn id="14" idx="3"/>
                                <a:endCxn id="16" idx="1"/>
                              </wps:cNvCnPr>
                              <wps:spPr>
                                <a:xfrm flipV="1">
                                  <a:off x="1311275" y="441960"/>
                                  <a:ext cx="392430" cy="561340"/>
                                </a:xfrm>
                                <a:prstGeom prst="bentConnector3">
                                  <a:avLst>
                                    <a:gd name="adj1" fmla="val 50000"/>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 name="肘形连接符 21"/>
                              <wps:cNvCnPr>
                                <a:stCxn id="14" idx="3"/>
                                <a:endCxn id="17" idx="1"/>
                              </wps:cNvCnPr>
                              <wps:spPr>
                                <a:xfrm>
                                  <a:off x="1311275" y="1003300"/>
                                  <a:ext cx="376555" cy="461010"/>
                                </a:xfrm>
                                <a:prstGeom prst="bentConnector3">
                                  <a:avLst>
                                    <a:gd name="adj1" fmla="val 50084"/>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2" name="肘形连接符 22"/>
                              <wps:cNvCnPr>
                                <a:stCxn id="16" idx="3"/>
                                <a:endCxn id="19" idx="1"/>
                              </wps:cNvCnPr>
                              <wps:spPr>
                                <a:xfrm flipV="1">
                                  <a:off x="2898775" y="219710"/>
                                  <a:ext cx="761365" cy="222250"/>
                                </a:xfrm>
                                <a:prstGeom prst="bentConnector3">
                                  <a:avLst>
                                    <a:gd name="adj1" fmla="val 50042"/>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 name="肘形连接符 23"/>
                              <wps:cNvCnPr>
                                <a:stCxn id="16" idx="3"/>
                                <a:endCxn id="18" idx="1"/>
                              </wps:cNvCnPr>
                              <wps:spPr>
                                <a:xfrm>
                                  <a:off x="2898775" y="441960"/>
                                  <a:ext cx="761365" cy="431800"/>
                                </a:xfrm>
                                <a:prstGeom prst="bentConnector3">
                                  <a:avLst>
                                    <a:gd name="adj1" fmla="val 50042"/>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136.7pt;width:413.95pt;" coordsize="5257165,1736090" editas="canvas" o:gfxdata="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">
                      <o:lock v:ext="edit" aspectratio="f"/>
                      <v:shape id="_x0000_s1026" o:spid="_x0000_s1026" style="position:absolute;left:0;top:0;height:1736090;width:5257165;" filled="f" stroked="f" coordsize="21600,21600" o:gfxdata="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">
                        <v:fill on="f" focussize="0,0"/>
                        <v:stroke on="f"/>
                        <v:imagedata o:title=""/>
                        <o:lock v:ext="edit" aspectratio="f"/>
                      </v:shape>
                      <v:rect id="_x0000_s1026" o:spid="_x0000_s1026" o:spt="1" style="position:absolute;left:36195;top:826770;height:352425;width:1275080;v-text-anchor:middle;" filled="f" stroked="t" coordsize="21600,21600" o:gfxdata="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s60HbdcAAAAFAQAADwAAAAAAAAABACAAAAAiAAAAZHJzL2Rvd25yZXYu&#10;eG1sUEsBAhQAFAAAAAgAh07iQEC+MmpuAgAAyQQAAA4AAAAAAAAAAQAgAAAAJgEAAGRycy9lMm9E&#10;b2MueG1sUEsFBgAAAAAGAAYAWQEAAAYGAAAAAA==&#10;">
                        <v:fill on="f" focussize="0,0"/>
                        <v:stroke color="#000000 [3213]" joinstyle="round"/>
                        <v:imagedata o:title=""/>
                        <o:lock v:ext="edit" aspectratio="f"/>
                        <v:textbox>
                          <w:txbxContent>
                            <w:p w14:paraId="785E0CE1">
                              <w:pPr>
                                <w:spacing w:line="240" w:lineRule="auto"/>
                                <w:ind w:left="0" w:leftChars="0" w:firstLine="0" w:firstLineChars="0"/>
                                <w:jc w:val="both"/>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NMP溶剂(13t/a)</w:t>
                              </w:r>
                            </w:p>
                          </w:txbxContent>
                        </v:textbox>
                      </v:rect>
                      <v:rect id="_x0000_s1026" o:spid="_x0000_s1026" o:spt="1" style="position:absolute;left:1703705;top:170180;height:542925;width:1195070;v-text-anchor:middle;" filled="f" stroked="t" coordsize="21600,21600" o:gfxdata="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s60HbdcAAAAFAQAADwAAAAAAAAABACAAAAAiAAAAZHJzL2Rvd25yZXYueG1s&#10;UEsBAhQAFAAAAAgAh07iQJffmyprAgAAywQAAA4AAAAAAAAAAQAgAAAAJgEAAGRycy9lMm9Eb2Mu&#10;eG1sUEsFBgAAAAAGAAYAWQEAAAMGAAAAAA==&#10;">
                        <v:fill on="f" focussize="0,0"/>
                        <v:stroke color="#000000 [3213]" joinstyle="round"/>
                        <v:imagedata o:title=""/>
                        <o:lock v:ext="edit" aspectratio="f"/>
                        <v:textbox>
                          <w:txbxContent>
                            <w:p w14:paraId="1507772F">
                              <w:pPr>
                                <w:spacing w:line="240" w:lineRule="auto"/>
                                <w:ind w:left="0" w:leftChars="0" w:firstLine="0" w:firstLineChars="0"/>
                                <w:jc w:val="both"/>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有组织收集(12.974t/a)</w:t>
                              </w:r>
                            </w:p>
                          </w:txbxContent>
                        </v:textbox>
                      </v:rect>
                      <v:rect id="_x0000_s1026" o:spid="_x0000_s1026" o:spt="1" style="position:absolute;left:1687830;top:1287780;height:352425;width:1608455;v-text-anchor:middle;" filled="f" stroked="t" coordsize="21600,21600" o:gfxdata="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zrQdt1wAAAAUBAAAPAAAAAAAAAAEAIAAAACIAAABkcnMvZG93bnJldi54&#10;bWxQSwECFAAUAAAACACHTuJAUbqlQG0CAADMBAAADgAAAAAAAAABACAAAAAmAQAAZHJzL2Uyb0Rv&#10;Yy54bWxQSwUGAAAAAAYABgBZAQAABQYAAAAA&#10;">
                        <v:fill on="f" focussize="0,0"/>
                        <v:stroke color="#000000 [3213]" joinstyle="round"/>
                        <v:imagedata o:title=""/>
                        <o:lock v:ext="edit" aspectratio="f"/>
                        <v:textbox>
                          <w:txbxContent>
                            <w:p w14:paraId="7CD47C56">
                              <w:pPr>
                                <w:spacing w:line="240" w:lineRule="auto"/>
                                <w:ind w:left="0" w:leftChars="0" w:firstLine="0" w:firstLineChars="0"/>
                                <w:jc w:val="both"/>
                                <w:rPr>
                                  <w:rFonts w:hint="default" w:eastAsia="宋体"/>
                                  <w:color w:val="000000" w:themeColor="text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无组织挥发(0.026t/a</w:t>
                              </w:r>
                              <w:r>
                                <w:rPr>
                                  <w:rFonts w:hint="eastAsia"/>
                                  <w:color w:val="000000" w:themeColor="text1"/>
                                  <w:lang w:val="en-US" w:eastAsia="zh-CN"/>
                                  <w14:textFill>
                                    <w14:solidFill>
                                      <w14:schemeClr w14:val="tx1"/>
                                    </w14:solidFill>
                                  </w14:textFill>
                                </w:rPr>
                                <w:t>)</w:t>
                              </w:r>
                            </w:p>
                          </w:txbxContent>
                        </v:textbox>
                      </v:rect>
                      <v:rect id="_x0000_s1026" o:spid="_x0000_s1026" o:spt="1" style="position:absolute;left:3660140;top:697230;height:352425;width:1419860;v-text-anchor:middle;" filled="f" stroked="t" coordsize="21600,21600" o:gfxdata="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s60HbdcAAAAFAQAADwAAAAAAAAABACAAAAAiAAAAZHJzL2Rvd25yZXYu&#10;eG1sUEsBAhQAFAAAAAgAh07iQAhoDYxuAgAAywQAAA4AAAAAAAAAAQAgAAAAJgEAAGRycy9lMm9E&#10;b2MueG1sUEsFBgAAAAAGAAYAWQEAAAYGAAAAAA==&#10;">
                        <v:fill on="f" focussize="0,0"/>
                        <v:stroke color="#000000 [3213]" joinstyle="round"/>
                        <v:imagedata o:title=""/>
                        <o:lock v:ext="edit" aspectratio="f"/>
                        <v:textbox>
                          <w:txbxContent>
                            <w:p w14:paraId="09F43517">
                              <w:pPr>
                                <w:spacing w:line="240" w:lineRule="auto"/>
                                <w:ind w:left="0" w:leftChars="0" w:firstLine="0" w:firstLineChars="0"/>
                                <w:jc w:val="both"/>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冷凝回收(11.674t/a)</w:t>
                              </w:r>
                            </w:p>
                          </w:txbxContent>
                        </v:textbox>
                      </v:rect>
                      <v:rect id="_x0000_s1026" o:spid="_x0000_s1026" o:spt="1" style="position:absolute;left:3660140;top:52705;height:333375;width:1399540;v-text-anchor:middle;" filled="f" stroked="t" coordsize="21600,21600" o:gfxdata="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zrQdt1wAAAAUBAAAPAAAAAAAAAAEAIAAAACIAAABkcnMvZG93bnJldi54&#10;bWxQSwECFAAUAAAACACHTuJAfXgYlm0CAADKBAAADgAAAAAAAAABACAAAAAmAQAAZHJzL2Uyb0Rv&#10;Yy54bWxQSwUGAAAAAAYABgBZAQAABQYAAAAA&#10;">
                        <v:fill on="f" focussize="0,0"/>
                        <v:stroke color="#000000 [3213]" joinstyle="round"/>
                        <v:imagedata o:title=""/>
                        <o:lock v:ext="edit" aspectratio="f"/>
                        <v:textbox>
                          <w:txbxContent>
                            <w:p w14:paraId="76130BDA">
                              <w:pPr>
                                <w:spacing w:line="240" w:lineRule="auto"/>
                                <w:ind w:left="0" w:leftChars="0" w:firstLine="0" w:firstLineChars="0"/>
                                <w:jc w:val="both"/>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有组织排放(1.3t/a)</w:t>
                              </w:r>
                            </w:p>
                          </w:txbxContent>
                        </v:textbox>
                      </v:rect>
                      <v:shape id="_x0000_s1026" o:spid="_x0000_s1026" o:spt="34" type="#_x0000_t34" style="position:absolute;left:1311275;top:441960;flip:y;height:561340;width:392430;" filled="f" stroked="t" coordsize="21600,21600" o:gfxdata="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inuXBNUAAAAFAQAADwAA&#10;AAAAAAABACAAAAAiAAAAZHJzL2Rvd25yZXYueG1sUEsBAhQAFAAAAAgAh07iQImVuTVSAgAAdAQA&#10;AA4AAAAAAAAAAQAgAAAAJAEAAGRycy9lMm9Eb2MueG1sUEsFBgAAAAAGAAYAWQEAAOgFAAAAAA==&#10;" adj="10800">
                        <v:fill on="f" focussize="0,0"/>
                        <v:stroke color="#000000 [3213]" joinstyle="round" endarrow="block"/>
                        <v:imagedata o:title=""/>
                        <o:lock v:ext="edit" aspectratio="f"/>
                      </v:shape>
                      <v:shape id="_x0000_s1026" o:spid="_x0000_s1026" o:spt="34" type="#_x0000_t34" style="position:absolute;left:1311275;top:1003300;height:461010;width:376555;" filled="f" stroked="t" coordsize="21600,21600" o:gfxdata="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zPf27UAAAABQEAAA8AAAAAAAAAAQAgAAAA&#10;IgAAAGRycy9kb3ducmV2LnhtbFBLAQIUABQAAAAIAIdO4kBqooseSAIAAGsEAAAOAAAAAAAAAAEA&#10;IAAAACMBAABkcnMvZTJvRG9jLnhtbFBLBQYAAAAABgAGAFkBAADdBQAAAAA=&#10;" adj="10818">
                        <v:fill on="f" focussize="0,0"/>
                        <v:stroke color="#000000 [3213]" joinstyle="round" endarrow="block"/>
                        <v:imagedata o:title=""/>
                        <o:lock v:ext="edit" aspectratio="f"/>
                      </v:shape>
                      <v:shape id="_x0000_s1026" o:spid="_x0000_s1026" o:spt="34" type="#_x0000_t34" style="position:absolute;left:2898775;top:219710;flip:y;height:222250;width:761365;" filled="f" stroked="t" coordsize="21600,21600" o:gfxdata="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IMzoN1QAAAAUBAAAPAAAA&#10;AAAAAAEAIAAAACIAAABkcnMvZG93bnJldi54bWxQSwECFAAUAAAACACHTuJA7/QkhlECAAB0BAAA&#10;DgAAAAAAAAABACAAAAAkAQAAZHJzL2Uyb0RvYy54bWxQSwUGAAAAAAYABgBZAQAA5wUAAAAA&#10;" adj="10809">
                        <v:fill on="f" focussize="0,0"/>
                        <v:stroke color="#000000 [3213]" joinstyle="round" endarrow="block"/>
                        <v:imagedata o:title=""/>
                        <o:lock v:ext="edit" aspectratio="f"/>
                      </v:shape>
                      <v:shape id="_x0000_s1026" o:spid="_x0000_s1026" o:spt="34" type="#_x0000_t34" style="position:absolute;left:2898775;top:441960;height:431800;width:761365;" filled="f" stroked="t" coordsize="21600,21600" o:gfxdata="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9y1W/2AAAAAUBAAAPAAAA&#10;AAAAAAEAIAAAACIAAABkcnMvZG93bnJldi54bWxQSwECFAAUAAAACACHTuJASJFCfU4CAABqBAAA&#10;DgAAAAAAAAABACAAAAAnAQAAZHJzL2Uyb0RvYy54bWxQSwUGAAAAAAYABgBZAQAA5wUAAAAA&#10;" adj="10809">
                        <v:fill on="f" focussize="0,0"/>
                        <v:stroke color="#000000 [3213]" joinstyle="round" endarrow="block"/>
                        <v:imagedata o:title=""/>
                        <o:lock v:ext="edit" aspectratio="f"/>
                      </v:shape>
                      <w10:wrap type="none"/>
                      <w10:anchorlock/>
                    </v:group>
                  </w:pict>
                </mc:Fallback>
              </mc:AlternateContent>
            </w:r>
          </w:p>
          <w:p w14:paraId="40C42861">
            <w:pPr>
              <w:ind w:left="0" w:leftChars="0" w:firstLine="0" w:firstLineChars="0"/>
              <w:jc w:val="center"/>
              <w:rPr>
                <w:rFonts w:hint="eastAsia"/>
                <w:b/>
                <w:bCs/>
                <w:color w:val="auto"/>
                <w:u w:val="none" w:color="auto"/>
              </w:rPr>
            </w:pPr>
            <w:r>
              <w:rPr>
                <w:rFonts w:hint="eastAsia"/>
                <w:b/>
                <w:bCs/>
                <w:color w:val="auto"/>
                <w:u w:val="none" w:color="auto"/>
                <w:lang w:val="en-US" w:eastAsia="zh-CN"/>
              </w:rPr>
              <w:t>图4-1 NMP</w:t>
            </w:r>
            <w:r>
              <w:rPr>
                <w:b/>
                <w:bCs/>
                <w:color w:val="auto"/>
                <w:u w:val="none" w:color="auto"/>
              </w:rPr>
              <w:t>有机溶剂</w:t>
            </w:r>
            <w:r>
              <w:rPr>
                <w:rFonts w:hint="eastAsia"/>
                <w:b/>
                <w:bCs/>
                <w:color w:val="auto"/>
                <w:u w:val="none" w:color="auto"/>
                <w:lang w:val="en-US" w:eastAsia="zh-CN"/>
              </w:rPr>
              <w:t>平衡关系图</w:t>
            </w:r>
          </w:p>
          <w:p w14:paraId="70071AA9">
            <w:pPr>
              <w:ind w:firstLine="480"/>
              <w:rPr>
                <w:color w:val="auto"/>
                <w:u w:val="none" w:color="auto"/>
              </w:rPr>
            </w:pPr>
            <w:r>
              <w:rPr>
                <w:rFonts w:hint="eastAsia"/>
                <w:color w:val="auto"/>
                <w:u w:val="none" w:color="auto"/>
              </w:rPr>
              <w:t>NMP回收系统工作原理：</w:t>
            </w:r>
          </w:p>
          <w:p w14:paraId="43220365">
            <w:pPr>
              <w:ind w:firstLine="480"/>
              <w:rPr>
                <w:rFonts w:hint="eastAsia"/>
                <w:color w:val="auto"/>
                <w:u w:val="none" w:color="auto"/>
              </w:rPr>
            </w:pPr>
            <w:r>
              <w:rPr>
                <w:rFonts w:hint="eastAsia"/>
                <w:color w:val="auto"/>
                <w:u w:val="none" w:color="auto"/>
              </w:rPr>
              <w:t>冷凝回收系统由溶剂NMP回收主机、节能装置、智能控制系统、风管系统，水路系统组成，在涂布机开始使用前，涂布机的操作员需提前半小时通知NMP回收装置的操作员启动冷水制冷系统，同时打开电动阀。</w:t>
            </w:r>
          </w:p>
          <w:p w14:paraId="74642303">
            <w:pPr>
              <w:ind w:firstLine="480"/>
              <w:rPr>
                <w:rFonts w:hint="eastAsia"/>
                <w:color w:val="auto"/>
                <w:u w:val="none" w:color="auto"/>
              </w:rPr>
            </w:pPr>
            <w:r>
              <w:rPr>
                <w:rFonts w:hint="eastAsia"/>
                <w:color w:val="auto"/>
                <w:u w:val="none" w:color="auto"/>
              </w:rPr>
              <w:t>当涂布机的抽风风机启动并送出热风时，同时启动循环风机</w:t>
            </w:r>
            <w:r>
              <w:rPr>
                <w:rFonts w:hint="eastAsia"/>
                <w:color w:val="auto"/>
                <w:u w:val="none" w:color="auto"/>
                <w:lang w:eastAsia="zh-CN"/>
              </w:rPr>
              <w:t>（</w:t>
            </w:r>
            <w:r>
              <w:rPr>
                <w:rFonts w:hint="eastAsia"/>
                <w:color w:val="auto"/>
                <w:u w:val="none" w:color="auto"/>
              </w:rPr>
              <w:t>循环风机的出口温度将被设定在22~28℃之间，该温度信号将控制制冷机组的工作</w:t>
            </w:r>
            <w:r>
              <w:rPr>
                <w:rFonts w:hint="eastAsia"/>
                <w:color w:val="auto"/>
                <w:u w:val="none" w:color="auto"/>
                <w:lang w:eastAsia="zh-CN"/>
              </w:rPr>
              <w:t>）</w:t>
            </w:r>
            <w:r>
              <w:rPr>
                <w:rFonts w:hint="eastAsia"/>
                <w:color w:val="auto"/>
                <w:u w:val="none" w:color="auto"/>
              </w:rPr>
              <w:t>。在此阶段，热风</w:t>
            </w:r>
            <w:r>
              <w:rPr>
                <w:rFonts w:hint="eastAsia"/>
                <w:color w:val="auto"/>
                <w:u w:val="none" w:color="auto"/>
                <w:lang w:eastAsia="zh-CN"/>
              </w:rPr>
              <w:t>（</w:t>
            </w:r>
            <w:r>
              <w:rPr>
                <w:rFonts w:hint="eastAsia"/>
                <w:color w:val="auto"/>
                <w:u w:val="none" w:color="auto"/>
              </w:rPr>
              <w:t>含NMP的废气</w:t>
            </w:r>
            <w:r>
              <w:rPr>
                <w:rFonts w:hint="eastAsia"/>
                <w:color w:val="auto"/>
                <w:u w:val="none" w:color="auto"/>
                <w:lang w:eastAsia="zh-CN"/>
              </w:rPr>
              <w:t>）</w:t>
            </w:r>
            <w:r>
              <w:rPr>
                <w:rFonts w:hint="eastAsia"/>
                <w:color w:val="auto"/>
                <w:u w:val="none" w:color="auto"/>
              </w:rPr>
              <w:t>首先进入热交换器，在此与干气进行余热交换，然后进入预冷却盘管，在此与泛气进行热交换，其后进入前冷却盘管，在此与循环水进行热交换，再进入后冷却盘管，在此与冷水进行热交换，温度降到25℃左右</w:t>
            </w:r>
            <w:r>
              <w:rPr>
                <w:rFonts w:hint="eastAsia"/>
                <w:color w:val="auto"/>
                <w:u w:val="none" w:color="auto"/>
                <w:lang w:eastAsia="zh-CN"/>
              </w:rPr>
              <w:t>（</w:t>
            </w:r>
            <w:r>
              <w:rPr>
                <w:rFonts w:hint="eastAsia"/>
                <w:color w:val="auto"/>
                <w:u w:val="none" w:color="auto"/>
              </w:rPr>
              <w:t>以上几次热交换过程中，后两次会有大量NMP废液排出，但在前面热交换过程中也安装了NMP废液排出管线</w:t>
            </w:r>
            <w:r>
              <w:rPr>
                <w:rFonts w:hint="eastAsia"/>
                <w:color w:val="auto"/>
                <w:u w:val="none" w:color="auto"/>
                <w:lang w:eastAsia="zh-CN"/>
              </w:rPr>
              <w:t>）</w:t>
            </w:r>
            <w:r>
              <w:rPr>
                <w:rFonts w:hint="eastAsia"/>
                <w:color w:val="auto"/>
                <w:u w:val="none" w:color="auto"/>
              </w:rPr>
              <w:t>，最后进入分液罐</w:t>
            </w:r>
            <w:r>
              <w:rPr>
                <w:rFonts w:hint="eastAsia"/>
                <w:color w:val="auto"/>
                <w:u w:val="none" w:color="auto"/>
                <w:lang w:eastAsia="zh-CN"/>
              </w:rPr>
              <w:t>（</w:t>
            </w:r>
            <w:r>
              <w:rPr>
                <w:rFonts w:hint="eastAsia"/>
                <w:color w:val="auto"/>
                <w:u w:val="none" w:color="auto"/>
              </w:rPr>
              <w:t>气体和液态分离</w:t>
            </w:r>
            <w:r>
              <w:rPr>
                <w:rFonts w:hint="eastAsia"/>
                <w:color w:val="auto"/>
                <w:u w:val="none" w:color="auto"/>
                <w:lang w:eastAsia="zh-CN"/>
              </w:rPr>
              <w:t>）</w:t>
            </w:r>
            <w:r>
              <w:rPr>
                <w:rFonts w:hint="eastAsia"/>
                <w:color w:val="auto"/>
                <w:u w:val="none" w:color="auto"/>
              </w:rPr>
              <w:t>，在罐中安装有特别的填料，能确保气体和液体进行有效分类，最终达标废气从该罐分离出来进行回收。NMP三级冷凝回收系统已在锂离子电池生产中广泛应用，该装置技术先进、成熟可靠，处理废气稳定性较好。</w:t>
            </w:r>
          </w:p>
          <w:p w14:paraId="73D82F0D">
            <w:pPr>
              <w:ind w:firstLine="480"/>
              <w:rPr>
                <w:color w:val="auto"/>
                <w:u w:val="none" w:color="auto"/>
              </w:rPr>
            </w:pPr>
            <w:r>
              <w:rPr>
                <w:rFonts w:hint="eastAsia"/>
                <w:color w:val="auto"/>
                <w:u w:val="none" w:color="auto"/>
              </w:rPr>
              <w:t>（</w:t>
            </w:r>
            <w:r>
              <w:rPr>
                <w:rFonts w:hint="eastAsia"/>
                <w:color w:val="auto"/>
                <w:u w:val="none" w:color="auto"/>
                <w:lang w:val="en-US" w:eastAsia="zh-CN"/>
              </w:rPr>
              <w:t>3</w:t>
            </w:r>
            <w:r>
              <w:rPr>
                <w:rFonts w:hint="eastAsia"/>
                <w:color w:val="auto"/>
                <w:u w:val="none" w:color="auto"/>
              </w:rPr>
              <w:t>）注液</w:t>
            </w:r>
            <w:r>
              <w:rPr>
                <w:color w:val="auto"/>
                <w:u w:val="none" w:color="auto"/>
              </w:rPr>
              <w:t>废气</w:t>
            </w:r>
          </w:p>
          <w:p w14:paraId="5C23FC48">
            <w:pPr>
              <w:ind w:firstLine="480"/>
              <w:rPr>
                <w:rFonts w:hint="eastAsia" w:eastAsia="宋体"/>
                <w:color w:val="auto"/>
                <w:u w:val="none" w:color="auto"/>
                <w:lang w:eastAsia="zh-CN"/>
              </w:rPr>
            </w:pPr>
            <w:r>
              <w:rPr>
                <w:rFonts w:hint="eastAsia"/>
                <w:color w:val="auto"/>
                <w:u w:val="none" w:color="auto"/>
              </w:rPr>
              <w:t>注液过程为密闭箱体内进行，电解液注液过程在隔绝空气条件下进行，因此，电解液中LiPF</w:t>
            </w:r>
            <w:r>
              <w:rPr>
                <w:rFonts w:hint="eastAsia"/>
                <w:color w:val="auto"/>
                <w:u w:val="none" w:color="auto"/>
                <w:vertAlign w:val="subscript"/>
              </w:rPr>
              <w:t>6</w:t>
            </w:r>
            <w:r>
              <w:rPr>
                <w:rFonts w:hint="eastAsia"/>
                <w:color w:val="auto"/>
                <w:u w:val="none" w:color="auto"/>
              </w:rPr>
              <w:t>不会发生分解释放氟化物废气。电解液中有机溶剂（</w:t>
            </w:r>
            <w:r>
              <w:rPr>
                <w:color w:val="auto"/>
                <w:u w:val="none" w:color="auto"/>
              </w:rPr>
              <w:t>碳酸二乙酯</w:t>
            </w:r>
            <w:r>
              <w:rPr>
                <w:rFonts w:hint="eastAsia"/>
                <w:color w:val="auto"/>
                <w:u w:val="none" w:color="auto"/>
              </w:rPr>
              <w:t>等）在常温下挥发少量的有机废气，污染物以非甲烷总烃计。注液机工作时，采用真空泵将密闭的不锈钢罩体内的空气抽出，充入干燥氮气进行保护，保证内部的干燥，整个注液过程均在密闭且隔绝空气的条件下通过自动化设备完成。查阅《湖南省化工行业VOC</w:t>
            </w:r>
            <w:r>
              <w:rPr>
                <w:rFonts w:hint="eastAsia"/>
                <w:color w:val="auto"/>
                <w:u w:val="none" w:color="auto"/>
                <w:lang w:val="en-US" w:eastAsia="zh-CN"/>
              </w:rPr>
              <w:t>s</w:t>
            </w:r>
            <w:r>
              <w:rPr>
                <w:rFonts w:hint="eastAsia"/>
                <w:color w:val="auto"/>
                <w:u w:val="none" w:color="auto"/>
              </w:rPr>
              <w:t>排放量测算技术指南（试行）》表1化学工业排污系数-其他化学品（使用或反应产生挥发性有机物）0.021kg/t，本项目电解液使用量为</w:t>
            </w:r>
            <w:r>
              <w:rPr>
                <w:rFonts w:hint="eastAsia"/>
                <w:color w:val="auto"/>
                <w:u w:val="none" w:color="auto"/>
                <w:lang w:val="en-US" w:eastAsia="zh-CN"/>
              </w:rPr>
              <w:t>3</w:t>
            </w:r>
            <w:r>
              <w:rPr>
                <w:rFonts w:hint="eastAsia"/>
                <w:color w:val="auto"/>
                <w:u w:val="none" w:color="auto"/>
              </w:rPr>
              <w:t>0吨/年，</w:t>
            </w:r>
            <w:r>
              <w:rPr>
                <w:rFonts w:hint="eastAsia"/>
                <w:color w:val="auto"/>
                <w:u w:val="none" w:color="auto"/>
                <w:lang w:val="en-US" w:eastAsia="zh-CN"/>
              </w:rPr>
              <w:t>注液非甲烷总烃产生量</w:t>
            </w:r>
            <w:r>
              <w:rPr>
                <w:rFonts w:hint="eastAsia"/>
                <w:color w:val="auto"/>
                <w:u w:val="none" w:color="auto"/>
              </w:rPr>
              <w:t>0.</w:t>
            </w:r>
            <w:r>
              <w:rPr>
                <w:rFonts w:hint="eastAsia"/>
                <w:color w:val="auto"/>
                <w:u w:val="none" w:color="auto"/>
                <w:lang w:val="en-US" w:eastAsia="zh-CN"/>
              </w:rPr>
              <w:t>00063</w:t>
            </w:r>
            <w:r>
              <w:rPr>
                <w:color w:val="auto"/>
                <w:u w:val="none" w:color="auto"/>
              </w:rPr>
              <w:t>t/a（</w:t>
            </w:r>
            <w:r>
              <w:rPr>
                <w:rFonts w:hint="eastAsia"/>
                <w:color w:val="auto"/>
                <w:u w:val="none" w:color="auto"/>
              </w:rPr>
              <w:t>0.000</w:t>
            </w:r>
            <w:r>
              <w:rPr>
                <w:rFonts w:hint="eastAsia"/>
                <w:color w:val="auto"/>
                <w:u w:val="none" w:color="auto"/>
                <w:lang w:val="en-US" w:eastAsia="zh-CN"/>
              </w:rPr>
              <w:t>105</w:t>
            </w:r>
            <w:r>
              <w:rPr>
                <w:color w:val="auto"/>
                <w:u w:val="none" w:color="auto"/>
              </w:rPr>
              <w:t>kg/h）</w:t>
            </w:r>
            <w:r>
              <w:rPr>
                <w:rFonts w:hint="eastAsia"/>
                <w:color w:val="auto"/>
                <w:u w:val="none" w:color="auto"/>
                <w:lang w:eastAsia="zh-CN"/>
              </w:rPr>
              <w:t>，</w:t>
            </w:r>
            <w:r>
              <w:rPr>
                <w:rFonts w:hint="eastAsia"/>
                <w:color w:val="auto"/>
                <w:u w:val="none" w:color="auto"/>
                <w:lang w:val="en-US" w:eastAsia="zh-CN"/>
              </w:rPr>
              <w:t>废气产生量较少，经风管引至厂外排放。</w:t>
            </w:r>
          </w:p>
          <w:p w14:paraId="376C4B91">
            <w:pPr>
              <w:ind w:firstLine="480"/>
              <w:rPr>
                <w:rFonts w:hint="default"/>
                <w:color w:val="auto"/>
                <w:u w:val="none" w:color="auto"/>
                <w:lang w:val="en-US" w:eastAsia="zh-CN"/>
              </w:rPr>
            </w:pPr>
            <w:r>
              <w:rPr>
                <w:rFonts w:hint="eastAsia"/>
                <w:color w:val="auto"/>
                <w:u w:val="none" w:color="auto"/>
                <w:lang w:val="en-US" w:eastAsia="zh-CN"/>
              </w:rPr>
              <w:t>（4）喷码废气</w:t>
            </w:r>
          </w:p>
          <w:p w14:paraId="783FE3E8">
            <w:pPr>
              <w:ind w:firstLine="480"/>
              <w:rPr>
                <w:color w:val="auto"/>
                <w:u w:val="none" w:color="auto"/>
              </w:rPr>
            </w:pPr>
            <w:r>
              <w:rPr>
                <w:rFonts w:hint="eastAsia"/>
                <w:color w:val="auto"/>
                <w:u w:val="none" w:color="auto"/>
                <w:lang w:val="en-US" w:eastAsia="zh-CN"/>
              </w:rPr>
              <w:t>项目电芯喷码使用油墨约20kg/a，产生的挥发性有机废气较少，挥发性物质占比约40%，则喷码废气产生量约8kg/a，为无组织排放。</w:t>
            </w:r>
          </w:p>
          <w:p w14:paraId="2932ECC7">
            <w:pPr>
              <w:bidi w:val="0"/>
              <w:rPr>
                <w:rFonts w:hint="eastAsia" w:eastAsia="宋体"/>
                <w:color w:val="auto"/>
                <w:lang w:val="en-US" w:eastAsia="zh-CN"/>
              </w:rPr>
            </w:pPr>
            <w:r>
              <w:rPr>
                <w:rFonts w:hint="eastAsia"/>
                <w:color w:val="auto"/>
                <w:lang w:val="en-US" w:eastAsia="zh-CN"/>
              </w:rPr>
              <w:t>评价期间对项目厂界外上下风向无组织排放的颗粒物与非甲烷总烃进行了现状监测，</w:t>
            </w:r>
            <w:r>
              <w:rPr>
                <w:rFonts w:hint="eastAsia" w:cs="Times New Roman"/>
                <w:color w:val="auto"/>
                <w:u w:val="none" w:color="auto"/>
                <w:lang w:val="en-US" w:eastAsia="zh-CN"/>
              </w:rPr>
              <w:t>检测期间企业生产工况约70%，</w:t>
            </w:r>
            <w:r>
              <w:rPr>
                <w:rFonts w:hint="eastAsia"/>
                <w:color w:val="auto"/>
                <w:lang w:val="en-US" w:eastAsia="zh-CN"/>
              </w:rPr>
              <w:t>监测结果统计如下：</w:t>
            </w:r>
          </w:p>
          <w:p w14:paraId="0B6D4DCF">
            <w:pPr>
              <w:bidi w:val="0"/>
              <w:spacing w:line="240" w:lineRule="auto"/>
              <w:ind w:left="0" w:leftChars="0" w:firstLine="0" w:firstLineChars="0"/>
              <w:jc w:val="center"/>
              <w:rPr>
                <w:rFonts w:hint="eastAsia" w:ascii="Times New Roman" w:hAnsi="Times New Roman" w:eastAsia="宋体" w:cs="Times New Roman"/>
                <w:b/>
                <w:bCs/>
                <w:color w:val="auto"/>
                <w:sz w:val="21"/>
                <w:szCs w:val="21"/>
                <w:u w:val="none" w:color="auto"/>
                <w:lang w:val="en-US" w:eastAsia="en-US"/>
              </w:rPr>
            </w:pPr>
            <w:r>
              <w:rPr>
                <w:rFonts w:hint="eastAsia" w:ascii="Times New Roman" w:hAnsi="Times New Roman" w:eastAsia="宋体" w:cs="Times New Roman"/>
                <w:b/>
                <w:bCs/>
                <w:color w:val="auto"/>
                <w:sz w:val="21"/>
                <w:szCs w:val="21"/>
                <w:u w:val="none" w:color="auto"/>
                <w:lang w:val="en-US" w:eastAsia="en-US"/>
              </w:rPr>
              <w:t>表4-</w:t>
            </w:r>
            <w:r>
              <w:rPr>
                <w:rFonts w:hint="eastAsia" w:ascii="Times New Roman" w:hAnsi="Times New Roman" w:eastAsia="宋体" w:cs="Times New Roman"/>
                <w:b/>
                <w:bCs/>
                <w:color w:val="auto"/>
                <w:sz w:val="21"/>
                <w:szCs w:val="21"/>
                <w:u w:val="none" w:color="auto"/>
                <w:lang w:val="en-US" w:eastAsia="zh-CN"/>
              </w:rPr>
              <w:t>3</w:t>
            </w:r>
            <w:r>
              <w:rPr>
                <w:rFonts w:hint="eastAsia" w:ascii="Times New Roman" w:hAnsi="Times New Roman" w:eastAsia="宋体" w:cs="Times New Roman"/>
                <w:b/>
                <w:bCs/>
                <w:color w:val="auto"/>
                <w:sz w:val="21"/>
                <w:szCs w:val="21"/>
                <w:u w:val="none" w:color="auto"/>
                <w:lang w:val="en-US" w:eastAsia="en-US"/>
              </w:rPr>
              <w:t xml:space="preserve"> </w:t>
            </w:r>
            <w:r>
              <w:rPr>
                <w:rFonts w:hint="eastAsia" w:ascii="Times New Roman" w:hAnsi="Times New Roman" w:eastAsia="宋体" w:cs="Times New Roman"/>
                <w:b/>
                <w:bCs/>
                <w:color w:val="auto"/>
                <w:sz w:val="21"/>
                <w:szCs w:val="21"/>
                <w:u w:val="none" w:color="auto"/>
                <w:lang w:val="en-US" w:eastAsia="zh-CN"/>
              </w:rPr>
              <w:t>无组织废气</w:t>
            </w:r>
            <w:r>
              <w:rPr>
                <w:rFonts w:hint="eastAsia" w:ascii="Times New Roman" w:hAnsi="Times New Roman" w:eastAsia="宋体" w:cs="Times New Roman"/>
                <w:b/>
                <w:bCs/>
                <w:color w:val="auto"/>
                <w:sz w:val="21"/>
                <w:szCs w:val="21"/>
                <w:u w:val="none" w:color="auto"/>
                <w:lang w:val="en-US" w:eastAsia="en-US"/>
              </w:rPr>
              <w:t>检测结果</w:t>
            </w:r>
          </w:p>
          <w:tbl>
            <w:tblPr>
              <w:tblStyle w:val="28"/>
              <w:tblW w:w="49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7"/>
              <w:gridCol w:w="880"/>
              <w:gridCol w:w="965"/>
              <w:gridCol w:w="874"/>
              <w:gridCol w:w="1059"/>
              <w:gridCol w:w="1013"/>
              <w:gridCol w:w="981"/>
              <w:gridCol w:w="819"/>
            </w:tblGrid>
            <w:tr w14:paraId="59F64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979" w:type="pct"/>
                  <w:vMerge w:val="restart"/>
                  <w:tcBorders>
                    <w:tl2br w:val="nil"/>
                    <w:tr2bl w:val="nil"/>
                  </w:tcBorders>
                  <w:noWrap w:val="0"/>
                  <w:vAlign w:val="center"/>
                </w:tcPr>
                <w:p w14:paraId="28528D81">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r>
                    <w:rPr>
                      <w:rFonts w:hint="default" w:ascii="Times New Roman" w:hAnsi="Times New Roman" w:eastAsia="宋体" w:cs="Times New Roman"/>
                      <w:snapToGrid/>
                      <w:color w:val="auto"/>
                      <w:kern w:val="0"/>
                      <w:sz w:val="21"/>
                      <w:szCs w:val="21"/>
                      <w:u w:val="none" w:color="auto"/>
                      <w:lang w:val="en-US" w:eastAsia="zh-CN" w:bidi="ar-SA"/>
                    </w:rPr>
                    <w:t>采样              点位</w:t>
                  </w:r>
                </w:p>
              </w:tc>
              <w:tc>
                <w:tcPr>
                  <w:tcW w:w="536" w:type="pct"/>
                  <w:vMerge w:val="restart"/>
                  <w:tcBorders>
                    <w:tl2br w:val="nil"/>
                    <w:tr2bl w:val="nil"/>
                  </w:tcBorders>
                  <w:noWrap w:val="0"/>
                  <w:vAlign w:val="center"/>
                </w:tcPr>
                <w:p w14:paraId="23084BD5">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r>
                    <w:rPr>
                      <w:rFonts w:hint="default" w:ascii="Times New Roman" w:hAnsi="Times New Roman" w:eastAsia="宋体" w:cs="Times New Roman"/>
                      <w:snapToGrid/>
                      <w:color w:val="auto"/>
                      <w:kern w:val="0"/>
                      <w:sz w:val="21"/>
                      <w:szCs w:val="21"/>
                      <w:u w:val="none" w:color="auto"/>
                      <w:lang w:val="en-US" w:eastAsia="zh-CN" w:bidi="ar-SA"/>
                    </w:rPr>
                    <w:t>采样    日期</w:t>
                  </w:r>
                </w:p>
              </w:tc>
              <w:tc>
                <w:tcPr>
                  <w:tcW w:w="588" w:type="pct"/>
                  <w:vMerge w:val="restart"/>
                  <w:tcBorders>
                    <w:tl2br w:val="nil"/>
                    <w:tr2bl w:val="nil"/>
                  </w:tcBorders>
                  <w:noWrap w:val="0"/>
                  <w:vAlign w:val="center"/>
                </w:tcPr>
                <w:p w14:paraId="2EE7A7EC">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r>
                    <w:rPr>
                      <w:rFonts w:hint="default" w:ascii="Times New Roman" w:hAnsi="Times New Roman" w:eastAsia="宋体" w:cs="Times New Roman"/>
                      <w:snapToGrid/>
                      <w:color w:val="auto"/>
                      <w:kern w:val="0"/>
                      <w:sz w:val="21"/>
                      <w:szCs w:val="21"/>
                      <w:u w:val="none" w:color="auto"/>
                      <w:lang w:val="en-US" w:eastAsia="zh-CN" w:bidi="ar-SA"/>
                    </w:rPr>
                    <w:t>检测   项目</w:t>
                  </w:r>
                </w:p>
              </w:tc>
              <w:tc>
                <w:tcPr>
                  <w:tcW w:w="533" w:type="pct"/>
                  <w:vMerge w:val="restart"/>
                  <w:tcBorders>
                    <w:tl2br w:val="nil"/>
                    <w:tr2bl w:val="nil"/>
                  </w:tcBorders>
                  <w:noWrap w:val="0"/>
                  <w:vAlign w:val="center"/>
                </w:tcPr>
                <w:p w14:paraId="3256DAE3">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r>
                    <w:rPr>
                      <w:rFonts w:hint="default" w:ascii="Times New Roman" w:hAnsi="Times New Roman" w:eastAsia="宋体" w:cs="Times New Roman"/>
                      <w:snapToGrid/>
                      <w:color w:val="auto"/>
                      <w:kern w:val="0"/>
                      <w:sz w:val="21"/>
                      <w:szCs w:val="21"/>
                      <w:u w:val="none" w:color="auto"/>
                      <w:lang w:val="en-US" w:eastAsia="zh-CN" w:bidi="ar-SA"/>
                    </w:rPr>
                    <w:t>单位</w:t>
                  </w:r>
                </w:p>
              </w:tc>
              <w:tc>
                <w:tcPr>
                  <w:tcW w:w="1862" w:type="pct"/>
                  <w:gridSpan w:val="3"/>
                  <w:tcBorders>
                    <w:tl2br w:val="nil"/>
                    <w:tr2bl w:val="nil"/>
                  </w:tcBorders>
                  <w:noWrap w:val="0"/>
                  <w:vAlign w:val="center"/>
                </w:tcPr>
                <w:p w14:paraId="5703E0B7">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r>
                    <w:rPr>
                      <w:rFonts w:hint="default" w:ascii="Times New Roman" w:hAnsi="Times New Roman" w:eastAsia="宋体" w:cs="Times New Roman"/>
                      <w:snapToGrid/>
                      <w:color w:val="auto"/>
                      <w:kern w:val="0"/>
                      <w:sz w:val="21"/>
                      <w:szCs w:val="21"/>
                      <w:u w:val="none" w:color="auto"/>
                      <w:lang w:val="en-US" w:eastAsia="zh-CN" w:bidi="ar-SA"/>
                    </w:rPr>
                    <w:t>检测结果</w:t>
                  </w:r>
                </w:p>
              </w:tc>
              <w:tc>
                <w:tcPr>
                  <w:tcW w:w="499" w:type="pct"/>
                  <w:vMerge w:val="restart"/>
                  <w:tcBorders>
                    <w:tl2br w:val="nil"/>
                    <w:tr2bl w:val="nil"/>
                  </w:tcBorders>
                  <w:noWrap w:val="0"/>
                  <w:vAlign w:val="center"/>
                </w:tcPr>
                <w:p w14:paraId="2063E41D">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r>
                    <w:rPr>
                      <w:rFonts w:hint="default" w:ascii="Times New Roman" w:hAnsi="Times New Roman" w:eastAsia="宋体" w:cs="Times New Roman"/>
                      <w:snapToGrid/>
                      <w:color w:val="auto"/>
                      <w:kern w:val="0"/>
                      <w:sz w:val="21"/>
                      <w:szCs w:val="21"/>
                      <w:u w:val="none" w:color="auto"/>
                      <w:lang w:val="en-US" w:eastAsia="zh-CN" w:bidi="ar-SA"/>
                    </w:rPr>
                    <w:t>标准  限值</w:t>
                  </w:r>
                </w:p>
              </w:tc>
            </w:tr>
            <w:tr w14:paraId="2D280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979" w:type="pct"/>
                  <w:vMerge w:val="continue"/>
                  <w:tcBorders>
                    <w:tl2br w:val="nil"/>
                    <w:tr2bl w:val="nil"/>
                  </w:tcBorders>
                  <w:noWrap w:val="0"/>
                  <w:vAlign w:val="center"/>
                </w:tcPr>
                <w:p w14:paraId="5EB1BB08">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p>
              </w:tc>
              <w:tc>
                <w:tcPr>
                  <w:tcW w:w="536" w:type="pct"/>
                  <w:vMerge w:val="continue"/>
                  <w:tcBorders>
                    <w:tl2br w:val="nil"/>
                    <w:tr2bl w:val="nil"/>
                  </w:tcBorders>
                  <w:noWrap w:val="0"/>
                  <w:vAlign w:val="center"/>
                </w:tcPr>
                <w:p w14:paraId="264AEF63">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p>
              </w:tc>
              <w:tc>
                <w:tcPr>
                  <w:tcW w:w="588" w:type="pct"/>
                  <w:vMerge w:val="continue"/>
                  <w:tcBorders>
                    <w:tl2br w:val="nil"/>
                    <w:tr2bl w:val="nil"/>
                  </w:tcBorders>
                  <w:noWrap w:val="0"/>
                  <w:vAlign w:val="center"/>
                </w:tcPr>
                <w:p w14:paraId="15655AD1">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p>
              </w:tc>
              <w:tc>
                <w:tcPr>
                  <w:tcW w:w="533" w:type="pct"/>
                  <w:vMerge w:val="continue"/>
                  <w:tcBorders>
                    <w:tl2br w:val="nil"/>
                    <w:tr2bl w:val="nil"/>
                  </w:tcBorders>
                  <w:noWrap w:val="0"/>
                  <w:vAlign w:val="center"/>
                </w:tcPr>
                <w:p w14:paraId="110FCCF7">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p>
              </w:tc>
              <w:tc>
                <w:tcPr>
                  <w:tcW w:w="646" w:type="pct"/>
                  <w:tcBorders>
                    <w:tl2br w:val="nil"/>
                    <w:tr2bl w:val="nil"/>
                  </w:tcBorders>
                  <w:noWrap w:val="0"/>
                  <w:vAlign w:val="center"/>
                </w:tcPr>
                <w:p w14:paraId="146F4A82">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r>
                    <w:rPr>
                      <w:rFonts w:hint="default" w:ascii="Times New Roman" w:hAnsi="Times New Roman" w:eastAsia="宋体" w:cs="Times New Roman"/>
                      <w:snapToGrid/>
                      <w:color w:val="auto"/>
                      <w:kern w:val="0"/>
                      <w:sz w:val="21"/>
                      <w:szCs w:val="21"/>
                      <w:u w:val="none" w:color="auto"/>
                      <w:lang w:val="en-US" w:eastAsia="zh-CN" w:bidi="ar-SA"/>
                    </w:rPr>
                    <w:t>第一次</w:t>
                  </w:r>
                </w:p>
              </w:tc>
              <w:tc>
                <w:tcPr>
                  <w:tcW w:w="617" w:type="pct"/>
                  <w:tcBorders>
                    <w:tl2br w:val="nil"/>
                    <w:tr2bl w:val="nil"/>
                  </w:tcBorders>
                  <w:noWrap w:val="0"/>
                  <w:vAlign w:val="center"/>
                </w:tcPr>
                <w:p w14:paraId="38C849D9">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r>
                    <w:rPr>
                      <w:rFonts w:hint="default" w:ascii="Times New Roman" w:hAnsi="Times New Roman" w:eastAsia="宋体" w:cs="Times New Roman"/>
                      <w:snapToGrid/>
                      <w:color w:val="auto"/>
                      <w:kern w:val="0"/>
                      <w:sz w:val="21"/>
                      <w:szCs w:val="21"/>
                      <w:u w:val="none" w:color="auto"/>
                      <w:lang w:val="en-US" w:eastAsia="zh-CN" w:bidi="ar-SA"/>
                    </w:rPr>
                    <w:t>第二次</w:t>
                  </w:r>
                </w:p>
              </w:tc>
              <w:tc>
                <w:tcPr>
                  <w:tcW w:w="598" w:type="pct"/>
                  <w:tcBorders>
                    <w:tl2br w:val="nil"/>
                    <w:tr2bl w:val="nil"/>
                  </w:tcBorders>
                  <w:noWrap w:val="0"/>
                  <w:vAlign w:val="center"/>
                </w:tcPr>
                <w:p w14:paraId="2103144B">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r>
                    <w:rPr>
                      <w:rFonts w:hint="default" w:ascii="Times New Roman" w:hAnsi="Times New Roman" w:eastAsia="宋体" w:cs="Times New Roman"/>
                      <w:snapToGrid/>
                      <w:color w:val="auto"/>
                      <w:kern w:val="0"/>
                      <w:sz w:val="21"/>
                      <w:szCs w:val="21"/>
                      <w:u w:val="none" w:color="auto"/>
                      <w:lang w:val="en-US" w:eastAsia="zh-CN" w:bidi="ar-SA"/>
                    </w:rPr>
                    <w:t>第三次</w:t>
                  </w:r>
                </w:p>
              </w:tc>
              <w:tc>
                <w:tcPr>
                  <w:tcW w:w="499" w:type="pct"/>
                  <w:vMerge w:val="continue"/>
                  <w:tcBorders>
                    <w:tl2br w:val="nil"/>
                    <w:tr2bl w:val="nil"/>
                  </w:tcBorders>
                  <w:noWrap w:val="0"/>
                  <w:vAlign w:val="center"/>
                </w:tcPr>
                <w:p w14:paraId="729B65FD">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p>
              </w:tc>
            </w:tr>
            <w:tr w14:paraId="67419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9" w:type="pct"/>
                  <w:tcBorders>
                    <w:tl2br w:val="nil"/>
                    <w:tr2bl w:val="nil"/>
                  </w:tcBorders>
                  <w:noWrap w:val="0"/>
                  <w:vAlign w:val="center"/>
                </w:tcPr>
                <w:p w14:paraId="197C4C48">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r>
                    <w:rPr>
                      <w:rFonts w:hint="default" w:ascii="Times New Roman" w:hAnsi="Times New Roman" w:eastAsia="宋体" w:cs="Times New Roman"/>
                      <w:snapToGrid/>
                      <w:color w:val="auto"/>
                      <w:kern w:val="0"/>
                      <w:sz w:val="21"/>
                      <w:szCs w:val="21"/>
                      <w:u w:val="none" w:color="auto"/>
                      <w:lang w:val="en-US" w:eastAsia="zh-CN" w:bidi="ar-SA"/>
                    </w:rPr>
                    <w:t>厂界上风向</w:t>
                  </w:r>
                  <w:r>
                    <w:rPr>
                      <w:rFonts w:hint="eastAsia" w:ascii="Times New Roman" w:hAnsi="Times New Roman" w:eastAsia="宋体" w:cs="Times New Roman"/>
                      <w:snapToGrid/>
                      <w:color w:val="auto"/>
                      <w:kern w:val="0"/>
                      <w:sz w:val="21"/>
                      <w:szCs w:val="21"/>
                      <w:u w:val="none" w:color="auto"/>
                      <w:lang w:val="en-US" w:eastAsia="zh-CN" w:bidi="ar-SA"/>
                    </w:rPr>
                    <w:t>A</w:t>
                  </w:r>
                  <w:r>
                    <w:rPr>
                      <w:rFonts w:hint="default" w:ascii="Times New Roman" w:hAnsi="Times New Roman" w:eastAsia="宋体" w:cs="Times New Roman"/>
                      <w:snapToGrid/>
                      <w:color w:val="auto"/>
                      <w:kern w:val="0"/>
                      <w:sz w:val="21"/>
                      <w:szCs w:val="21"/>
                      <w:u w:val="none" w:color="auto"/>
                      <w:lang w:val="en-US" w:eastAsia="zh-CN" w:bidi="ar-SA"/>
                    </w:rPr>
                    <w:t>1</w:t>
                  </w:r>
                </w:p>
              </w:tc>
              <w:tc>
                <w:tcPr>
                  <w:tcW w:w="536" w:type="pct"/>
                  <w:vMerge w:val="restart"/>
                  <w:tcBorders>
                    <w:tl2br w:val="nil"/>
                    <w:tr2bl w:val="nil"/>
                  </w:tcBorders>
                  <w:noWrap w:val="0"/>
                  <w:vAlign w:val="center"/>
                </w:tcPr>
                <w:p w14:paraId="2CC59387">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r>
                    <w:rPr>
                      <w:rFonts w:hint="default" w:ascii="Times New Roman" w:hAnsi="Times New Roman" w:eastAsia="宋体" w:cs="Times New Roman"/>
                      <w:snapToGrid/>
                      <w:color w:val="auto"/>
                      <w:kern w:val="0"/>
                      <w:sz w:val="21"/>
                      <w:szCs w:val="21"/>
                      <w:u w:val="none" w:color="auto"/>
                      <w:lang w:val="en-US" w:eastAsia="zh-CN" w:bidi="ar-SA"/>
                    </w:rPr>
                    <w:t>202</w:t>
                  </w:r>
                  <w:r>
                    <w:rPr>
                      <w:rFonts w:hint="eastAsia" w:ascii="Times New Roman" w:hAnsi="Times New Roman" w:eastAsia="宋体" w:cs="Times New Roman"/>
                      <w:snapToGrid/>
                      <w:color w:val="auto"/>
                      <w:kern w:val="0"/>
                      <w:sz w:val="21"/>
                      <w:szCs w:val="21"/>
                      <w:u w:val="none" w:color="auto"/>
                      <w:lang w:val="en-US" w:eastAsia="zh-CN" w:bidi="ar-SA"/>
                    </w:rPr>
                    <w:t>5</w:t>
                  </w:r>
                  <w:r>
                    <w:rPr>
                      <w:rFonts w:hint="default" w:ascii="Times New Roman" w:hAnsi="Times New Roman" w:eastAsia="宋体" w:cs="Times New Roman"/>
                      <w:snapToGrid/>
                      <w:color w:val="auto"/>
                      <w:kern w:val="0"/>
                      <w:sz w:val="21"/>
                      <w:szCs w:val="21"/>
                      <w:u w:val="none" w:color="auto"/>
                      <w:lang w:val="en-US" w:eastAsia="zh-CN" w:bidi="ar-SA"/>
                    </w:rPr>
                    <w:t>.</w:t>
                  </w:r>
                </w:p>
                <w:p w14:paraId="0D03F668">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r>
                    <w:rPr>
                      <w:rFonts w:hint="eastAsia" w:ascii="Times New Roman" w:hAnsi="Times New Roman" w:eastAsia="宋体" w:cs="Times New Roman"/>
                      <w:snapToGrid/>
                      <w:color w:val="auto"/>
                      <w:kern w:val="0"/>
                      <w:sz w:val="21"/>
                      <w:szCs w:val="21"/>
                      <w:u w:val="none" w:color="auto"/>
                      <w:lang w:val="en-US" w:eastAsia="zh-CN" w:bidi="ar-SA"/>
                    </w:rPr>
                    <w:t>03</w:t>
                  </w:r>
                  <w:r>
                    <w:rPr>
                      <w:rFonts w:hint="default" w:ascii="Times New Roman" w:hAnsi="Times New Roman" w:eastAsia="宋体" w:cs="Times New Roman"/>
                      <w:snapToGrid/>
                      <w:color w:val="auto"/>
                      <w:kern w:val="0"/>
                      <w:sz w:val="21"/>
                      <w:szCs w:val="21"/>
                      <w:u w:val="none" w:color="auto"/>
                      <w:lang w:val="en-US" w:eastAsia="zh-CN" w:bidi="ar-SA"/>
                    </w:rPr>
                    <w:t>.</w:t>
                  </w:r>
                  <w:r>
                    <w:rPr>
                      <w:rFonts w:hint="eastAsia" w:ascii="Times New Roman" w:hAnsi="Times New Roman" w:eastAsia="宋体" w:cs="Times New Roman"/>
                      <w:snapToGrid/>
                      <w:color w:val="auto"/>
                      <w:kern w:val="0"/>
                      <w:sz w:val="21"/>
                      <w:szCs w:val="21"/>
                      <w:u w:val="none" w:color="auto"/>
                      <w:lang w:val="en-US" w:eastAsia="zh-CN" w:bidi="ar-SA"/>
                    </w:rPr>
                    <w:t>21</w:t>
                  </w:r>
                </w:p>
              </w:tc>
              <w:tc>
                <w:tcPr>
                  <w:tcW w:w="588" w:type="pct"/>
                  <w:vMerge w:val="restart"/>
                  <w:tcBorders>
                    <w:tl2br w:val="nil"/>
                    <w:tr2bl w:val="nil"/>
                  </w:tcBorders>
                  <w:noWrap w:val="0"/>
                  <w:vAlign w:val="center"/>
                </w:tcPr>
                <w:p w14:paraId="290C683A">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r>
                    <w:rPr>
                      <w:rFonts w:hint="default" w:ascii="Times New Roman" w:hAnsi="Times New Roman" w:eastAsia="宋体" w:cs="Times New Roman"/>
                      <w:snapToGrid/>
                      <w:color w:val="auto"/>
                      <w:kern w:val="0"/>
                      <w:sz w:val="21"/>
                      <w:szCs w:val="21"/>
                      <w:u w:val="none" w:color="auto"/>
                      <w:lang w:val="en-US" w:eastAsia="zh-CN" w:bidi="ar-SA"/>
                    </w:rPr>
                    <w:t>颗粒物</w:t>
                  </w:r>
                </w:p>
              </w:tc>
              <w:tc>
                <w:tcPr>
                  <w:tcW w:w="533" w:type="pct"/>
                  <w:vMerge w:val="restart"/>
                  <w:tcBorders>
                    <w:tl2br w:val="nil"/>
                    <w:tr2bl w:val="nil"/>
                  </w:tcBorders>
                  <w:noWrap w:val="0"/>
                  <w:vAlign w:val="center"/>
                </w:tcPr>
                <w:p w14:paraId="45C256E4">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r>
                    <w:rPr>
                      <w:rFonts w:hint="default" w:ascii="Times New Roman" w:hAnsi="Times New Roman" w:eastAsia="宋体" w:cs="Times New Roman"/>
                      <w:snapToGrid/>
                      <w:color w:val="auto"/>
                      <w:kern w:val="0"/>
                      <w:sz w:val="21"/>
                      <w:szCs w:val="21"/>
                      <w:u w:val="none" w:color="auto"/>
                      <w:lang w:val="en-US" w:eastAsia="zh-CN" w:bidi="ar-SA"/>
                    </w:rPr>
                    <w:t>mg/m</w:t>
                  </w:r>
                  <w:r>
                    <w:rPr>
                      <w:rFonts w:hint="default" w:ascii="Times New Roman" w:hAnsi="Times New Roman" w:eastAsia="宋体" w:cs="Times New Roman"/>
                      <w:snapToGrid/>
                      <w:color w:val="auto"/>
                      <w:kern w:val="0"/>
                      <w:sz w:val="21"/>
                      <w:szCs w:val="21"/>
                      <w:u w:val="none" w:color="auto"/>
                      <w:vertAlign w:val="superscript"/>
                      <w:lang w:val="en-US" w:eastAsia="zh-CN" w:bidi="ar-SA"/>
                    </w:rPr>
                    <w:t>3</w:t>
                  </w:r>
                </w:p>
              </w:tc>
              <w:tc>
                <w:tcPr>
                  <w:tcW w:w="646" w:type="pct"/>
                  <w:tcBorders>
                    <w:tl2br w:val="nil"/>
                    <w:tr2bl w:val="nil"/>
                  </w:tcBorders>
                  <w:noWrap w:val="0"/>
                  <w:vAlign w:val="center"/>
                </w:tcPr>
                <w:p w14:paraId="3F226C94">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r>
                    <w:rPr>
                      <w:rFonts w:hint="default" w:ascii="Times New Roman" w:hAnsi="Times New Roman" w:eastAsia="宋体" w:cs="Times New Roman"/>
                      <w:snapToGrid/>
                      <w:color w:val="auto"/>
                      <w:kern w:val="0"/>
                      <w:sz w:val="21"/>
                      <w:szCs w:val="21"/>
                      <w:u w:val="none" w:color="auto"/>
                      <w:lang w:val="en-US" w:eastAsia="zh-CN" w:bidi="ar-SA"/>
                    </w:rPr>
                    <w:t>0.1</w:t>
                  </w:r>
                  <w:r>
                    <w:rPr>
                      <w:rFonts w:hint="eastAsia" w:ascii="Times New Roman" w:hAnsi="Times New Roman" w:eastAsia="宋体" w:cs="Times New Roman"/>
                      <w:snapToGrid/>
                      <w:color w:val="auto"/>
                      <w:kern w:val="0"/>
                      <w:sz w:val="21"/>
                      <w:szCs w:val="21"/>
                      <w:u w:val="none" w:color="auto"/>
                      <w:lang w:val="en-US" w:eastAsia="zh-CN" w:bidi="ar-SA"/>
                    </w:rPr>
                    <w:t>71</w:t>
                  </w:r>
                </w:p>
              </w:tc>
              <w:tc>
                <w:tcPr>
                  <w:tcW w:w="617" w:type="pct"/>
                  <w:tcBorders>
                    <w:tl2br w:val="nil"/>
                    <w:tr2bl w:val="nil"/>
                  </w:tcBorders>
                  <w:noWrap w:val="0"/>
                  <w:vAlign w:val="center"/>
                </w:tcPr>
                <w:p w14:paraId="5E9644F4">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r>
                    <w:rPr>
                      <w:rFonts w:hint="default" w:ascii="Times New Roman" w:hAnsi="Times New Roman" w:eastAsia="宋体" w:cs="Times New Roman"/>
                      <w:snapToGrid/>
                      <w:color w:val="auto"/>
                      <w:kern w:val="0"/>
                      <w:sz w:val="21"/>
                      <w:szCs w:val="21"/>
                      <w:u w:val="none" w:color="auto"/>
                      <w:lang w:val="en-US" w:eastAsia="zh-CN" w:bidi="ar-SA"/>
                    </w:rPr>
                    <w:t>0.1</w:t>
                  </w:r>
                  <w:r>
                    <w:rPr>
                      <w:rFonts w:hint="eastAsia" w:ascii="Times New Roman" w:hAnsi="Times New Roman" w:eastAsia="宋体" w:cs="Times New Roman"/>
                      <w:snapToGrid/>
                      <w:color w:val="auto"/>
                      <w:kern w:val="0"/>
                      <w:sz w:val="21"/>
                      <w:szCs w:val="21"/>
                      <w:u w:val="none" w:color="auto"/>
                      <w:lang w:val="en-US" w:eastAsia="zh-CN" w:bidi="ar-SA"/>
                    </w:rPr>
                    <w:t>8</w:t>
                  </w:r>
                  <w:r>
                    <w:rPr>
                      <w:rFonts w:hint="default" w:ascii="Times New Roman" w:hAnsi="Times New Roman" w:eastAsia="宋体" w:cs="Times New Roman"/>
                      <w:snapToGrid/>
                      <w:color w:val="auto"/>
                      <w:kern w:val="0"/>
                      <w:sz w:val="21"/>
                      <w:szCs w:val="21"/>
                      <w:u w:val="none" w:color="auto"/>
                      <w:lang w:val="en-US" w:eastAsia="zh-CN" w:bidi="ar-SA"/>
                    </w:rPr>
                    <w:t xml:space="preserve">0 </w:t>
                  </w:r>
                </w:p>
              </w:tc>
              <w:tc>
                <w:tcPr>
                  <w:tcW w:w="598" w:type="pct"/>
                  <w:tcBorders>
                    <w:tl2br w:val="nil"/>
                    <w:tr2bl w:val="nil"/>
                  </w:tcBorders>
                  <w:noWrap w:val="0"/>
                  <w:vAlign w:val="center"/>
                </w:tcPr>
                <w:p w14:paraId="1D07B31D">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r>
                    <w:rPr>
                      <w:rFonts w:hint="default" w:ascii="Times New Roman" w:hAnsi="Times New Roman" w:eastAsia="宋体" w:cs="Times New Roman"/>
                      <w:snapToGrid/>
                      <w:color w:val="auto"/>
                      <w:kern w:val="0"/>
                      <w:sz w:val="21"/>
                      <w:szCs w:val="21"/>
                      <w:u w:val="none" w:color="auto"/>
                      <w:lang w:val="en-US" w:eastAsia="zh-CN" w:bidi="ar-SA"/>
                    </w:rPr>
                    <w:t>0.1</w:t>
                  </w:r>
                  <w:r>
                    <w:rPr>
                      <w:rFonts w:hint="eastAsia" w:ascii="Times New Roman" w:hAnsi="Times New Roman" w:eastAsia="宋体" w:cs="Times New Roman"/>
                      <w:snapToGrid/>
                      <w:color w:val="auto"/>
                      <w:kern w:val="0"/>
                      <w:sz w:val="21"/>
                      <w:szCs w:val="21"/>
                      <w:u w:val="none" w:color="auto"/>
                      <w:lang w:val="en-US" w:eastAsia="zh-CN" w:bidi="ar-SA"/>
                    </w:rPr>
                    <w:t>74</w:t>
                  </w:r>
                  <w:r>
                    <w:rPr>
                      <w:rFonts w:hint="default" w:ascii="Times New Roman" w:hAnsi="Times New Roman" w:eastAsia="宋体" w:cs="Times New Roman"/>
                      <w:snapToGrid/>
                      <w:color w:val="auto"/>
                      <w:kern w:val="0"/>
                      <w:sz w:val="21"/>
                      <w:szCs w:val="21"/>
                      <w:u w:val="none" w:color="auto"/>
                      <w:lang w:val="en-US" w:eastAsia="zh-CN" w:bidi="ar-SA"/>
                    </w:rPr>
                    <w:t xml:space="preserve"> </w:t>
                  </w:r>
                </w:p>
              </w:tc>
              <w:tc>
                <w:tcPr>
                  <w:tcW w:w="499" w:type="pct"/>
                  <w:vMerge w:val="restart"/>
                  <w:tcBorders>
                    <w:tl2br w:val="nil"/>
                    <w:tr2bl w:val="nil"/>
                  </w:tcBorders>
                  <w:noWrap w:val="0"/>
                  <w:vAlign w:val="center"/>
                </w:tcPr>
                <w:p w14:paraId="6A1D2926">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r>
                    <w:rPr>
                      <w:rFonts w:hint="eastAsia" w:ascii="Times New Roman" w:hAnsi="Times New Roman" w:eastAsia="宋体" w:cs="Times New Roman"/>
                      <w:snapToGrid/>
                      <w:color w:val="auto"/>
                      <w:kern w:val="0"/>
                      <w:sz w:val="21"/>
                      <w:szCs w:val="21"/>
                      <w:u w:val="none" w:color="auto"/>
                      <w:lang w:val="en-US" w:eastAsia="zh-CN" w:bidi="ar-SA"/>
                    </w:rPr>
                    <w:t>0.3</w:t>
                  </w:r>
                </w:p>
              </w:tc>
            </w:tr>
            <w:tr w14:paraId="31FD1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9" w:type="pct"/>
                  <w:tcBorders>
                    <w:tl2br w:val="nil"/>
                    <w:tr2bl w:val="nil"/>
                  </w:tcBorders>
                  <w:noWrap w:val="0"/>
                  <w:vAlign w:val="center"/>
                </w:tcPr>
                <w:p w14:paraId="59302EDB">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r>
                    <w:rPr>
                      <w:rFonts w:hint="default" w:ascii="Times New Roman" w:hAnsi="Times New Roman" w:eastAsia="宋体" w:cs="Times New Roman"/>
                      <w:snapToGrid/>
                      <w:color w:val="auto"/>
                      <w:kern w:val="0"/>
                      <w:sz w:val="21"/>
                      <w:szCs w:val="21"/>
                      <w:u w:val="none" w:color="auto"/>
                      <w:lang w:val="en-US" w:eastAsia="zh-CN" w:bidi="ar-SA"/>
                    </w:rPr>
                    <w:t>厂界下风向</w:t>
                  </w:r>
                  <w:r>
                    <w:rPr>
                      <w:rFonts w:hint="eastAsia" w:ascii="Times New Roman" w:hAnsi="Times New Roman" w:eastAsia="宋体" w:cs="Times New Roman"/>
                      <w:snapToGrid/>
                      <w:color w:val="auto"/>
                      <w:kern w:val="0"/>
                      <w:sz w:val="21"/>
                      <w:szCs w:val="21"/>
                      <w:u w:val="none" w:color="auto"/>
                      <w:lang w:val="en-US" w:eastAsia="zh-CN" w:bidi="ar-SA"/>
                    </w:rPr>
                    <w:t>A</w:t>
                  </w:r>
                  <w:r>
                    <w:rPr>
                      <w:rFonts w:hint="default" w:ascii="Times New Roman" w:hAnsi="Times New Roman" w:eastAsia="宋体" w:cs="Times New Roman"/>
                      <w:snapToGrid/>
                      <w:color w:val="auto"/>
                      <w:kern w:val="0"/>
                      <w:sz w:val="21"/>
                      <w:szCs w:val="21"/>
                      <w:u w:val="none" w:color="auto"/>
                      <w:lang w:val="en-US" w:eastAsia="zh-CN" w:bidi="ar-SA"/>
                    </w:rPr>
                    <w:t>2</w:t>
                  </w:r>
                </w:p>
              </w:tc>
              <w:tc>
                <w:tcPr>
                  <w:tcW w:w="536" w:type="pct"/>
                  <w:vMerge w:val="continue"/>
                  <w:tcBorders>
                    <w:tl2br w:val="nil"/>
                    <w:tr2bl w:val="nil"/>
                  </w:tcBorders>
                  <w:noWrap w:val="0"/>
                  <w:vAlign w:val="center"/>
                </w:tcPr>
                <w:p w14:paraId="68D13A90">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p>
              </w:tc>
              <w:tc>
                <w:tcPr>
                  <w:tcW w:w="588" w:type="pct"/>
                  <w:vMerge w:val="continue"/>
                  <w:tcBorders>
                    <w:tl2br w:val="nil"/>
                    <w:tr2bl w:val="nil"/>
                  </w:tcBorders>
                  <w:noWrap w:val="0"/>
                  <w:vAlign w:val="center"/>
                </w:tcPr>
                <w:p w14:paraId="69733D85">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p>
              </w:tc>
              <w:tc>
                <w:tcPr>
                  <w:tcW w:w="533" w:type="pct"/>
                  <w:vMerge w:val="continue"/>
                  <w:tcBorders>
                    <w:tl2br w:val="nil"/>
                    <w:tr2bl w:val="nil"/>
                  </w:tcBorders>
                  <w:noWrap w:val="0"/>
                  <w:vAlign w:val="center"/>
                </w:tcPr>
                <w:p w14:paraId="16CD2DD8">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p>
              </w:tc>
              <w:tc>
                <w:tcPr>
                  <w:tcW w:w="646" w:type="pct"/>
                  <w:tcBorders>
                    <w:tl2br w:val="nil"/>
                    <w:tr2bl w:val="nil"/>
                  </w:tcBorders>
                  <w:noWrap w:val="0"/>
                  <w:vAlign w:val="center"/>
                </w:tcPr>
                <w:p w14:paraId="5FF590E0">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r>
                    <w:rPr>
                      <w:rFonts w:hint="default" w:ascii="Times New Roman" w:hAnsi="Times New Roman" w:eastAsia="宋体" w:cs="Times New Roman"/>
                      <w:snapToGrid/>
                      <w:color w:val="auto"/>
                      <w:kern w:val="0"/>
                      <w:sz w:val="21"/>
                      <w:szCs w:val="21"/>
                      <w:u w:val="none" w:color="auto"/>
                      <w:lang w:val="en-US" w:eastAsia="zh-CN" w:bidi="ar-SA"/>
                    </w:rPr>
                    <w:t>0.</w:t>
                  </w:r>
                  <w:r>
                    <w:rPr>
                      <w:rFonts w:hint="eastAsia" w:ascii="Times New Roman" w:hAnsi="Times New Roman" w:eastAsia="宋体" w:cs="Times New Roman"/>
                      <w:snapToGrid/>
                      <w:color w:val="auto"/>
                      <w:kern w:val="0"/>
                      <w:sz w:val="21"/>
                      <w:szCs w:val="21"/>
                      <w:u w:val="none" w:color="auto"/>
                      <w:lang w:val="en-US" w:eastAsia="zh-CN" w:bidi="ar-SA"/>
                    </w:rPr>
                    <w:t>23</w:t>
                  </w:r>
                  <w:r>
                    <w:rPr>
                      <w:rFonts w:hint="default" w:ascii="Times New Roman" w:hAnsi="Times New Roman" w:eastAsia="宋体" w:cs="Times New Roman"/>
                      <w:snapToGrid/>
                      <w:color w:val="auto"/>
                      <w:kern w:val="0"/>
                      <w:sz w:val="21"/>
                      <w:szCs w:val="21"/>
                      <w:u w:val="none" w:color="auto"/>
                      <w:lang w:val="en-US" w:eastAsia="zh-CN" w:bidi="ar-SA"/>
                    </w:rPr>
                    <w:t xml:space="preserve">2 </w:t>
                  </w:r>
                </w:p>
              </w:tc>
              <w:tc>
                <w:tcPr>
                  <w:tcW w:w="617" w:type="pct"/>
                  <w:tcBorders>
                    <w:tl2br w:val="nil"/>
                    <w:tr2bl w:val="nil"/>
                  </w:tcBorders>
                  <w:noWrap w:val="0"/>
                  <w:vAlign w:val="center"/>
                </w:tcPr>
                <w:p w14:paraId="3CFF568F">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r>
                    <w:rPr>
                      <w:rFonts w:hint="default" w:ascii="Times New Roman" w:hAnsi="Times New Roman" w:eastAsia="宋体" w:cs="Times New Roman"/>
                      <w:snapToGrid/>
                      <w:color w:val="auto"/>
                      <w:kern w:val="0"/>
                      <w:sz w:val="21"/>
                      <w:szCs w:val="21"/>
                      <w:u w:val="none" w:color="auto"/>
                      <w:lang w:val="en-US" w:eastAsia="zh-CN" w:bidi="ar-SA"/>
                    </w:rPr>
                    <w:t>0.</w:t>
                  </w:r>
                  <w:r>
                    <w:rPr>
                      <w:rFonts w:hint="eastAsia" w:ascii="Times New Roman" w:hAnsi="Times New Roman" w:eastAsia="宋体" w:cs="Times New Roman"/>
                      <w:snapToGrid/>
                      <w:color w:val="auto"/>
                      <w:kern w:val="0"/>
                      <w:sz w:val="21"/>
                      <w:szCs w:val="21"/>
                      <w:u w:val="none" w:color="auto"/>
                      <w:lang w:val="en-US" w:eastAsia="zh-CN" w:bidi="ar-SA"/>
                    </w:rPr>
                    <w:t>24</w:t>
                  </w:r>
                  <w:r>
                    <w:rPr>
                      <w:rFonts w:hint="default" w:ascii="Times New Roman" w:hAnsi="Times New Roman" w:eastAsia="宋体" w:cs="Times New Roman"/>
                      <w:snapToGrid/>
                      <w:color w:val="auto"/>
                      <w:kern w:val="0"/>
                      <w:sz w:val="21"/>
                      <w:szCs w:val="21"/>
                      <w:u w:val="none" w:color="auto"/>
                      <w:lang w:val="en-US" w:eastAsia="zh-CN" w:bidi="ar-SA"/>
                    </w:rPr>
                    <w:t xml:space="preserve">6 </w:t>
                  </w:r>
                </w:p>
              </w:tc>
              <w:tc>
                <w:tcPr>
                  <w:tcW w:w="598" w:type="pct"/>
                  <w:tcBorders>
                    <w:tl2br w:val="nil"/>
                    <w:tr2bl w:val="nil"/>
                  </w:tcBorders>
                  <w:noWrap w:val="0"/>
                  <w:vAlign w:val="center"/>
                </w:tcPr>
                <w:p w14:paraId="18D130D2">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r>
                    <w:rPr>
                      <w:rFonts w:hint="default" w:ascii="Times New Roman" w:hAnsi="Times New Roman" w:eastAsia="宋体" w:cs="Times New Roman"/>
                      <w:snapToGrid/>
                      <w:color w:val="auto"/>
                      <w:kern w:val="0"/>
                      <w:sz w:val="21"/>
                      <w:szCs w:val="21"/>
                      <w:u w:val="none" w:color="auto"/>
                      <w:lang w:val="en-US" w:eastAsia="zh-CN" w:bidi="ar-SA"/>
                    </w:rPr>
                    <w:t>0.</w:t>
                  </w:r>
                  <w:r>
                    <w:rPr>
                      <w:rFonts w:hint="eastAsia" w:ascii="Times New Roman" w:hAnsi="Times New Roman" w:eastAsia="宋体" w:cs="Times New Roman"/>
                      <w:snapToGrid/>
                      <w:color w:val="auto"/>
                      <w:kern w:val="0"/>
                      <w:sz w:val="21"/>
                      <w:szCs w:val="21"/>
                      <w:u w:val="none" w:color="auto"/>
                      <w:lang w:val="en-US" w:eastAsia="zh-CN" w:bidi="ar-SA"/>
                    </w:rPr>
                    <w:t>244</w:t>
                  </w:r>
                  <w:r>
                    <w:rPr>
                      <w:rFonts w:hint="default" w:ascii="Times New Roman" w:hAnsi="Times New Roman" w:eastAsia="宋体" w:cs="Times New Roman"/>
                      <w:snapToGrid/>
                      <w:color w:val="auto"/>
                      <w:kern w:val="0"/>
                      <w:sz w:val="21"/>
                      <w:szCs w:val="21"/>
                      <w:u w:val="none" w:color="auto"/>
                      <w:lang w:val="en-US" w:eastAsia="zh-CN" w:bidi="ar-SA"/>
                    </w:rPr>
                    <w:t xml:space="preserve"> </w:t>
                  </w:r>
                </w:p>
              </w:tc>
              <w:tc>
                <w:tcPr>
                  <w:tcW w:w="499" w:type="pct"/>
                  <w:vMerge w:val="continue"/>
                  <w:tcBorders>
                    <w:tl2br w:val="nil"/>
                    <w:tr2bl w:val="nil"/>
                  </w:tcBorders>
                  <w:noWrap w:val="0"/>
                  <w:vAlign w:val="center"/>
                </w:tcPr>
                <w:p w14:paraId="147A0979">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p>
              </w:tc>
            </w:tr>
            <w:tr w14:paraId="5F337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56" w:type="dxa"/>
                  <w:tcBorders>
                    <w:tl2br w:val="nil"/>
                    <w:tr2bl w:val="nil"/>
                  </w:tcBorders>
                  <w:noWrap w:val="0"/>
                  <w:vAlign w:val="center"/>
                </w:tcPr>
                <w:p w14:paraId="71FC26F0">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r>
                    <w:rPr>
                      <w:rFonts w:hint="default" w:ascii="Times New Roman" w:hAnsi="Times New Roman" w:eastAsia="宋体" w:cs="Times New Roman"/>
                      <w:snapToGrid/>
                      <w:color w:val="auto"/>
                      <w:kern w:val="0"/>
                      <w:sz w:val="21"/>
                      <w:szCs w:val="21"/>
                      <w:u w:val="none" w:color="auto"/>
                      <w:lang w:val="en-US" w:eastAsia="zh-CN" w:bidi="ar-SA"/>
                    </w:rPr>
                    <w:t>厂界上风向</w:t>
                  </w:r>
                  <w:r>
                    <w:rPr>
                      <w:rFonts w:hint="eastAsia" w:ascii="Times New Roman" w:hAnsi="Times New Roman" w:eastAsia="宋体" w:cs="Times New Roman"/>
                      <w:snapToGrid/>
                      <w:color w:val="auto"/>
                      <w:kern w:val="0"/>
                      <w:sz w:val="21"/>
                      <w:szCs w:val="21"/>
                      <w:u w:val="none" w:color="auto"/>
                      <w:lang w:val="en-US" w:eastAsia="zh-CN" w:bidi="ar-SA"/>
                    </w:rPr>
                    <w:t>A</w:t>
                  </w:r>
                  <w:r>
                    <w:rPr>
                      <w:rFonts w:hint="default" w:ascii="Times New Roman" w:hAnsi="Times New Roman" w:eastAsia="宋体" w:cs="Times New Roman"/>
                      <w:snapToGrid/>
                      <w:color w:val="auto"/>
                      <w:kern w:val="0"/>
                      <w:sz w:val="21"/>
                      <w:szCs w:val="21"/>
                      <w:u w:val="none" w:color="auto"/>
                      <w:lang w:val="en-US" w:eastAsia="zh-CN" w:bidi="ar-SA"/>
                    </w:rPr>
                    <w:t>1</w:t>
                  </w:r>
                </w:p>
              </w:tc>
              <w:tc>
                <w:tcPr>
                  <w:tcW w:w="536" w:type="pct"/>
                  <w:vMerge w:val="restart"/>
                  <w:tcBorders>
                    <w:tl2br w:val="nil"/>
                    <w:tr2bl w:val="nil"/>
                  </w:tcBorders>
                  <w:noWrap w:val="0"/>
                  <w:vAlign w:val="center"/>
                </w:tcPr>
                <w:p w14:paraId="68E1D33C">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r>
                    <w:rPr>
                      <w:rFonts w:hint="default" w:ascii="Times New Roman" w:hAnsi="Times New Roman" w:eastAsia="宋体" w:cs="Times New Roman"/>
                      <w:snapToGrid/>
                      <w:color w:val="auto"/>
                      <w:kern w:val="0"/>
                      <w:sz w:val="21"/>
                      <w:szCs w:val="21"/>
                      <w:u w:val="none" w:color="auto"/>
                      <w:lang w:val="en-US" w:eastAsia="zh-CN" w:bidi="ar-SA"/>
                    </w:rPr>
                    <w:t>202</w:t>
                  </w:r>
                  <w:r>
                    <w:rPr>
                      <w:rFonts w:hint="eastAsia" w:ascii="Times New Roman" w:hAnsi="Times New Roman" w:eastAsia="宋体" w:cs="Times New Roman"/>
                      <w:snapToGrid/>
                      <w:color w:val="auto"/>
                      <w:kern w:val="0"/>
                      <w:sz w:val="21"/>
                      <w:szCs w:val="21"/>
                      <w:u w:val="none" w:color="auto"/>
                      <w:lang w:val="en-US" w:eastAsia="zh-CN" w:bidi="ar-SA"/>
                    </w:rPr>
                    <w:t>5</w:t>
                  </w:r>
                  <w:r>
                    <w:rPr>
                      <w:rFonts w:hint="default" w:ascii="Times New Roman" w:hAnsi="Times New Roman" w:eastAsia="宋体" w:cs="Times New Roman"/>
                      <w:snapToGrid/>
                      <w:color w:val="auto"/>
                      <w:kern w:val="0"/>
                      <w:sz w:val="21"/>
                      <w:szCs w:val="21"/>
                      <w:u w:val="none" w:color="auto"/>
                      <w:lang w:val="en-US" w:eastAsia="zh-CN" w:bidi="ar-SA"/>
                    </w:rPr>
                    <w:t>.</w:t>
                  </w:r>
                </w:p>
                <w:p w14:paraId="31786FFE">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r>
                    <w:rPr>
                      <w:rFonts w:hint="eastAsia" w:ascii="Times New Roman" w:hAnsi="Times New Roman" w:eastAsia="宋体" w:cs="Times New Roman"/>
                      <w:snapToGrid/>
                      <w:color w:val="auto"/>
                      <w:kern w:val="0"/>
                      <w:sz w:val="21"/>
                      <w:szCs w:val="21"/>
                      <w:u w:val="none" w:color="auto"/>
                      <w:lang w:val="en-US" w:eastAsia="zh-CN" w:bidi="ar-SA"/>
                    </w:rPr>
                    <w:t>03</w:t>
                  </w:r>
                  <w:r>
                    <w:rPr>
                      <w:rFonts w:hint="default" w:ascii="Times New Roman" w:hAnsi="Times New Roman" w:eastAsia="宋体" w:cs="Times New Roman"/>
                      <w:snapToGrid/>
                      <w:color w:val="auto"/>
                      <w:kern w:val="0"/>
                      <w:sz w:val="21"/>
                      <w:szCs w:val="21"/>
                      <w:u w:val="none" w:color="auto"/>
                      <w:lang w:val="en-US" w:eastAsia="zh-CN" w:bidi="ar-SA"/>
                    </w:rPr>
                    <w:t>.</w:t>
                  </w:r>
                  <w:r>
                    <w:rPr>
                      <w:rFonts w:hint="eastAsia" w:ascii="Times New Roman" w:hAnsi="Times New Roman" w:eastAsia="宋体" w:cs="Times New Roman"/>
                      <w:snapToGrid/>
                      <w:color w:val="auto"/>
                      <w:kern w:val="0"/>
                      <w:sz w:val="21"/>
                      <w:szCs w:val="21"/>
                      <w:u w:val="none" w:color="auto"/>
                      <w:lang w:val="en-US" w:eastAsia="zh-CN" w:bidi="ar-SA"/>
                    </w:rPr>
                    <w:t>21</w:t>
                  </w:r>
                </w:p>
              </w:tc>
              <w:tc>
                <w:tcPr>
                  <w:tcW w:w="588" w:type="pct"/>
                  <w:vMerge w:val="restart"/>
                  <w:tcBorders>
                    <w:tl2br w:val="nil"/>
                    <w:tr2bl w:val="nil"/>
                  </w:tcBorders>
                  <w:noWrap w:val="0"/>
                  <w:vAlign w:val="center"/>
                </w:tcPr>
                <w:p w14:paraId="26F81B6C">
                  <w:pPr>
                    <w:widowControl/>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kern w:val="0"/>
                      <w:sz w:val="21"/>
                      <w:szCs w:val="21"/>
                      <w:u w:val="none" w:color="auto"/>
                      <w:lang w:val="en-US" w:eastAsia="zh-CN" w:bidi="ar-SA"/>
                    </w:rPr>
                  </w:pPr>
                  <w:r>
                    <w:rPr>
                      <w:rFonts w:hint="eastAsia" w:ascii="Times New Roman" w:hAnsi="Times New Roman" w:eastAsia="宋体" w:cs="Times New Roman"/>
                      <w:snapToGrid/>
                      <w:color w:val="auto"/>
                      <w:kern w:val="0"/>
                      <w:sz w:val="21"/>
                      <w:szCs w:val="21"/>
                      <w:u w:val="none" w:color="auto"/>
                      <w:lang w:val="en-US" w:eastAsia="zh-CN" w:bidi="ar-SA"/>
                    </w:rPr>
                    <w:t>非甲烷总烃</w:t>
                  </w:r>
                </w:p>
              </w:tc>
              <w:tc>
                <w:tcPr>
                  <w:tcW w:w="533" w:type="pct"/>
                  <w:vMerge w:val="restart"/>
                  <w:tcBorders>
                    <w:tl2br w:val="nil"/>
                    <w:tr2bl w:val="nil"/>
                  </w:tcBorders>
                  <w:noWrap w:val="0"/>
                  <w:vAlign w:val="center"/>
                </w:tcPr>
                <w:p w14:paraId="5F90E5C0">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r>
                    <w:rPr>
                      <w:rFonts w:hint="default" w:ascii="Times New Roman" w:hAnsi="Times New Roman" w:eastAsia="宋体" w:cs="Times New Roman"/>
                      <w:snapToGrid/>
                      <w:color w:val="auto"/>
                      <w:kern w:val="0"/>
                      <w:sz w:val="21"/>
                      <w:szCs w:val="21"/>
                      <w:u w:val="none" w:color="auto"/>
                      <w:lang w:val="en-US" w:eastAsia="zh-CN" w:bidi="ar-SA"/>
                    </w:rPr>
                    <w:t>mg/m</w:t>
                  </w:r>
                  <w:r>
                    <w:rPr>
                      <w:rFonts w:hint="default" w:ascii="Times New Roman" w:hAnsi="Times New Roman" w:eastAsia="宋体" w:cs="Times New Roman"/>
                      <w:snapToGrid/>
                      <w:color w:val="auto"/>
                      <w:kern w:val="0"/>
                      <w:sz w:val="21"/>
                      <w:szCs w:val="21"/>
                      <w:u w:val="none" w:color="auto"/>
                      <w:vertAlign w:val="superscript"/>
                      <w:lang w:val="en-US" w:eastAsia="zh-CN" w:bidi="ar-SA"/>
                    </w:rPr>
                    <w:t>3</w:t>
                  </w:r>
                </w:p>
              </w:tc>
              <w:tc>
                <w:tcPr>
                  <w:tcW w:w="646" w:type="pct"/>
                  <w:tcBorders>
                    <w:tl2br w:val="nil"/>
                    <w:tr2bl w:val="nil"/>
                  </w:tcBorders>
                  <w:noWrap w:val="0"/>
                  <w:vAlign w:val="center"/>
                </w:tcPr>
                <w:p w14:paraId="37904F35">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r>
                    <w:rPr>
                      <w:rFonts w:hint="eastAsia" w:ascii="Times New Roman" w:hAnsi="Times New Roman" w:eastAsia="宋体" w:cs="Times New Roman"/>
                      <w:snapToGrid/>
                      <w:color w:val="auto"/>
                      <w:kern w:val="0"/>
                      <w:sz w:val="21"/>
                      <w:szCs w:val="21"/>
                      <w:u w:val="none" w:color="auto"/>
                      <w:lang w:val="en-US" w:eastAsia="zh-CN" w:bidi="ar-SA"/>
                    </w:rPr>
                    <w:t>0</w:t>
                  </w:r>
                  <w:r>
                    <w:rPr>
                      <w:rFonts w:hint="default" w:ascii="Times New Roman" w:hAnsi="Times New Roman" w:eastAsia="宋体" w:cs="Times New Roman"/>
                      <w:snapToGrid/>
                      <w:color w:val="auto"/>
                      <w:kern w:val="0"/>
                      <w:sz w:val="21"/>
                      <w:szCs w:val="21"/>
                      <w:u w:val="none" w:color="auto"/>
                      <w:lang w:val="en-US" w:eastAsia="zh-CN" w:bidi="ar-SA"/>
                    </w:rPr>
                    <w:t>.</w:t>
                  </w:r>
                  <w:r>
                    <w:rPr>
                      <w:rFonts w:hint="eastAsia" w:ascii="Times New Roman" w:hAnsi="Times New Roman" w:eastAsia="宋体" w:cs="Times New Roman"/>
                      <w:snapToGrid/>
                      <w:color w:val="auto"/>
                      <w:kern w:val="0"/>
                      <w:sz w:val="21"/>
                      <w:szCs w:val="21"/>
                      <w:u w:val="none" w:color="auto"/>
                      <w:lang w:val="en-US" w:eastAsia="zh-CN" w:bidi="ar-SA"/>
                    </w:rPr>
                    <w:t>44</w:t>
                  </w:r>
                  <w:r>
                    <w:rPr>
                      <w:rFonts w:hint="default" w:ascii="Times New Roman" w:hAnsi="Times New Roman" w:eastAsia="宋体" w:cs="Times New Roman"/>
                      <w:snapToGrid/>
                      <w:color w:val="auto"/>
                      <w:kern w:val="0"/>
                      <w:sz w:val="21"/>
                      <w:szCs w:val="21"/>
                      <w:u w:val="none" w:color="auto"/>
                      <w:lang w:val="en-US" w:eastAsia="zh-CN" w:bidi="ar-SA"/>
                    </w:rPr>
                    <w:t xml:space="preserve"> </w:t>
                  </w:r>
                </w:p>
              </w:tc>
              <w:tc>
                <w:tcPr>
                  <w:tcW w:w="617" w:type="pct"/>
                  <w:tcBorders>
                    <w:tl2br w:val="nil"/>
                    <w:tr2bl w:val="nil"/>
                  </w:tcBorders>
                  <w:noWrap w:val="0"/>
                  <w:vAlign w:val="center"/>
                </w:tcPr>
                <w:p w14:paraId="22C76941">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r>
                    <w:rPr>
                      <w:rFonts w:hint="eastAsia" w:ascii="Times New Roman" w:hAnsi="Times New Roman" w:eastAsia="宋体" w:cs="Times New Roman"/>
                      <w:snapToGrid/>
                      <w:color w:val="auto"/>
                      <w:kern w:val="0"/>
                      <w:sz w:val="21"/>
                      <w:szCs w:val="21"/>
                      <w:u w:val="none" w:color="auto"/>
                      <w:lang w:val="en-US" w:eastAsia="zh-CN" w:bidi="ar-SA"/>
                    </w:rPr>
                    <w:t>0</w:t>
                  </w:r>
                  <w:r>
                    <w:rPr>
                      <w:rFonts w:hint="default" w:ascii="Times New Roman" w:hAnsi="Times New Roman" w:eastAsia="宋体" w:cs="Times New Roman"/>
                      <w:snapToGrid/>
                      <w:color w:val="auto"/>
                      <w:kern w:val="0"/>
                      <w:sz w:val="21"/>
                      <w:szCs w:val="21"/>
                      <w:u w:val="none" w:color="auto"/>
                      <w:lang w:val="en-US" w:eastAsia="zh-CN" w:bidi="ar-SA"/>
                    </w:rPr>
                    <w:t>.</w:t>
                  </w:r>
                  <w:r>
                    <w:rPr>
                      <w:rFonts w:hint="eastAsia" w:ascii="Times New Roman" w:hAnsi="Times New Roman" w:eastAsia="宋体" w:cs="Times New Roman"/>
                      <w:snapToGrid/>
                      <w:color w:val="auto"/>
                      <w:kern w:val="0"/>
                      <w:sz w:val="21"/>
                      <w:szCs w:val="21"/>
                      <w:u w:val="none" w:color="auto"/>
                      <w:lang w:val="en-US" w:eastAsia="zh-CN" w:bidi="ar-SA"/>
                    </w:rPr>
                    <w:t>52</w:t>
                  </w:r>
                </w:p>
              </w:tc>
              <w:tc>
                <w:tcPr>
                  <w:tcW w:w="598" w:type="pct"/>
                  <w:tcBorders>
                    <w:tl2br w:val="nil"/>
                    <w:tr2bl w:val="nil"/>
                  </w:tcBorders>
                  <w:noWrap w:val="0"/>
                  <w:vAlign w:val="center"/>
                </w:tcPr>
                <w:p w14:paraId="0288EB96">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r>
                    <w:rPr>
                      <w:rFonts w:hint="eastAsia" w:ascii="Times New Roman" w:hAnsi="Times New Roman" w:eastAsia="宋体" w:cs="Times New Roman"/>
                      <w:snapToGrid/>
                      <w:color w:val="auto"/>
                      <w:kern w:val="0"/>
                      <w:sz w:val="21"/>
                      <w:szCs w:val="21"/>
                      <w:u w:val="none" w:color="auto"/>
                      <w:lang w:val="en-US" w:eastAsia="zh-CN" w:bidi="ar-SA"/>
                    </w:rPr>
                    <w:t>0</w:t>
                  </w:r>
                  <w:r>
                    <w:rPr>
                      <w:rFonts w:hint="default" w:ascii="Times New Roman" w:hAnsi="Times New Roman" w:eastAsia="宋体" w:cs="Times New Roman"/>
                      <w:snapToGrid/>
                      <w:color w:val="auto"/>
                      <w:kern w:val="0"/>
                      <w:sz w:val="21"/>
                      <w:szCs w:val="21"/>
                      <w:u w:val="none" w:color="auto"/>
                      <w:lang w:val="en-US" w:eastAsia="zh-CN" w:bidi="ar-SA"/>
                    </w:rPr>
                    <w:t>.</w:t>
                  </w:r>
                  <w:r>
                    <w:rPr>
                      <w:rFonts w:hint="eastAsia" w:ascii="Times New Roman" w:hAnsi="Times New Roman" w:eastAsia="宋体" w:cs="Times New Roman"/>
                      <w:snapToGrid/>
                      <w:color w:val="auto"/>
                      <w:kern w:val="0"/>
                      <w:sz w:val="21"/>
                      <w:szCs w:val="21"/>
                      <w:u w:val="none" w:color="auto"/>
                      <w:lang w:val="en-US" w:eastAsia="zh-CN" w:bidi="ar-SA"/>
                    </w:rPr>
                    <w:t>49</w:t>
                  </w:r>
                </w:p>
              </w:tc>
              <w:tc>
                <w:tcPr>
                  <w:tcW w:w="499" w:type="pct"/>
                  <w:vMerge w:val="restart"/>
                  <w:tcBorders>
                    <w:tl2br w:val="nil"/>
                    <w:tr2bl w:val="nil"/>
                  </w:tcBorders>
                  <w:noWrap w:val="0"/>
                  <w:vAlign w:val="center"/>
                </w:tcPr>
                <w:p w14:paraId="718D765F">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r>
                    <w:rPr>
                      <w:rFonts w:hint="eastAsia" w:ascii="Times New Roman" w:hAnsi="Times New Roman" w:eastAsia="宋体" w:cs="Times New Roman"/>
                      <w:snapToGrid/>
                      <w:color w:val="auto"/>
                      <w:kern w:val="0"/>
                      <w:sz w:val="21"/>
                      <w:szCs w:val="21"/>
                      <w:u w:val="none" w:color="auto"/>
                      <w:lang w:val="en-US" w:eastAsia="zh-CN" w:bidi="ar-SA"/>
                    </w:rPr>
                    <w:t>2.0</w:t>
                  </w:r>
                </w:p>
              </w:tc>
            </w:tr>
            <w:tr w14:paraId="5ED7D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56" w:type="dxa"/>
                  <w:tcBorders>
                    <w:tl2br w:val="nil"/>
                    <w:tr2bl w:val="nil"/>
                  </w:tcBorders>
                  <w:noWrap w:val="0"/>
                  <w:vAlign w:val="center"/>
                </w:tcPr>
                <w:p w14:paraId="12BAEB20">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r>
                    <w:rPr>
                      <w:rFonts w:hint="default" w:ascii="Times New Roman" w:hAnsi="Times New Roman" w:eastAsia="宋体" w:cs="Times New Roman"/>
                      <w:snapToGrid/>
                      <w:color w:val="auto"/>
                      <w:kern w:val="0"/>
                      <w:sz w:val="21"/>
                      <w:szCs w:val="21"/>
                      <w:u w:val="none" w:color="auto"/>
                      <w:lang w:val="en-US" w:eastAsia="zh-CN" w:bidi="ar-SA"/>
                    </w:rPr>
                    <w:t>厂界下风向</w:t>
                  </w:r>
                  <w:r>
                    <w:rPr>
                      <w:rFonts w:hint="eastAsia" w:ascii="Times New Roman" w:hAnsi="Times New Roman" w:eastAsia="宋体" w:cs="Times New Roman"/>
                      <w:snapToGrid/>
                      <w:color w:val="auto"/>
                      <w:kern w:val="0"/>
                      <w:sz w:val="21"/>
                      <w:szCs w:val="21"/>
                      <w:u w:val="none" w:color="auto"/>
                      <w:lang w:val="en-US" w:eastAsia="zh-CN" w:bidi="ar-SA"/>
                    </w:rPr>
                    <w:t>A</w:t>
                  </w:r>
                  <w:r>
                    <w:rPr>
                      <w:rFonts w:hint="default" w:ascii="Times New Roman" w:hAnsi="Times New Roman" w:eastAsia="宋体" w:cs="Times New Roman"/>
                      <w:snapToGrid/>
                      <w:color w:val="auto"/>
                      <w:kern w:val="0"/>
                      <w:sz w:val="21"/>
                      <w:szCs w:val="21"/>
                      <w:u w:val="none" w:color="auto"/>
                      <w:lang w:val="en-US" w:eastAsia="zh-CN" w:bidi="ar-SA"/>
                    </w:rPr>
                    <w:t>2</w:t>
                  </w:r>
                </w:p>
              </w:tc>
              <w:tc>
                <w:tcPr>
                  <w:tcW w:w="536" w:type="pct"/>
                  <w:vMerge w:val="continue"/>
                  <w:tcBorders>
                    <w:tl2br w:val="nil"/>
                    <w:tr2bl w:val="nil"/>
                  </w:tcBorders>
                  <w:noWrap w:val="0"/>
                  <w:vAlign w:val="center"/>
                </w:tcPr>
                <w:p w14:paraId="4AB4252F">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p>
              </w:tc>
              <w:tc>
                <w:tcPr>
                  <w:tcW w:w="588" w:type="pct"/>
                  <w:vMerge w:val="continue"/>
                  <w:tcBorders>
                    <w:tl2br w:val="nil"/>
                    <w:tr2bl w:val="nil"/>
                  </w:tcBorders>
                  <w:noWrap w:val="0"/>
                  <w:vAlign w:val="center"/>
                </w:tcPr>
                <w:p w14:paraId="5E9E3D56">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p>
              </w:tc>
              <w:tc>
                <w:tcPr>
                  <w:tcW w:w="533" w:type="pct"/>
                  <w:vMerge w:val="continue"/>
                  <w:tcBorders>
                    <w:tl2br w:val="nil"/>
                    <w:tr2bl w:val="nil"/>
                  </w:tcBorders>
                  <w:noWrap w:val="0"/>
                  <w:vAlign w:val="center"/>
                </w:tcPr>
                <w:p w14:paraId="14A9A249">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p>
              </w:tc>
              <w:tc>
                <w:tcPr>
                  <w:tcW w:w="646" w:type="pct"/>
                  <w:tcBorders>
                    <w:tl2br w:val="nil"/>
                    <w:tr2bl w:val="nil"/>
                  </w:tcBorders>
                  <w:noWrap w:val="0"/>
                  <w:vAlign w:val="center"/>
                </w:tcPr>
                <w:p w14:paraId="5B35A057">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r>
                    <w:rPr>
                      <w:rFonts w:hint="eastAsia" w:ascii="Times New Roman" w:hAnsi="Times New Roman" w:eastAsia="宋体" w:cs="Times New Roman"/>
                      <w:snapToGrid/>
                      <w:color w:val="auto"/>
                      <w:kern w:val="0"/>
                      <w:sz w:val="21"/>
                      <w:szCs w:val="21"/>
                      <w:u w:val="none" w:color="auto"/>
                      <w:lang w:val="en-US" w:eastAsia="zh-CN" w:bidi="ar-SA"/>
                    </w:rPr>
                    <w:t>0</w:t>
                  </w:r>
                  <w:r>
                    <w:rPr>
                      <w:rFonts w:hint="default" w:ascii="Times New Roman" w:hAnsi="Times New Roman" w:eastAsia="宋体" w:cs="Times New Roman"/>
                      <w:snapToGrid/>
                      <w:color w:val="auto"/>
                      <w:kern w:val="0"/>
                      <w:sz w:val="21"/>
                      <w:szCs w:val="21"/>
                      <w:u w:val="none" w:color="auto"/>
                      <w:lang w:val="en-US" w:eastAsia="zh-CN" w:bidi="ar-SA"/>
                    </w:rPr>
                    <w:t>.</w:t>
                  </w:r>
                  <w:r>
                    <w:rPr>
                      <w:rFonts w:hint="eastAsia" w:ascii="Times New Roman" w:hAnsi="Times New Roman" w:eastAsia="宋体" w:cs="Times New Roman"/>
                      <w:snapToGrid/>
                      <w:color w:val="auto"/>
                      <w:kern w:val="0"/>
                      <w:sz w:val="21"/>
                      <w:szCs w:val="21"/>
                      <w:u w:val="none" w:color="auto"/>
                      <w:lang w:val="en-US" w:eastAsia="zh-CN" w:bidi="ar-SA"/>
                    </w:rPr>
                    <w:t>8</w:t>
                  </w:r>
                  <w:r>
                    <w:rPr>
                      <w:rFonts w:hint="default" w:ascii="Times New Roman" w:hAnsi="Times New Roman" w:eastAsia="宋体" w:cs="Times New Roman"/>
                      <w:snapToGrid/>
                      <w:color w:val="auto"/>
                      <w:kern w:val="0"/>
                      <w:sz w:val="21"/>
                      <w:szCs w:val="21"/>
                      <w:u w:val="none" w:color="auto"/>
                      <w:lang w:val="en-US" w:eastAsia="zh-CN" w:bidi="ar-SA"/>
                    </w:rPr>
                    <w:t xml:space="preserve">7 </w:t>
                  </w:r>
                </w:p>
              </w:tc>
              <w:tc>
                <w:tcPr>
                  <w:tcW w:w="617" w:type="pct"/>
                  <w:tcBorders>
                    <w:tl2br w:val="nil"/>
                    <w:tr2bl w:val="nil"/>
                  </w:tcBorders>
                  <w:noWrap w:val="0"/>
                  <w:vAlign w:val="center"/>
                </w:tcPr>
                <w:p w14:paraId="36B1AEF1">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r>
                    <w:rPr>
                      <w:rFonts w:hint="eastAsia" w:ascii="Times New Roman" w:hAnsi="Times New Roman" w:eastAsia="宋体" w:cs="Times New Roman"/>
                      <w:snapToGrid/>
                      <w:color w:val="auto"/>
                      <w:kern w:val="0"/>
                      <w:sz w:val="21"/>
                      <w:szCs w:val="21"/>
                      <w:u w:val="none" w:color="auto"/>
                      <w:lang w:val="en-US" w:eastAsia="zh-CN" w:bidi="ar-SA"/>
                    </w:rPr>
                    <w:t>0</w:t>
                  </w:r>
                  <w:r>
                    <w:rPr>
                      <w:rFonts w:hint="default" w:ascii="Times New Roman" w:hAnsi="Times New Roman" w:eastAsia="宋体" w:cs="Times New Roman"/>
                      <w:snapToGrid/>
                      <w:color w:val="auto"/>
                      <w:kern w:val="0"/>
                      <w:sz w:val="21"/>
                      <w:szCs w:val="21"/>
                      <w:u w:val="none" w:color="auto"/>
                      <w:lang w:val="en-US" w:eastAsia="zh-CN" w:bidi="ar-SA"/>
                    </w:rPr>
                    <w:t>.</w:t>
                  </w:r>
                  <w:r>
                    <w:rPr>
                      <w:rFonts w:hint="eastAsia" w:ascii="Times New Roman" w:hAnsi="Times New Roman" w:eastAsia="宋体" w:cs="Times New Roman"/>
                      <w:snapToGrid/>
                      <w:color w:val="auto"/>
                      <w:kern w:val="0"/>
                      <w:sz w:val="21"/>
                      <w:szCs w:val="21"/>
                      <w:u w:val="none" w:color="auto"/>
                      <w:lang w:val="en-US" w:eastAsia="zh-CN" w:bidi="ar-SA"/>
                    </w:rPr>
                    <w:t>93</w:t>
                  </w:r>
                  <w:r>
                    <w:rPr>
                      <w:rFonts w:hint="default" w:ascii="Times New Roman" w:hAnsi="Times New Roman" w:eastAsia="宋体" w:cs="Times New Roman"/>
                      <w:snapToGrid/>
                      <w:color w:val="auto"/>
                      <w:kern w:val="0"/>
                      <w:sz w:val="21"/>
                      <w:szCs w:val="21"/>
                      <w:u w:val="none" w:color="auto"/>
                      <w:lang w:val="en-US" w:eastAsia="zh-CN" w:bidi="ar-SA"/>
                    </w:rPr>
                    <w:t xml:space="preserve"> </w:t>
                  </w:r>
                </w:p>
              </w:tc>
              <w:tc>
                <w:tcPr>
                  <w:tcW w:w="598" w:type="pct"/>
                  <w:tcBorders>
                    <w:tl2br w:val="nil"/>
                    <w:tr2bl w:val="nil"/>
                  </w:tcBorders>
                  <w:noWrap w:val="0"/>
                  <w:vAlign w:val="center"/>
                </w:tcPr>
                <w:p w14:paraId="3D7B9B04">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r>
                    <w:rPr>
                      <w:rFonts w:hint="eastAsia" w:ascii="Times New Roman" w:hAnsi="Times New Roman" w:eastAsia="宋体" w:cs="Times New Roman"/>
                      <w:snapToGrid/>
                      <w:color w:val="auto"/>
                      <w:kern w:val="0"/>
                      <w:sz w:val="21"/>
                      <w:szCs w:val="21"/>
                      <w:u w:val="none" w:color="auto"/>
                      <w:lang w:val="en-US" w:eastAsia="zh-CN" w:bidi="ar-SA"/>
                    </w:rPr>
                    <w:t>0</w:t>
                  </w:r>
                  <w:r>
                    <w:rPr>
                      <w:rFonts w:hint="default" w:ascii="Times New Roman" w:hAnsi="Times New Roman" w:eastAsia="宋体" w:cs="Times New Roman"/>
                      <w:snapToGrid/>
                      <w:color w:val="auto"/>
                      <w:kern w:val="0"/>
                      <w:sz w:val="21"/>
                      <w:szCs w:val="21"/>
                      <w:u w:val="none" w:color="auto"/>
                      <w:lang w:val="en-US" w:eastAsia="zh-CN" w:bidi="ar-SA"/>
                    </w:rPr>
                    <w:t>.</w:t>
                  </w:r>
                  <w:r>
                    <w:rPr>
                      <w:rFonts w:hint="eastAsia" w:ascii="Times New Roman" w:hAnsi="Times New Roman" w:eastAsia="宋体" w:cs="Times New Roman"/>
                      <w:snapToGrid/>
                      <w:color w:val="auto"/>
                      <w:kern w:val="0"/>
                      <w:sz w:val="21"/>
                      <w:szCs w:val="21"/>
                      <w:u w:val="none" w:color="auto"/>
                      <w:lang w:val="en-US" w:eastAsia="zh-CN" w:bidi="ar-SA"/>
                    </w:rPr>
                    <w:t>88</w:t>
                  </w:r>
                  <w:r>
                    <w:rPr>
                      <w:rFonts w:hint="default" w:ascii="Times New Roman" w:hAnsi="Times New Roman" w:eastAsia="宋体" w:cs="Times New Roman"/>
                      <w:snapToGrid/>
                      <w:color w:val="auto"/>
                      <w:kern w:val="0"/>
                      <w:sz w:val="21"/>
                      <w:szCs w:val="21"/>
                      <w:u w:val="none" w:color="auto"/>
                      <w:lang w:val="en-US" w:eastAsia="zh-CN" w:bidi="ar-SA"/>
                    </w:rPr>
                    <w:t xml:space="preserve"> </w:t>
                  </w:r>
                </w:p>
              </w:tc>
              <w:tc>
                <w:tcPr>
                  <w:tcW w:w="499" w:type="pct"/>
                  <w:vMerge w:val="continue"/>
                  <w:tcBorders>
                    <w:tl2br w:val="nil"/>
                    <w:tr2bl w:val="nil"/>
                  </w:tcBorders>
                  <w:noWrap w:val="0"/>
                  <w:vAlign w:val="center"/>
                </w:tcPr>
                <w:p w14:paraId="580E7872">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p>
              </w:tc>
            </w:tr>
            <w:tr w14:paraId="23E6E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00" w:type="pct"/>
                  <w:gridSpan w:val="8"/>
                  <w:tcBorders>
                    <w:tl2br w:val="nil"/>
                    <w:tr2bl w:val="nil"/>
                  </w:tcBorders>
                  <w:noWrap w:val="0"/>
                  <w:vAlign w:val="center"/>
                </w:tcPr>
                <w:p w14:paraId="0F039F34">
                  <w:pPr>
                    <w:widowControl/>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kern w:val="0"/>
                      <w:sz w:val="21"/>
                      <w:szCs w:val="21"/>
                      <w:u w:val="none" w:color="auto"/>
                      <w:lang w:val="en-US" w:eastAsia="zh-CN" w:bidi="ar-SA"/>
                    </w:rPr>
                  </w:pPr>
                  <w:r>
                    <w:rPr>
                      <w:rFonts w:hint="default" w:ascii="Times New Roman" w:hAnsi="Times New Roman" w:eastAsia="宋体" w:cs="Times New Roman"/>
                      <w:snapToGrid/>
                      <w:color w:val="auto"/>
                      <w:kern w:val="0"/>
                      <w:sz w:val="21"/>
                      <w:szCs w:val="21"/>
                      <w:u w:val="none" w:color="auto"/>
                      <w:lang w:val="en-US" w:eastAsia="zh-CN" w:bidi="ar-SA"/>
                    </w:rPr>
                    <w:t>备注：标准执行《</w:t>
                  </w:r>
                  <w:r>
                    <w:rPr>
                      <w:rFonts w:hint="eastAsia" w:ascii="Times New Roman" w:hAnsi="Times New Roman" w:eastAsia="宋体" w:cs="Times New Roman"/>
                      <w:snapToGrid/>
                      <w:color w:val="auto"/>
                      <w:kern w:val="0"/>
                      <w:sz w:val="21"/>
                      <w:szCs w:val="21"/>
                      <w:u w:val="none" w:color="auto"/>
                      <w:lang w:val="en-US" w:eastAsia="zh-CN" w:bidi="ar-SA"/>
                    </w:rPr>
                    <w:t>电池工业污染物排放标准</w:t>
                  </w:r>
                  <w:r>
                    <w:rPr>
                      <w:rFonts w:hint="default" w:ascii="Times New Roman" w:hAnsi="Times New Roman" w:eastAsia="宋体" w:cs="Times New Roman"/>
                      <w:snapToGrid/>
                      <w:color w:val="auto"/>
                      <w:kern w:val="0"/>
                      <w:sz w:val="21"/>
                      <w:szCs w:val="21"/>
                      <w:u w:val="none" w:color="auto"/>
                      <w:lang w:val="en-US" w:eastAsia="zh-CN" w:bidi="ar-SA"/>
                    </w:rPr>
                    <w:t>》（GB</w:t>
                  </w:r>
                  <w:r>
                    <w:rPr>
                      <w:rFonts w:hint="eastAsia" w:ascii="Times New Roman" w:hAnsi="Times New Roman" w:eastAsia="宋体" w:cs="Times New Roman"/>
                      <w:snapToGrid/>
                      <w:color w:val="auto"/>
                      <w:kern w:val="0"/>
                      <w:sz w:val="21"/>
                      <w:szCs w:val="21"/>
                      <w:u w:val="none" w:color="auto"/>
                      <w:lang w:val="en-US" w:eastAsia="zh-CN" w:bidi="ar-SA"/>
                    </w:rPr>
                    <w:t>30484</w:t>
                  </w:r>
                  <w:r>
                    <w:rPr>
                      <w:rFonts w:hint="default" w:ascii="Times New Roman" w:hAnsi="Times New Roman" w:eastAsia="宋体" w:cs="Times New Roman"/>
                      <w:snapToGrid/>
                      <w:color w:val="auto"/>
                      <w:kern w:val="0"/>
                      <w:sz w:val="21"/>
                      <w:szCs w:val="21"/>
                      <w:u w:val="none" w:color="auto"/>
                      <w:lang w:val="en-US" w:eastAsia="zh-CN" w:bidi="ar-SA"/>
                    </w:rPr>
                    <w:t>-</w:t>
                  </w:r>
                  <w:r>
                    <w:rPr>
                      <w:rFonts w:hint="eastAsia" w:ascii="Times New Roman" w:hAnsi="Times New Roman" w:eastAsia="宋体" w:cs="Times New Roman"/>
                      <w:snapToGrid/>
                      <w:color w:val="auto"/>
                      <w:kern w:val="0"/>
                      <w:sz w:val="21"/>
                      <w:szCs w:val="21"/>
                      <w:u w:val="none" w:color="auto"/>
                      <w:lang w:val="en-US" w:eastAsia="zh-CN" w:bidi="ar-SA"/>
                    </w:rPr>
                    <w:t>2013</w:t>
                  </w:r>
                  <w:r>
                    <w:rPr>
                      <w:rFonts w:hint="default" w:ascii="Times New Roman" w:hAnsi="Times New Roman" w:eastAsia="宋体" w:cs="Times New Roman"/>
                      <w:snapToGrid/>
                      <w:color w:val="auto"/>
                      <w:kern w:val="0"/>
                      <w:sz w:val="21"/>
                      <w:szCs w:val="21"/>
                      <w:u w:val="none" w:color="auto"/>
                      <w:lang w:val="en-US" w:eastAsia="zh-CN" w:bidi="ar-SA"/>
                    </w:rPr>
                    <w:t>）表</w:t>
                  </w:r>
                  <w:r>
                    <w:rPr>
                      <w:rFonts w:hint="eastAsia" w:ascii="Times New Roman" w:hAnsi="Times New Roman" w:eastAsia="宋体" w:cs="Times New Roman"/>
                      <w:snapToGrid/>
                      <w:color w:val="auto"/>
                      <w:kern w:val="0"/>
                      <w:sz w:val="21"/>
                      <w:szCs w:val="21"/>
                      <w:u w:val="none" w:color="auto"/>
                      <w:lang w:val="en-US" w:eastAsia="zh-CN" w:bidi="ar-SA"/>
                    </w:rPr>
                    <w:t>6</w:t>
                  </w:r>
                  <w:r>
                    <w:rPr>
                      <w:rFonts w:hint="default" w:ascii="Times New Roman" w:hAnsi="Times New Roman" w:eastAsia="宋体" w:cs="Times New Roman"/>
                      <w:snapToGrid/>
                      <w:color w:val="auto"/>
                      <w:kern w:val="0"/>
                      <w:sz w:val="21"/>
                      <w:szCs w:val="21"/>
                      <w:u w:val="none" w:color="auto"/>
                      <w:lang w:val="en-US" w:eastAsia="zh-CN" w:bidi="ar-SA"/>
                    </w:rPr>
                    <w:t>中无组织排放限值。</w:t>
                  </w:r>
                </w:p>
              </w:tc>
            </w:tr>
          </w:tbl>
          <w:p w14:paraId="24440485">
            <w:pPr>
              <w:bidi w:val="0"/>
              <w:rPr>
                <w:rFonts w:hint="eastAsia"/>
                <w:color w:val="auto"/>
                <w:lang w:eastAsia="zh-CN"/>
              </w:rPr>
            </w:pPr>
            <w:r>
              <w:rPr>
                <w:rFonts w:hint="eastAsia"/>
                <w:color w:val="auto"/>
                <w:lang w:eastAsia="zh-CN"/>
              </w:rPr>
              <w:t>由以上监测结果可知，项目厂界外颗粒物与非甲烷总烃满足</w:t>
            </w:r>
            <w:r>
              <w:rPr>
                <w:rFonts w:hint="default"/>
                <w:color w:val="auto"/>
                <w:lang w:val="en-US" w:eastAsia="zh-CN"/>
              </w:rPr>
              <w:t>《</w:t>
            </w:r>
            <w:r>
              <w:rPr>
                <w:rFonts w:hint="eastAsia"/>
                <w:color w:val="auto"/>
                <w:lang w:val="en-US" w:eastAsia="zh-CN"/>
              </w:rPr>
              <w:t>电池工业污染物排放标准</w:t>
            </w:r>
            <w:r>
              <w:rPr>
                <w:rFonts w:hint="default"/>
                <w:color w:val="auto"/>
                <w:lang w:val="en-US" w:eastAsia="zh-CN"/>
              </w:rPr>
              <w:t>》（GB</w:t>
            </w:r>
            <w:r>
              <w:rPr>
                <w:rFonts w:hint="eastAsia"/>
                <w:color w:val="auto"/>
                <w:lang w:val="en-US" w:eastAsia="zh-CN"/>
              </w:rPr>
              <w:t>30484</w:t>
            </w:r>
            <w:r>
              <w:rPr>
                <w:rFonts w:hint="default"/>
                <w:color w:val="auto"/>
                <w:lang w:val="en-US" w:eastAsia="zh-CN"/>
              </w:rPr>
              <w:t>-</w:t>
            </w:r>
            <w:r>
              <w:rPr>
                <w:rFonts w:hint="eastAsia"/>
                <w:color w:val="auto"/>
                <w:lang w:val="en-US" w:eastAsia="zh-CN"/>
              </w:rPr>
              <w:t>2013</w:t>
            </w:r>
            <w:r>
              <w:rPr>
                <w:rFonts w:hint="default"/>
                <w:color w:val="auto"/>
                <w:lang w:val="en-US" w:eastAsia="zh-CN"/>
              </w:rPr>
              <w:t>）表</w:t>
            </w:r>
            <w:r>
              <w:rPr>
                <w:rFonts w:hint="eastAsia"/>
                <w:color w:val="auto"/>
                <w:lang w:val="en-US" w:eastAsia="zh-CN"/>
              </w:rPr>
              <w:t>6</w:t>
            </w:r>
            <w:r>
              <w:rPr>
                <w:rFonts w:hint="default"/>
                <w:color w:val="auto"/>
                <w:lang w:val="en-US" w:eastAsia="zh-CN"/>
              </w:rPr>
              <w:t>中无组织排放限值</w:t>
            </w:r>
            <w:r>
              <w:rPr>
                <w:rFonts w:hint="eastAsia"/>
                <w:color w:val="auto"/>
                <w:lang w:val="en-US" w:eastAsia="zh-CN"/>
              </w:rPr>
              <w:t>。</w:t>
            </w:r>
          </w:p>
          <w:p w14:paraId="06AF3503">
            <w:pPr>
              <w:ind w:firstLine="480"/>
              <w:rPr>
                <w:rFonts w:hint="eastAsia"/>
                <w:color w:val="auto"/>
                <w:u w:val="none" w:color="auto"/>
              </w:rPr>
            </w:pPr>
            <w:r>
              <w:rPr>
                <w:rFonts w:hint="eastAsia"/>
                <w:color w:val="auto"/>
                <w:u w:val="none" w:color="auto"/>
              </w:rPr>
              <w:t>3、废气排放环境影响分析</w:t>
            </w:r>
          </w:p>
          <w:p w14:paraId="072C6DC1">
            <w:pPr>
              <w:ind w:firstLine="480"/>
              <w:rPr>
                <w:rFonts w:hint="eastAsia"/>
                <w:color w:val="auto"/>
                <w:u w:val="none" w:color="auto"/>
              </w:rPr>
            </w:pPr>
            <w:r>
              <w:rPr>
                <w:rFonts w:hint="eastAsia"/>
                <w:color w:val="auto"/>
                <w:u w:val="none" w:color="auto"/>
              </w:rPr>
              <w:t>根据大气环境现状调查，</w:t>
            </w:r>
            <w:r>
              <w:rPr>
                <w:rFonts w:hint="eastAsia" w:cs="Times New Roman" w:eastAsiaTheme="minorEastAsia"/>
                <w:b w:val="0"/>
                <w:bCs/>
                <w:color w:val="auto"/>
                <w:sz w:val="24"/>
                <w:szCs w:val="24"/>
                <w:u w:val="none" w:color="auto"/>
                <w:lang w:eastAsia="zh-CN"/>
              </w:rPr>
              <w:t>新田县</w:t>
            </w:r>
            <w:r>
              <w:rPr>
                <w:rFonts w:hint="default" w:ascii="Times New Roman" w:hAnsi="Times New Roman" w:cs="Times New Roman" w:eastAsiaTheme="minorEastAsia"/>
                <w:b w:val="0"/>
                <w:bCs/>
                <w:color w:val="auto"/>
                <w:sz w:val="24"/>
                <w:szCs w:val="24"/>
                <w:u w:val="none" w:color="auto"/>
              </w:rPr>
              <w:t>属达标区</w:t>
            </w:r>
            <w:r>
              <w:rPr>
                <w:rFonts w:hint="eastAsia"/>
                <w:color w:val="auto"/>
                <w:u w:val="none" w:color="auto"/>
              </w:rPr>
              <w:t>，项目周边环境保护目标较少，分布在</w:t>
            </w:r>
            <w:r>
              <w:rPr>
                <w:rFonts w:hint="eastAsia"/>
                <w:color w:val="auto"/>
                <w:u w:val="none" w:color="auto"/>
                <w:lang w:eastAsia="zh-CN"/>
              </w:rPr>
              <w:t>项目厂界</w:t>
            </w:r>
            <w:r>
              <w:rPr>
                <w:rFonts w:hint="eastAsia"/>
                <w:color w:val="auto"/>
                <w:u w:val="none" w:color="auto"/>
                <w:lang w:val="en-US" w:eastAsia="zh-CN"/>
              </w:rPr>
              <w:t>260m以外</w:t>
            </w:r>
            <w:r>
              <w:rPr>
                <w:rFonts w:hint="eastAsia"/>
                <w:color w:val="auto"/>
                <w:u w:val="none" w:color="auto"/>
              </w:rPr>
              <w:t>，项目生产废气经处理达标后排放，满足《电池工业污染物排放标准》(GB30484-2013</w:t>
            </w:r>
            <w:r>
              <w:rPr>
                <w:rFonts w:hint="eastAsia"/>
                <w:color w:val="auto"/>
                <w:u w:val="none" w:color="auto"/>
                <w:lang w:eastAsia="zh-CN"/>
              </w:rPr>
              <w:t>）</w:t>
            </w:r>
            <w:r>
              <w:rPr>
                <w:rFonts w:hint="eastAsia"/>
                <w:color w:val="auto"/>
                <w:u w:val="none" w:color="auto"/>
              </w:rPr>
              <w:t>排放标准</w:t>
            </w:r>
            <w:r>
              <w:rPr>
                <w:rFonts w:hint="eastAsia"/>
                <w:color w:val="auto"/>
                <w:u w:val="none" w:color="auto"/>
                <w:lang w:eastAsia="zh-CN"/>
              </w:rPr>
              <w:t>（</w:t>
            </w:r>
            <w:r>
              <w:rPr>
                <w:rFonts w:hint="eastAsia"/>
                <w:color w:val="auto"/>
                <w:u w:val="none" w:color="auto"/>
              </w:rPr>
              <w:t>非甲烷总烃50mg/Nm</w:t>
            </w:r>
            <w:r>
              <w:rPr>
                <w:rFonts w:hint="eastAsia"/>
                <w:color w:val="auto"/>
                <w:u w:val="none" w:color="auto"/>
                <w:vertAlign w:val="superscript"/>
              </w:rPr>
              <w:t>3</w:t>
            </w:r>
            <w:r>
              <w:rPr>
                <w:rFonts w:hint="eastAsia"/>
                <w:color w:val="auto"/>
                <w:u w:val="none" w:color="auto"/>
                <w:vertAlign w:val="baseline"/>
                <w:lang w:eastAsia="zh-CN"/>
              </w:rPr>
              <w:t>）</w:t>
            </w:r>
            <w:r>
              <w:rPr>
                <w:rFonts w:hint="eastAsia"/>
                <w:color w:val="auto"/>
                <w:u w:val="none" w:color="auto"/>
              </w:rPr>
              <w:t>要求；总体来看，废气排放对环境的影响可接受。</w:t>
            </w:r>
          </w:p>
          <w:p w14:paraId="43B4DC70">
            <w:pPr>
              <w:ind w:firstLine="480"/>
              <w:rPr>
                <w:rFonts w:hint="eastAsia"/>
                <w:color w:val="auto"/>
                <w:u w:val="none" w:color="auto"/>
              </w:rPr>
            </w:pPr>
            <w:r>
              <w:rPr>
                <w:rFonts w:hint="eastAsia"/>
                <w:color w:val="auto"/>
                <w:u w:val="none" w:color="auto"/>
              </w:rPr>
              <w:t>环保措施可行性分析：本项目涂布烘烤</w:t>
            </w:r>
            <w:r>
              <w:rPr>
                <w:rFonts w:hint="eastAsia"/>
                <w:color w:val="auto"/>
                <w:u w:val="none" w:color="auto"/>
                <w:lang w:eastAsia="zh-CN"/>
              </w:rPr>
              <w:t>废气</w:t>
            </w:r>
            <w:r>
              <w:rPr>
                <w:rFonts w:hint="eastAsia"/>
                <w:color w:val="auto"/>
                <w:u w:val="none" w:color="auto"/>
              </w:rPr>
              <w:t>经</w:t>
            </w:r>
            <w:r>
              <w:rPr>
                <w:rFonts w:hint="eastAsia"/>
                <w:color w:val="auto"/>
                <w:u w:val="none" w:color="auto"/>
                <w:lang w:eastAsia="zh-CN"/>
              </w:rPr>
              <w:t>冷凝</w:t>
            </w:r>
            <w:r>
              <w:rPr>
                <w:rFonts w:hint="eastAsia"/>
                <w:color w:val="auto"/>
                <w:u w:val="none" w:color="auto"/>
              </w:rPr>
              <w:t>回收</w:t>
            </w:r>
            <w:r>
              <w:rPr>
                <w:rFonts w:hint="eastAsia"/>
                <w:color w:val="auto"/>
                <w:u w:val="none" w:color="auto"/>
                <w:lang w:eastAsia="zh-CN"/>
              </w:rPr>
              <w:t>装置</w:t>
            </w:r>
            <w:r>
              <w:rPr>
                <w:rFonts w:hint="eastAsia"/>
                <w:color w:val="auto"/>
                <w:u w:val="none" w:color="auto"/>
              </w:rPr>
              <w:t>处理后经</w:t>
            </w:r>
            <w:r>
              <w:rPr>
                <w:rFonts w:hint="eastAsia"/>
                <w:color w:val="auto"/>
                <w:u w:val="none" w:color="auto"/>
                <w:lang w:eastAsia="zh-CN"/>
              </w:rPr>
              <w:t>约</w:t>
            </w:r>
            <w:r>
              <w:rPr>
                <w:rFonts w:hint="eastAsia"/>
                <w:color w:val="auto"/>
                <w:u w:val="none" w:color="auto"/>
                <w:lang w:val="en-US" w:eastAsia="zh-CN"/>
              </w:rPr>
              <w:t>25</w:t>
            </w:r>
            <w:r>
              <w:rPr>
                <w:rFonts w:hint="eastAsia"/>
                <w:color w:val="auto"/>
                <w:u w:val="none" w:color="auto"/>
                <w:lang w:eastAsia="zh-CN"/>
              </w:rPr>
              <w:t>m</w:t>
            </w:r>
            <w:r>
              <w:rPr>
                <w:rFonts w:hint="eastAsia"/>
                <w:color w:val="auto"/>
                <w:u w:val="none" w:color="auto"/>
              </w:rPr>
              <w:t>高排气筒有组织排放，根据《排污许可证申请与核发技术规范电池工业》（HJ967-2018），锂离子电池涂布烘烤非甲烷总烃废气采用</w:t>
            </w:r>
            <w:r>
              <w:rPr>
                <w:rFonts w:hint="eastAsia"/>
                <w:color w:val="auto"/>
                <w:u w:val="none" w:color="auto"/>
                <w:lang w:eastAsia="zh-CN"/>
              </w:rPr>
              <w:t>“</w:t>
            </w:r>
            <w:r>
              <w:rPr>
                <w:rFonts w:hint="eastAsia"/>
                <w:color w:val="auto"/>
                <w:u w:val="none" w:color="auto"/>
              </w:rPr>
              <w:t>NMP回收</w:t>
            </w:r>
            <w:r>
              <w:rPr>
                <w:rFonts w:hint="eastAsia"/>
                <w:color w:val="auto"/>
                <w:u w:val="none" w:color="auto"/>
                <w:lang w:eastAsia="zh-CN"/>
              </w:rPr>
              <w:t>设备”</w:t>
            </w:r>
            <w:r>
              <w:rPr>
                <w:rFonts w:hint="eastAsia"/>
                <w:color w:val="auto"/>
                <w:u w:val="none" w:color="auto"/>
              </w:rPr>
              <w:t>防治措施为可行技术。</w:t>
            </w:r>
          </w:p>
          <w:p w14:paraId="0C815A2F">
            <w:pPr>
              <w:ind w:firstLine="480"/>
              <w:rPr>
                <w:color w:val="auto"/>
                <w:u w:val="none" w:color="auto"/>
              </w:rPr>
            </w:pPr>
            <w:r>
              <w:rPr>
                <w:rFonts w:hint="eastAsia" w:ascii="Times New Roman" w:hAnsi="Times New Roman" w:eastAsia="宋体" w:cs="Times New Roman"/>
                <w:color w:val="auto"/>
                <w:u w:val="none" w:color="auto"/>
                <w:lang w:eastAsia="zh-CN"/>
              </w:rPr>
              <w:t>排气筒高度合理性分析：根据</w:t>
            </w:r>
            <w:r>
              <w:rPr>
                <w:rFonts w:hint="eastAsia" w:ascii="Times New Roman" w:hAnsi="Times New Roman" w:eastAsia="宋体" w:cs="Times New Roman"/>
                <w:color w:val="auto"/>
                <w:u w:val="none" w:color="auto"/>
                <w:lang w:val="en-US" w:eastAsia="zh-CN"/>
              </w:rPr>
              <w:t>《</w:t>
            </w:r>
            <w:r>
              <w:rPr>
                <w:rFonts w:hint="eastAsia" w:ascii="Times New Roman" w:hAnsi="Times New Roman" w:eastAsia="宋体" w:cs="Times New Roman"/>
                <w:color w:val="auto"/>
                <w:u w:val="none" w:color="auto"/>
                <w:lang w:eastAsia="zh-CN"/>
              </w:rPr>
              <w:t>电池工业污染物排放标准</w:t>
            </w:r>
            <w:r>
              <w:rPr>
                <w:rFonts w:hint="eastAsia" w:ascii="Times New Roman" w:hAnsi="Times New Roman" w:eastAsia="宋体" w:cs="Times New Roman"/>
                <w:color w:val="auto"/>
                <w:u w:val="none" w:color="auto"/>
                <w:lang w:val="en-US" w:eastAsia="zh-CN"/>
              </w:rPr>
              <w:t>》</w:t>
            </w:r>
            <w:r>
              <w:rPr>
                <w:rFonts w:hint="eastAsia" w:ascii="Times New Roman" w:hAnsi="Times New Roman" w:eastAsia="宋体" w:cs="Times New Roman"/>
                <w:color w:val="auto"/>
                <w:u w:val="none" w:color="auto"/>
                <w:lang w:eastAsia="zh-CN"/>
              </w:rPr>
              <w:t>（GB30484-2013）中“</w:t>
            </w:r>
            <w:r>
              <w:rPr>
                <w:rFonts w:hint="eastAsia" w:ascii="Times New Roman" w:hAnsi="Times New Roman" w:eastAsia="宋体" w:cs="Times New Roman"/>
                <w:color w:val="auto"/>
                <w:u w:val="none" w:color="auto"/>
                <w:lang w:val="en-US" w:eastAsia="zh-CN"/>
              </w:rPr>
              <w:t>4.2.6、排气筒高度不低于15m，……排气筒周围半径200m范围内有建筑物时，排气筒高度还应高出最高建筑物3m以上。</w:t>
            </w:r>
            <w:r>
              <w:rPr>
                <w:rFonts w:hint="eastAsia" w:ascii="Times New Roman" w:hAnsi="Times New Roman" w:eastAsia="宋体" w:cs="Times New Roman"/>
                <w:color w:val="auto"/>
                <w:u w:val="none" w:color="auto"/>
                <w:lang w:eastAsia="zh-CN"/>
              </w:rPr>
              <w:t>”本项目厂房高度约</w:t>
            </w:r>
            <w:r>
              <w:rPr>
                <w:rFonts w:hint="eastAsia" w:cs="Times New Roman"/>
                <w:color w:val="auto"/>
                <w:u w:val="none" w:color="auto"/>
                <w:lang w:val="en-US" w:eastAsia="zh-CN"/>
              </w:rPr>
              <w:t>22</w:t>
            </w:r>
            <w:r>
              <w:rPr>
                <w:rFonts w:hint="eastAsia" w:ascii="Times New Roman" w:hAnsi="Times New Roman" w:eastAsia="宋体" w:cs="Times New Roman"/>
                <w:color w:val="auto"/>
                <w:u w:val="none" w:color="auto"/>
                <w:lang w:val="en-US" w:eastAsia="zh-CN"/>
              </w:rPr>
              <w:t>m，</w:t>
            </w:r>
            <w:r>
              <w:rPr>
                <w:rFonts w:hint="eastAsia" w:ascii="Times New Roman" w:hAnsi="Times New Roman" w:eastAsia="宋体" w:cs="Times New Roman"/>
                <w:color w:val="auto"/>
                <w:u w:val="none" w:color="auto"/>
                <w:lang w:eastAsia="zh-CN"/>
              </w:rPr>
              <w:t>排气筒高度</w:t>
            </w:r>
            <w:r>
              <w:rPr>
                <w:rFonts w:hint="eastAsia" w:cs="Times New Roman"/>
                <w:color w:val="auto"/>
                <w:u w:val="none" w:color="auto"/>
                <w:lang w:eastAsia="zh-CN"/>
              </w:rPr>
              <w:t>约</w:t>
            </w:r>
            <w:r>
              <w:rPr>
                <w:rFonts w:hint="eastAsia" w:ascii="Times New Roman" w:hAnsi="Times New Roman" w:eastAsia="宋体" w:cs="Times New Roman"/>
                <w:color w:val="auto"/>
                <w:u w:val="none" w:color="auto"/>
                <w:lang w:eastAsia="zh-CN"/>
              </w:rPr>
              <w:t>为</w:t>
            </w:r>
            <w:r>
              <w:rPr>
                <w:rFonts w:hint="eastAsia" w:cs="Times New Roman"/>
                <w:color w:val="auto"/>
                <w:u w:val="none" w:color="auto"/>
                <w:lang w:val="en-US" w:eastAsia="zh-CN"/>
              </w:rPr>
              <w:t>25m</w:t>
            </w:r>
            <w:r>
              <w:rPr>
                <w:rFonts w:hint="eastAsia" w:ascii="Times New Roman" w:hAnsi="Times New Roman" w:eastAsia="宋体" w:cs="Times New Roman"/>
                <w:color w:val="auto"/>
                <w:u w:val="none" w:color="auto"/>
                <w:lang w:val="en-US" w:eastAsia="zh-CN"/>
              </w:rPr>
              <w:t>，满足《</w:t>
            </w:r>
            <w:r>
              <w:rPr>
                <w:rFonts w:hint="eastAsia" w:ascii="Times New Roman" w:hAnsi="Times New Roman" w:eastAsia="宋体" w:cs="Times New Roman"/>
                <w:color w:val="auto"/>
                <w:u w:val="none" w:color="auto"/>
                <w:lang w:eastAsia="zh-CN"/>
              </w:rPr>
              <w:t>电池工业污染物排放标准</w:t>
            </w:r>
            <w:r>
              <w:rPr>
                <w:rFonts w:hint="eastAsia" w:ascii="Times New Roman" w:hAnsi="Times New Roman" w:eastAsia="宋体" w:cs="Times New Roman"/>
                <w:color w:val="auto"/>
                <w:u w:val="none" w:color="auto"/>
                <w:lang w:val="en-US" w:eastAsia="zh-CN"/>
              </w:rPr>
              <w:t>》</w:t>
            </w:r>
            <w:r>
              <w:rPr>
                <w:rFonts w:hint="eastAsia" w:ascii="Times New Roman" w:hAnsi="Times New Roman" w:eastAsia="宋体" w:cs="Times New Roman"/>
                <w:color w:val="auto"/>
                <w:u w:val="none" w:color="auto"/>
                <w:lang w:eastAsia="zh-CN"/>
              </w:rPr>
              <w:t>（GB30484-2013）中排气筒高度要求，排气筒高度合理。</w:t>
            </w:r>
          </w:p>
          <w:p w14:paraId="2A6450CE">
            <w:pPr>
              <w:keepNext w:val="0"/>
              <w:keepLines w:val="0"/>
              <w:widowControl/>
              <w:suppressLineNumbers w:val="0"/>
              <w:jc w:val="left"/>
              <w:rPr>
                <w:rFonts w:hint="eastAsia"/>
                <w:color w:val="auto"/>
                <w:u w:val="none" w:color="auto"/>
                <w:lang w:eastAsia="zh-CN"/>
              </w:rPr>
            </w:pPr>
            <w:r>
              <w:rPr>
                <w:rFonts w:hint="eastAsia"/>
                <w:color w:val="auto"/>
                <w:u w:val="none" w:color="auto"/>
                <w:lang w:eastAsia="zh-CN"/>
              </w:rPr>
              <w:t>综上所述，</w:t>
            </w:r>
            <w:r>
              <w:rPr>
                <w:rFonts w:hint="eastAsia"/>
                <w:color w:val="auto"/>
                <w:u w:val="none" w:color="auto"/>
                <w:lang w:val="en-US" w:eastAsia="zh-CN"/>
              </w:rPr>
              <w:t>从环境保护角度分析，项目对大气环境影响结论为可行。</w:t>
            </w:r>
          </w:p>
          <w:p w14:paraId="4C93EB50">
            <w:pPr>
              <w:ind w:firstLine="480"/>
              <w:rPr>
                <w:rFonts w:hint="eastAsia"/>
                <w:color w:val="auto"/>
                <w:u w:val="none" w:color="auto"/>
              </w:rPr>
            </w:pPr>
            <w:r>
              <w:rPr>
                <w:rFonts w:hint="eastAsia"/>
                <w:color w:val="auto"/>
                <w:u w:val="none" w:color="auto"/>
              </w:rPr>
              <w:t>4、</w:t>
            </w:r>
            <w:r>
              <w:rPr>
                <w:rFonts w:hint="eastAsia"/>
                <w:color w:val="auto"/>
                <w:u w:val="none" w:color="auto"/>
                <w:lang w:eastAsia="zh-CN"/>
              </w:rPr>
              <w:t>自行检测</w:t>
            </w:r>
            <w:r>
              <w:rPr>
                <w:rFonts w:hint="eastAsia"/>
                <w:color w:val="auto"/>
                <w:u w:val="none" w:color="auto"/>
              </w:rPr>
              <w:t>要求</w:t>
            </w:r>
          </w:p>
          <w:p w14:paraId="14C4CF23">
            <w:pPr>
              <w:ind w:firstLine="480"/>
              <w:rPr>
                <w:rFonts w:hint="eastAsia"/>
                <w:color w:val="auto"/>
                <w:u w:val="none" w:color="auto"/>
              </w:rPr>
            </w:pPr>
            <w:r>
              <w:rPr>
                <w:rFonts w:hint="eastAsia"/>
                <w:color w:val="auto"/>
                <w:u w:val="none" w:color="auto"/>
              </w:rPr>
              <w:t>本项目锂离子电池生产，废气主要污染物为非甲烷总烃，根据</w:t>
            </w:r>
            <w:r>
              <w:rPr>
                <w:rFonts w:hint="eastAsia"/>
                <w:color w:val="auto"/>
                <w:u w:val="none" w:color="auto"/>
                <w:lang w:eastAsia="zh-CN"/>
              </w:rPr>
              <w:t>《</w:t>
            </w:r>
            <w:r>
              <w:rPr>
                <w:rFonts w:hint="eastAsia"/>
                <w:color w:val="auto"/>
                <w:u w:val="none" w:color="auto"/>
              </w:rPr>
              <w:t>排污</w:t>
            </w:r>
            <w:r>
              <w:rPr>
                <w:rFonts w:hint="eastAsia"/>
                <w:color w:val="auto"/>
                <w:u w:val="none" w:color="auto"/>
                <w:lang w:eastAsia="zh-CN"/>
              </w:rPr>
              <w:t>单位自行监测技术指南</w:t>
            </w:r>
            <w:r>
              <w:rPr>
                <w:rFonts w:hint="eastAsia"/>
                <w:color w:val="auto"/>
                <w:u w:val="none" w:color="auto"/>
              </w:rPr>
              <w:t>电池工业</w:t>
            </w:r>
            <w:r>
              <w:rPr>
                <w:rFonts w:hint="eastAsia"/>
                <w:color w:val="auto"/>
                <w:u w:val="none" w:color="auto"/>
                <w:lang w:eastAsia="zh-CN"/>
              </w:rPr>
              <w:t>》</w:t>
            </w:r>
            <w:r>
              <w:rPr>
                <w:rFonts w:hint="eastAsia"/>
                <w:color w:val="auto"/>
                <w:u w:val="none" w:color="auto"/>
              </w:rPr>
              <w:t>（HJ</w:t>
            </w:r>
            <w:r>
              <w:rPr>
                <w:rFonts w:hint="eastAsia"/>
                <w:color w:val="auto"/>
                <w:u w:val="none" w:color="auto"/>
                <w:lang w:val="en-US" w:eastAsia="zh-CN"/>
              </w:rPr>
              <w:t>1204</w:t>
            </w:r>
            <w:r>
              <w:rPr>
                <w:rFonts w:hint="eastAsia"/>
                <w:color w:val="auto"/>
                <w:u w:val="none" w:color="auto"/>
              </w:rPr>
              <w:t>-20</w:t>
            </w:r>
            <w:r>
              <w:rPr>
                <w:rFonts w:hint="eastAsia"/>
                <w:color w:val="auto"/>
                <w:u w:val="none" w:color="auto"/>
                <w:lang w:val="en-US" w:eastAsia="zh-CN"/>
              </w:rPr>
              <w:t>21</w:t>
            </w:r>
            <w:r>
              <w:rPr>
                <w:rFonts w:hint="eastAsia"/>
                <w:color w:val="auto"/>
                <w:u w:val="none" w:color="auto"/>
              </w:rPr>
              <w:t>）</w:t>
            </w:r>
            <w:r>
              <w:rPr>
                <w:rFonts w:hint="eastAsia"/>
                <w:color w:val="auto"/>
                <w:u w:val="none" w:color="auto"/>
                <w:lang w:eastAsia="zh-CN"/>
              </w:rPr>
              <w:t>、</w:t>
            </w:r>
            <w:r>
              <w:rPr>
                <w:rFonts w:hint="eastAsia"/>
                <w:color w:val="auto"/>
                <w:u w:val="none" w:color="auto"/>
              </w:rPr>
              <w:t>《排污许可证申请与核发技术规范电池工业》（HJ967-2018），</w:t>
            </w:r>
            <w:r>
              <w:rPr>
                <w:rFonts w:hint="eastAsia"/>
                <w:color w:val="auto"/>
                <w:u w:val="none" w:color="auto"/>
                <w:lang w:eastAsia="zh-CN"/>
              </w:rPr>
              <w:t>废气自行检测</w:t>
            </w:r>
            <w:r>
              <w:rPr>
                <w:rFonts w:hint="eastAsia"/>
                <w:color w:val="auto"/>
                <w:u w:val="none" w:color="auto"/>
              </w:rPr>
              <w:t>要求如下：</w:t>
            </w:r>
          </w:p>
          <w:p w14:paraId="128A44F7">
            <w:pPr>
              <w:spacing w:line="240" w:lineRule="auto"/>
              <w:ind w:firstLine="422"/>
              <w:jc w:val="center"/>
              <w:rPr>
                <w:rFonts w:hint="eastAsia"/>
                <w:b/>
                <w:color w:val="auto"/>
                <w:kern w:val="21"/>
                <w:sz w:val="21"/>
                <w:szCs w:val="21"/>
                <w:u w:val="none" w:color="auto"/>
              </w:rPr>
            </w:pPr>
            <w:r>
              <w:rPr>
                <w:rFonts w:hint="eastAsia"/>
                <w:b/>
                <w:color w:val="auto"/>
                <w:kern w:val="21"/>
                <w:sz w:val="21"/>
                <w:szCs w:val="21"/>
                <w:u w:val="none" w:color="auto"/>
              </w:rPr>
              <w:t>表4-</w:t>
            </w:r>
            <w:r>
              <w:rPr>
                <w:rFonts w:hint="eastAsia"/>
                <w:b/>
                <w:color w:val="auto"/>
                <w:kern w:val="21"/>
                <w:sz w:val="21"/>
                <w:szCs w:val="21"/>
                <w:u w:val="none" w:color="auto"/>
                <w:lang w:val="en-US" w:eastAsia="zh-CN"/>
              </w:rPr>
              <w:t>4</w:t>
            </w:r>
            <w:r>
              <w:rPr>
                <w:rFonts w:hint="eastAsia"/>
                <w:b/>
                <w:color w:val="auto"/>
                <w:kern w:val="21"/>
                <w:sz w:val="21"/>
                <w:szCs w:val="21"/>
                <w:u w:val="none" w:color="auto"/>
              </w:rPr>
              <w:t>废气监测要求一览表</w:t>
            </w:r>
          </w:p>
          <w:tbl>
            <w:tblPr>
              <w:tblStyle w:val="28"/>
              <w:tblW w:w="82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840"/>
              <w:gridCol w:w="1440"/>
              <w:gridCol w:w="1395"/>
              <w:gridCol w:w="1155"/>
              <w:gridCol w:w="2716"/>
            </w:tblGrid>
            <w:tr w14:paraId="77385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noWrap w:val="0"/>
                  <w:vAlign w:val="center"/>
                </w:tcPr>
                <w:p w14:paraId="3F6C6598">
                  <w:pPr>
                    <w:pStyle w:val="11"/>
                    <w:rPr>
                      <w:b/>
                      <w:color w:val="auto"/>
                      <w:kern w:val="21"/>
                      <w:sz w:val="21"/>
                      <w:szCs w:val="21"/>
                      <w:u w:val="none" w:color="auto"/>
                    </w:rPr>
                  </w:pPr>
                  <w:r>
                    <w:rPr>
                      <w:color w:val="auto"/>
                      <w:sz w:val="21"/>
                      <w:szCs w:val="21"/>
                      <w:u w:val="none" w:color="auto"/>
                    </w:rPr>
                    <w:t>监测项目</w:t>
                  </w:r>
                </w:p>
              </w:tc>
              <w:tc>
                <w:tcPr>
                  <w:tcW w:w="840" w:type="dxa"/>
                  <w:noWrap w:val="0"/>
                  <w:vAlign w:val="center"/>
                </w:tcPr>
                <w:p w14:paraId="54DFC8E2">
                  <w:pPr>
                    <w:pStyle w:val="11"/>
                    <w:rPr>
                      <w:b/>
                      <w:color w:val="auto"/>
                      <w:kern w:val="21"/>
                      <w:sz w:val="21"/>
                      <w:szCs w:val="21"/>
                      <w:u w:val="none" w:color="auto"/>
                    </w:rPr>
                  </w:pPr>
                  <w:r>
                    <w:rPr>
                      <w:color w:val="auto"/>
                      <w:sz w:val="21"/>
                      <w:szCs w:val="21"/>
                      <w:u w:val="none" w:color="auto"/>
                    </w:rPr>
                    <w:t>监测内容</w:t>
                  </w:r>
                </w:p>
              </w:tc>
              <w:tc>
                <w:tcPr>
                  <w:tcW w:w="1440" w:type="dxa"/>
                  <w:noWrap w:val="0"/>
                  <w:vAlign w:val="center"/>
                </w:tcPr>
                <w:p w14:paraId="5E8BBE1E">
                  <w:pPr>
                    <w:pStyle w:val="11"/>
                    <w:rPr>
                      <w:b/>
                      <w:color w:val="auto"/>
                      <w:kern w:val="21"/>
                      <w:sz w:val="21"/>
                      <w:szCs w:val="21"/>
                      <w:u w:val="none" w:color="auto"/>
                    </w:rPr>
                  </w:pPr>
                  <w:r>
                    <w:rPr>
                      <w:color w:val="auto"/>
                      <w:sz w:val="21"/>
                      <w:szCs w:val="21"/>
                      <w:u w:val="none" w:color="auto"/>
                    </w:rPr>
                    <w:t>监测点位</w:t>
                  </w:r>
                </w:p>
              </w:tc>
              <w:tc>
                <w:tcPr>
                  <w:tcW w:w="1395" w:type="dxa"/>
                  <w:noWrap w:val="0"/>
                  <w:vAlign w:val="center"/>
                </w:tcPr>
                <w:p w14:paraId="178CEF5A">
                  <w:pPr>
                    <w:pStyle w:val="11"/>
                    <w:rPr>
                      <w:b/>
                      <w:color w:val="auto"/>
                      <w:kern w:val="21"/>
                      <w:sz w:val="21"/>
                      <w:szCs w:val="21"/>
                      <w:u w:val="none" w:color="auto"/>
                    </w:rPr>
                  </w:pPr>
                  <w:r>
                    <w:rPr>
                      <w:color w:val="auto"/>
                      <w:sz w:val="21"/>
                      <w:szCs w:val="21"/>
                      <w:u w:val="none" w:color="auto"/>
                    </w:rPr>
                    <w:t>监测项目</w:t>
                  </w:r>
                </w:p>
              </w:tc>
              <w:tc>
                <w:tcPr>
                  <w:tcW w:w="1155" w:type="dxa"/>
                  <w:noWrap w:val="0"/>
                  <w:vAlign w:val="center"/>
                </w:tcPr>
                <w:p w14:paraId="6BCBD059">
                  <w:pPr>
                    <w:pStyle w:val="11"/>
                    <w:rPr>
                      <w:b/>
                      <w:color w:val="auto"/>
                      <w:kern w:val="21"/>
                      <w:sz w:val="21"/>
                      <w:szCs w:val="21"/>
                      <w:u w:val="none" w:color="auto"/>
                    </w:rPr>
                  </w:pPr>
                  <w:r>
                    <w:rPr>
                      <w:color w:val="auto"/>
                      <w:sz w:val="21"/>
                      <w:szCs w:val="21"/>
                      <w:u w:val="none" w:color="auto"/>
                    </w:rPr>
                    <w:t>监测频次</w:t>
                  </w:r>
                </w:p>
              </w:tc>
              <w:tc>
                <w:tcPr>
                  <w:tcW w:w="2716" w:type="dxa"/>
                  <w:noWrap w:val="0"/>
                  <w:vAlign w:val="center"/>
                </w:tcPr>
                <w:p w14:paraId="317453F6">
                  <w:pPr>
                    <w:pStyle w:val="11"/>
                    <w:rPr>
                      <w:b/>
                      <w:color w:val="auto"/>
                      <w:kern w:val="21"/>
                      <w:sz w:val="21"/>
                      <w:szCs w:val="21"/>
                      <w:u w:val="none" w:color="auto"/>
                    </w:rPr>
                  </w:pPr>
                  <w:r>
                    <w:rPr>
                      <w:color w:val="auto"/>
                      <w:sz w:val="21"/>
                      <w:szCs w:val="21"/>
                      <w:u w:val="none" w:color="auto"/>
                    </w:rPr>
                    <w:t>执行标准</w:t>
                  </w:r>
                </w:p>
              </w:tc>
            </w:tr>
            <w:tr w14:paraId="0FF97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733" w:type="dxa"/>
                  <w:vMerge w:val="restart"/>
                  <w:noWrap w:val="0"/>
                  <w:vAlign w:val="center"/>
                </w:tcPr>
                <w:p w14:paraId="13B7CCB0">
                  <w:pPr>
                    <w:pStyle w:val="11"/>
                    <w:rPr>
                      <w:color w:val="auto"/>
                      <w:sz w:val="21"/>
                      <w:szCs w:val="21"/>
                      <w:u w:val="none" w:color="auto"/>
                    </w:rPr>
                  </w:pPr>
                  <w:r>
                    <w:rPr>
                      <w:color w:val="auto"/>
                      <w:sz w:val="21"/>
                      <w:szCs w:val="21"/>
                      <w:u w:val="none" w:color="auto"/>
                    </w:rPr>
                    <w:t>污染源监测</w:t>
                  </w:r>
                </w:p>
              </w:tc>
              <w:tc>
                <w:tcPr>
                  <w:tcW w:w="840" w:type="dxa"/>
                  <w:vMerge w:val="restart"/>
                  <w:noWrap w:val="0"/>
                  <w:vAlign w:val="center"/>
                </w:tcPr>
                <w:p w14:paraId="12D5E75D">
                  <w:pPr>
                    <w:pStyle w:val="11"/>
                    <w:rPr>
                      <w:b/>
                      <w:color w:val="auto"/>
                      <w:kern w:val="21"/>
                      <w:sz w:val="21"/>
                      <w:szCs w:val="21"/>
                      <w:u w:val="none" w:color="auto"/>
                    </w:rPr>
                  </w:pPr>
                  <w:r>
                    <w:rPr>
                      <w:color w:val="auto"/>
                      <w:sz w:val="21"/>
                      <w:szCs w:val="21"/>
                      <w:u w:val="none" w:color="auto"/>
                    </w:rPr>
                    <w:t>废气</w:t>
                  </w:r>
                </w:p>
              </w:tc>
              <w:tc>
                <w:tcPr>
                  <w:tcW w:w="1440" w:type="dxa"/>
                  <w:noWrap w:val="0"/>
                  <w:vAlign w:val="center"/>
                </w:tcPr>
                <w:p w14:paraId="2AED4A33">
                  <w:pPr>
                    <w:spacing w:line="240" w:lineRule="auto"/>
                    <w:ind w:firstLine="0" w:firstLineChars="0"/>
                    <w:jc w:val="center"/>
                    <w:rPr>
                      <w:b/>
                      <w:color w:val="auto"/>
                      <w:kern w:val="21"/>
                      <w:sz w:val="21"/>
                      <w:szCs w:val="21"/>
                      <w:u w:val="none" w:color="auto"/>
                    </w:rPr>
                  </w:pPr>
                  <w:r>
                    <w:rPr>
                      <w:color w:val="auto"/>
                      <w:kern w:val="0"/>
                      <w:sz w:val="21"/>
                      <w:szCs w:val="21"/>
                      <w:u w:val="none" w:color="auto"/>
                    </w:rPr>
                    <w:t>排气筒（</w:t>
                  </w:r>
                  <w:r>
                    <w:rPr>
                      <w:rFonts w:hint="eastAsia"/>
                      <w:color w:val="auto"/>
                      <w:kern w:val="0"/>
                      <w:sz w:val="21"/>
                      <w:szCs w:val="21"/>
                      <w:u w:val="none" w:color="auto"/>
                      <w:lang w:val="en-US" w:eastAsia="zh-CN"/>
                    </w:rPr>
                    <w:t>DA001</w:t>
                  </w:r>
                  <w:r>
                    <w:rPr>
                      <w:color w:val="auto"/>
                      <w:kern w:val="0"/>
                      <w:sz w:val="21"/>
                      <w:szCs w:val="21"/>
                      <w:u w:val="none" w:color="auto"/>
                    </w:rPr>
                    <w:t>）</w:t>
                  </w:r>
                </w:p>
              </w:tc>
              <w:tc>
                <w:tcPr>
                  <w:tcW w:w="1395" w:type="dxa"/>
                  <w:noWrap w:val="0"/>
                  <w:vAlign w:val="center"/>
                </w:tcPr>
                <w:p w14:paraId="3ADD3925">
                  <w:pPr>
                    <w:spacing w:line="240" w:lineRule="auto"/>
                    <w:ind w:firstLine="0" w:firstLineChars="0"/>
                    <w:jc w:val="center"/>
                    <w:rPr>
                      <w:b/>
                      <w:color w:val="auto"/>
                      <w:kern w:val="21"/>
                      <w:sz w:val="21"/>
                      <w:szCs w:val="21"/>
                      <w:u w:val="none" w:color="auto"/>
                    </w:rPr>
                  </w:pPr>
                  <w:r>
                    <w:rPr>
                      <w:color w:val="auto"/>
                      <w:kern w:val="0"/>
                      <w:sz w:val="21"/>
                      <w:szCs w:val="21"/>
                      <w:u w:val="none" w:color="auto"/>
                    </w:rPr>
                    <w:t>非甲烷总烃</w:t>
                  </w:r>
                </w:p>
              </w:tc>
              <w:tc>
                <w:tcPr>
                  <w:tcW w:w="1155" w:type="dxa"/>
                  <w:noWrap w:val="0"/>
                  <w:vAlign w:val="center"/>
                </w:tcPr>
                <w:p w14:paraId="70C12F4D">
                  <w:pPr>
                    <w:spacing w:line="240" w:lineRule="auto"/>
                    <w:ind w:firstLine="0" w:firstLineChars="0"/>
                    <w:jc w:val="center"/>
                    <w:rPr>
                      <w:color w:val="auto"/>
                      <w:sz w:val="21"/>
                      <w:szCs w:val="21"/>
                      <w:u w:val="none" w:color="auto"/>
                    </w:rPr>
                  </w:pPr>
                  <w:r>
                    <w:rPr>
                      <w:color w:val="auto"/>
                      <w:kern w:val="0"/>
                      <w:sz w:val="21"/>
                      <w:szCs w:val="21"/>
                      <w:u w:val="none" w:color="auto"/>
                    </w:rPr>
                    <w:t>1次/半年</w:t>
                  </w:r>
                </w:p>
              </w:tc>
              <w:tc>
                <w:tcPr>
                  <w:tcW w:w="2716" w:type="dxa"/>
                  <w:noWrap w:val="0"/>
                  <w:vAlign w:val="center"/>
                </w:tcPr>
                <w:p w14:paraId="6EAD121E">
                  <w:pPr>
                    <w:pStyle w:val="11"/>
                    <w:rPr>
                      <w:color w:val="auto"/>
                      <w:sz w:val="21"/>
                      <w:szCs w:val="21"/>
                      <w:u w:val="none" w:color="auto"/>
                    </w:rPr>
                  </w:pPr>
                  <w:r>
                    <w:rPr>
                      <w:color w:val="auto"/>
                      <w:sz w:val="21"/>
                      <w:szCs w:val="21"/>
                      <w:u w:val="none" w:color="auto"/>
                    </w:rPr>
                    <w:t>《电池工业污染物排放标准》(GB30484-2013</w:t>
                  </w:r>
                  <w:r>
                    <w:rPr>
                      <w:rFonts w:hint="eastAsia"/>
                      <w:color w:val="auto"/>
                      <w:sz w:val="21"/>
                      <w:szCs w:val="21"/>
                      <w:u w:val="none" w:color="auto"/>
                      <w:lang w:eastAsia="zh-CN"/>
                    </w:rPr>
                    <w:t>）</w:t>
                  </w:r>
                  <w:r>
                    <w:rPr>
                      <w:color w:val="auto"/>
                      <w:sz w:val="21"/>
                      <w:szCs w:val="21"/>
                      <w:u w:val="none" w:color="auto"/>
                    </w:rPr>
                    <w:t>表5中锂电池标准</w:t>
                  </w:r>
                </w:p>
              </w:tc>
            </w:tr>
            <w:tr w14:paraId="44279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733" w:type="dxa"/>
                  <w:vMerge w:val="continue"/>
                  <w:noWrap w:val="0"/>
                  <w:vAlign w:val="center"/>
                </w:tcPr>
                <w:p w14:paraId="3AB59AF3">
                  <w:pPr>
                    <w:pStyle w:val="11"/>
                    <w:rPr>
                      <w:color w:val="auto"/>
                      <w:sz w:val="21"/>
                      <w:szCs w:val="21"/>
                      <w:u w:val="none" w:color="auto"/>
                    </w:rPr>
                  </w:pPr>
                </w:p>
              </w:tc>
              <w:tc>
                <w:tcPr>
                  <w:tcW w:w="840" w:type="dxa"/>
                  <w:vMerge w:val="continue"/>
                  <w:noWrap w:val="0"/>
                  <w:vAlign w:val="center"/>
                </w:tcPr>
                <w:p w14:paraId="3779BCB5">
                  <w:pPr>
                    <w:pStyle w:val="11"/>
                    <w:rPr>
                      <w:color w:val="auto"/>
                      <w:sz w:val="21"/>
                      <w:szCs w:val="21"/>
                      <w:u w:val="none" w:color="auto"/>
                    </w:rPr>
                  </w:pPr>
                </w:p>
              </w:tc>
              <w:tc>
                <w:tcPr>
                  <w:tcW w:w="1440" w:type="dxa"/>
                  <w:noWrap w:val="0"/>
                  <w:vAlign w:val="center"/>
                </w:tcPr>
                <w:p w14:paraId="4FA3C467">
                  <w:pPr>
                    <w:spacing w:line="240" w:lineRule="auto"/>
                    <w:ind w:firstLine="0" w:firstLineChars="0"/>
                    <w:jc w:val="center"/>
                    <w:rPr>
                      <w:color w:val="auto"/>
                      <w:sz w:val="21"/>
                      <w:szCs w:val="21"/>
                      <w:u w:val="none" w:color="auto"/>
                    </w:rPr>
                  </w:pPr>
                  <w:r>
                    <w:rPr>
                      <w:color w:val="auto"/>
                      <w:kern w:val="0"/>
                      <w:sz w:val="21"/>
                      <w:szCs w:val="21"/>
                      <w:u w:val="none" w:color="auto"/>
                    </w:rPr>
                    <w:t>厂界无组织废气</w:t>
                  </w:r>
                </w:p>
              </w:tc>
              <w:tc>
                <w:tcPr>
                  <w:tcW w:w="1395" w:type="dxa"/>
                  <w:noWrap w:val="0"/>
                  <w:vAlign w:val="center"/>
                </w:tcPr>
                <w:p w14:paraId="27164CD7">
                  <w:pPr>
                    <w:spacing w:line="240" w:lineRule="auto"/>
                    <w:ind w:firstLine="0" w:firstLineChars="0"/>
                    <w:jc w:val="center"/>
                    <w:rPr>
                      <w:color w:val="auto"/>
                      <w:sz w:val="21"/>
                      <w:szCs w:val="21"/>
                      <w:u w:val="none" w:color="auto"/>
                    </w:rPr>
                  </w:pPr>
                  <w:r>
                    <w:rPr>
                      <w:color w:val="auto"/>
                      <w:kern w:val="0"/>
                      <w:sz w:val="21"/>
                      <w:szCs w:val="21"/>
                      <w:u w:val="none" w:color="auto"/>
                    </w:rPr>
                    <w:t>颗粒物、非甲烷总烃</w:t>
                  </w:r>
                </w:p>
              </w:tc>
              <w:tc>
                <w:tcPr>
                  <w:tcW w:w="1155" w:type="dxa"/>
                  <w:tcBorders>
                    <w:top w:val="single" w:color="000000" w:sz="4" w:space="0"/>
                  </w:tcBorders>
                  <w:noWrap w:val="0"/>
                  <w:vAlign w:val="center"/>
                </w:tcPr>
                <w:p w14:paraId="55974629">
                  <w:pPr>
                    <w:spacing w:line="240" w:lineRule="auto"/>
                    <w:ind w:firstLine="0" w:firstLineChars="0"/>
                    <w:jc w:val="center"/>
                    <w:rPr>
                      <w:color w:val="auto"/>
                      <w:sz w:val="21"/>
                      <w:szCs w:val="21"/>
                      <w:u w:val="none" w:color="auto"/>
                    </w:rPr>
                  </w:pPr>
                  <w:r>
                    <w:rPr>
                      <w:color w:val="auto"/>
                      <w:kern w:val="0"/>
                      <w:sz w:val="21"/>
                      <w:szCs w:val="21"/>
                      <w:u w:val="none" w:color="auto"/>
                    </w:rPr>
                    <w:t>1次/年</w:t>
                  </w:r>
                </w:p>
              </w:tc>
              <w:tc>
                <w:tcPr>
                  <w:tcW w:w="2716" w:type="dxa"/>
                  <w:tcBorders>
                    <w:top w:val="single" w:color="000000" w:sz="4" w:space="0"/>
                  </w:tcBorders>
                  <w:noWrap w:val="0"/>
                  <w:vAlign w:val="center"/>
                </w:tcPr>
                <w:p w14:paraId="5184AC43">
                  <w:pPr>
                    <w:pStyle w:val="11"/>
                    <w:rPr>
                      <w:color w:val="auto"/>
                      <w:sz w:val="21"/>
                      <w:szCs w:val="21"/>
                      <w:u w:val="none" w:color="auto"/>
                    </w:rPr>
                  </w:pPr>
                  <w:r>
                    <w:rPr>
                      <w:color w:val="auto"/>
                      <w:sz w:val="21"/>
                      <w:szCs w:val="21"/>
                      <w:u w:val="none" w:color="auto"/>
                    </w:rPr>
                    <w:t>《电池工业污染物排放标准》(GB30484-2013</w:t>
                  </w:r>
                  <w:r>
                    <w:rPr>
                      <w:rFonts w:hint="eastAsia"/>
                      <w:color w:val="auto"/>
                      <w:sz w:val="21"/>
                      <w:szCs w:val="21"/>
                      <w:u w:val="none" w:color="auto"/>
                      <w:lang w:eastAsia="zh-CN"/>
                    </w:rPr>
                    <w:t>）</w:t>
                  </w:r>
                  <w:r>
                    <w:rPr>
                      <w:color w:val="auto"/>
                      <w:sz w:val="21"/>
                      <w:szCs w:val="21"/>
                      <w:u w:val="none" w:color="auto"/>
                    </w:rPr>
                    <w:t>表6中标准</w:t>
                  </w:r>
                </w:p>
              </w:tc>
            </w:tr>
          </w:tbl>
          <w:p w14:paraId="40BFADDC">
            <w:pPr>
              <w:bidi w:val="0"/>
              <w:rPr>
                <w:rFonts w:hint="eastAsia" w:eastAsia="宋体"/>
                <w:color w:val="auto"/>
                <w:lang w:val="en-US" w:eastAsia="zh-CN"/>
              </w:rPr>
            </w:pPr>
            <w:r>
              <w:rPr>
                <w:rFonts w:hint="eastAsia"/>
                <w:color w:val="auto"/>
                <w:lang w:eastAsia="zh-CN"/>
              </w:rPr>
              <w:t>注：</w:t>
            </w:r>
            <w:r>
              <w:rPr>
                <w:color w:val="auto"/>
              </w:rPr>
              <w:t>本项目租赁园区内标准化厂房生产，厂房外即项目厂界</w:t>
            </w:r>
            <w:r>
              <w:rPr>
                <w:rFonts w:hint="eastAsia"/>
                <w:color w:val="auto"/>
                <w:lang w:eastAsia="zh-CN"/>
              </w:rPr>
              <w:t>，不再对厂房外单独设置监测点。</w:t>
            </w:r>
          </w:p>
          <w:p w14:paraId="4AF0FEB2">
            <w:pPr>
              <w:ind w:firstLine="482"/>
              <w:rPr>
                <w:rFonts w:hint="eastAsia"/>
                <w:b/>
                <w:bCs/>
                <w:color w:val="auto"/>
                <w:u w:val="none" w:color="auto"/>
              </w:rPr>
            </w:pPr>
            <w:r>
              <w:rPr>
                <w:rFonts w:hint="eastAsia"/>
                <w:b/>
                <w:bCs/>
                <w:color w:val="auto"/>
                <w:u w:val="none" w:color="auto"/>
              </w:rPr>
              <w:t>（二）运营期水环境影响和保护措施</w:t>
            </w:r>
          </w:p>
          <w:p w14:paraId="3708CEEC">
            <w:pPr>
              <w:ind w:firstLine="480"/>
              <w:rPr>
                <w:rFonts w:hint="eastAsia"/>
                <w:color w:val="auto"/>
                <w:u w:val="none" w:color="auto"/>
              </w:rPr>
            </w:pPr>
            <w:r>
              <w:rPr>
                <w:rFonts w:hint="eastAsia"/>
                <w:color w:val="auto"/>
                <w:u w:val="none" w:color="auto"/>
              </w:rPr>
              <w:t>本项目废水主要为制纯水浓水、NMP回收设备循环冷却水定期排水</w:t>
            </w:r>
            <w:r>
              <w:rPr>
                <w:rFonts w:hint="eastAsia"/>
                <w:color w:val="auto"/>
                <w:u w:val="none" w:color="auto"/>
                <w:lang w:eastAsia="zh-CN"/>
              </w:rPr>
              <w:t>、拖把清洗排水</w:t>
            </w:r>
            <w:r>
              <w:rPr>
                <w:rFonts w:hint="eastAsia"/>
                <w:color w:val="auto"/>
                <w:u w:val="none" w:color="auto"/>
              </w:rPr>
              <w:t>和生活污水。</w:t>
            </w:r>
          </w:p>
          <w:p w14:paraId="7818B6FD">
            <w:pPr>
              <w:ind w:firstLine="480"/>
              <w:rPr>
                <w:rFonts w:hint="eastAsia"/>
                <w:color w:val="auto"/>
                <w:u w:val="none" w:color="auto"/>
              </w:rPr>
            </w:pPr>
            <w:r>
              <w:rPr>
                <w:rFonts w:hint="eastAsia"/>
                <w:color w:val="auto"/>
                <w:u w:val="none" w:color="auto"/>
              </w:rPr>
              <w:t>1、废水源强分析</w:t>
            </w:r>
          </w:p>
          <w:p w14:paraId="77D05BCA">
            <w:pPr>
              <w:ind w:firstLine="480"/>
              <w:rPr>
                <w:rFonts w:hint="eastAsia" w:ascii="Times New Roman" w:hAnsi="Times New Roman" w:cs="Times New Roman"/>
                <w:color w:val="auto"/>
                <w:u w:val="none" w:color="auto"/>
                <w:lang w:val="en-US" w:eastAsia="zh-CN"/>
              </w:rPr>
            </w:pPr>
            <w:r>
              <w:rPr>
                <w:rFonts w:hint="eastAsia"/>
                <w:color w:val="auto"/>
                <w:u w:val="none" w:color="auto"/>
              </w:rPr>
              <w:t>（1）生</w:t>
            </w:r>
            <w:r>
              <w:rPr>
                <w:rFonts w:hint="eastAsia" w:ascii="Times New Roman" w:hAnsi="Times New Roman" w:cs="Times New Roman"/>
                <w:color w:val="auto"/>
                <w:u w:val="none" w:color="auto"/>
                <w:lang w:val="en-US" w:eastAsia="zh-CN"/>
              </w:rPr>
              <w:t>活用水</w:t>
            </w:r>
          </w:p>
          <w:p w14:paraId="17153D5C">
            <w:pPr>
              <w:ind w:firstLine="480"/>
              <w:rPr>
                <w:rFonts w:hint="eastAsia"/>
                <w:color w:val="auto"/>
                <w:u w:val="none" w:color="auto"/>
              </w:rPr>
            </w:pPr>
            <w:r>
              <w:rPr>
                <w:rFonts w:hint="eastAsia" w:ascii="Times New Roman" w:hAnsi="Times New Roman" w:cs="Times New Roman"/>
                <w:color w:val="auto"/>
                <w:u w:val="none" w:color="auto"/>
                <w:lang w:val="en-US" w:eastAsia="zh-CN"/>
              </w:rPr>
              <w:t>本项目厂区员工人数为</w:t>
            </w:r>
            <w:r>
              <w:rPr>
                <w:rFonts w:hint="eastAsia" w:cs="Times New Roman"/>
                <w:color w:val="auto"/>
                <w:u w:val="none" w:color="auto"/>
                <w:lang w:val="en-US" w:eastAsia="zh-CN"/>
              </w:rPr>
              <w:t>3</w:t>
            </w:r>
            <w:r>
              <w:rPr>
                <w:rFonts w:hint="eastAsia" w:ascii="Times New Roman" w:hAnsi="Times New Roman" w:cs="Times New Roman"/>
                <w:color w:val="auto"/>
                <w:u w:val="none" w:color="auto"/>
                <w:lang w:val="en-US" w:eastAsia="zh-CN"/>
              </w:rPr>
              <w:t>00人，年工作300天，用水量参照湖南省</w:t>
            </w:r>
            <w:r>
              <w:rPr>
                <w:rFonts w:hint="eastAsia"/>
                <w:color w:val="auto"/>
                <w:u w:val="none" w:color="auto"/>
                <w:lang w:val="en-US" w:eastAsia="zh-CN"/>
              </w:rPr>
              <w:t>地方标准《用水定额》（DB43/T388-2020）国家行政机构办公楼用水定额通用值38m</w:t>
            </w:r>
            <w:r>
              <w:rPr>
                <w:rFonts w:hint="eastAsia"/>
                <w:color w:val="auto"/>
                <w:u w:val="none" w:color="auto"/>
                <w:vertAlign w:val="superscript"/>
                <w:lang w:val="en-US" w:eastAsia="zh-CN"/>
              </w:rPr>
              <w:t>3</w:t>
            </w:r>
            <w:r>
              <w:rPr>
                <w:rFonts w:hint="eastAsia"/>
                <w:color w:val="auto"/>
                <w:u w:val="none" w:color="auto"/>
                <w:lang w:val="en-US" w:eastAsia="zh-CN"/>
              </w:rPr>
              <w:t>/人·a，约104L/人·d</w:t>
            </w:r>
            <w:r>
              <w:rPr>
                <w:rFonts w:hint="eastAsia"/>
                <w:color w:val="auto"/>
                <w:u w:val="none" w:color="auto"/>
              </w:rPr>
              <w:t>，则</w:t>
            </w:r>
            <w:r>
              <w:rPr>
                <w:rFonts w:hint="eastAsia"/>
                <w:color w:val="auto"/>
                <w:u w:val="none" w:color="auto"/>
                <w:lang w:val="en-US" w:eastAsia="zh-CN"/>
              </w:rPr>
              <w:t>本项目员工</w:t>
            </w:r>
            <w:r>
              <w:rPr>
                <w:rFonts w:hint="eastAsia"/>
                <w:color w:val="auto"/>
                <w:u w:val="none" w:color="auto"/>
              </w:rPr>
              <w:t>生活用水量为</w:t>
            </w:r>
            <w:r>
              <w:rPr>
                <w:rFonts w:hint="eastAsia"/>
                <w:color w:val="auto"/>
                <w:u w:val="none" w:color="auto"/>
                <w:lang w:val="en-US" w:eastAsia="zh-CN"/>
              </w:rPr>
              <w:t>9360</w:t>
            </w:r>
            <w:r>
              <w:rPr>
                <w:rFonts w:hint="eastAsia"/>
                <w:color w:val="auto"/>
                <w:u w:val="none" w:color="auto"/>
              </w:rPr>
              <w:t>m</w:t>
            </w:r>
            <w:r>
              <w:rPr>
                <w:rFonts w:hint="eastAsia"/>
                <w:color w:val="auto"/>
                <w:u w:val="none" w:color="auto"/>
                <w:vertAlign w:val="superscript"/>
              </w:rPr>
              <w:t>3</w:t>
            </w:r>
            <w:r>
              <w:rPr>
                <w:rFonts w:hint="eastAsia"/>
                <w:color w:val="auto"/>
                <w:u w:val="none" w:color="auto"/>
              </w:rPr>
              <w:t>/a（</w:t>
            </w:r>
            <w:r>
              <w:rPr>
                <w:rFonts w:hint="eastAsia"/>
                <w:color w:val="auto"/>
                <w:u w:val="none" w:color="auto"/>
                <w:lang w:val="en-US" w:eastAsia="zh-CN"/>
              </w:rPr>
              <w:t>31.2</w:t>
            </w:r>
            <w:r>
              <w:rPr>
                <w:rFonts w:hint="eastAsia"/>
                <w:color w:val="auto"/>
                <w:u w:val="none" w:color="auto"/>
              </w:rPr>
              <w:t>m</w:t>
            </w:r>
            <w:r>
              <w:rPr>
                <w:rFonts w:hint="eastAsia"/>
                <w:color w:val="auto"/>
                <w:u w:val="none" w:color="auto"/>
                <w:vertAlign w:val="superscript"/>
              </w:rPr>
              <w:t>3</w:t>
            </w:r>
            <w:r>
              <w:rPr>
                <w:rFonts w:hint="eastAsia"/>
                <w:color w:val="auto"/>
                <w:u w:val="none" w:color="auto"/>
              </w:rPr>
              <w:t>/d），排水量按用水量的85%计，则本项目排水量为</w:t>
            </w:r>
            <w:r>
              <w:rPr>
                <w:rFonts w:hint="eastAsia"/>
                <w:color w:val="auto"/>
                <w:u w:val="none" w:color="auto"/>
                <w:lang w:val="en-US" w:eastAsia="zh-CN"/>
              </w:rPr>
              <w:t>7956</w:t>
            </w:r>
            <w:r>
              <w:rPr>
                <w:rFonts w:hint="eastAsia"/>
                <w:color w:val="auto"/>
                <w:u w:val="none" w:color="auto"/>
              </w:rPr>
              <w:t>m</w:t>
            </w:r>
            <w:r>
              <w:rPr>
                <w:rFonts w:hint="eastAsia"/>
                <w:color w:val="auto"/>
                <w:u w:val="none" w:color="auto"/>
                <w:vertAlign w:val="superscript"/>
              </w:rPr>
              <w:t>3</w:t>
            </w:r>
            <w:r>
              <w:rPr>
                <w:rFonts w:hint="eastAsia"/>
                <w:color w:val="auto"/>
                <w:u w:val="none" w:color="auto"/>
              </w:rPr>
              <w:t>/a（</w:t>
            </w:r>
            <w:r>
              <w:rPr>
                <w:rFonts w:hint="eastAsia"/>
                <w:color w:val="auto"/>
                <w:u w:val="none" w:color="auto"/>
                <w:lang w:val="en-US" w:eastAsia="zh-CN"/>
              </w:rPr>
              <w:t>26.52</w:t>
            </w:r>
            <w:r>
              <w:rPr>
                <w:rFonts w:hint="eastAsia"/>
                <w:color w:val="auto"/>
                <w:u w:val="none" w:color="auto"/>
              </w:rPr>
              <w:t>m</w:t>
            </w:r>
            <w:r>
              <w:rPr>
                <w:rFonts w:hint="eastAsia"/>
                <w:color w:val="auto"/>
                <w:u w:val="none" w:color="auto"/>
                <w:vertAlign w:val="superscript"/>
              </w:rPr>
              <w:t>3</w:t>
            </w:r>
            <w:r>
              <w:rPr>
                <w:rFonts w:hint="eastAsia"/>
                <w:color w:val="auto"/>
                <w:u w:val="none" w:color="auto"/>
              </w:rPr>
              <w:t>/d），主要污染物为CODcr200mg/L、BOD</w:t>
            </w:r>
            <w:r>
              <w:rPr>
                <w:rFonts w:hint="eastAsia"/>
                <w:color w:val="auto"/>
                <w:u w:val="none" w:color="auto"/>
                <w:vertAlign w:val="subscript"/>
              </w:rPr>
              <w:t>5</w:t>
            </w:r>
            <w:r>
              <w:rPr>
                <w:rFonts w:hint="eastAsia"/>
                <w:color w:val="auto"/>
                <w:u w:val="none" w:color="auto"/>
              </w:rPr>
              <w:t>120mg/L、SS150mg/L、氨氮25mg/L等。</w:t>
            </w:r>
          </w:p>
          <w:p w14:paraId="41C291F0">
            <w:pPr>
              <w:bidi w:val="0"/>
              <w:rPr>
                <w:rFonts w:hint="default"/>
                <w:color w:val="auto"/>
                <w:u w:val="none" w:color="auto"/>
                <w:lang w:val="en-US"/>
              </w:rPr>
            </w:pPr>
            <w:r>
              <w:rPr>
                <w:rFonts w:hint="eastAsia" w:cs="Times New Roman"/>
                <w:color w:val="auto"/>
                <w:u w:val="none" w:color="auto"/>
                <w:lang w:val="en-US" w:eastAsia="zh-CN"/>
              </w:rPr>
              <w:t>项目办公楼不设置食堂宿舍，员工食宿依托产业园区的食堂和宿舍，其对应的废水不在本项目厂区内产生，办公楼员工上厕所、洗手等产生的生活污水</w:t>
            </w:r>
            <w:r>
              <w:rPr>
                <w:rFonts w:hint="eastAsia" w:ascii="Times New Roman" w:hAnsi="Times New Roman" w:cs="Times New Roman"/>
                <w:color w:val="auto"/>
                <w:u w:val="none" w:color="auto"/>
                <w:lang w:val="en-US" w:eastAsia="zh-CN"/>
              </w:rPr>
              <w:t>依托</w:t>
            </w:r>
            <w:r>
              <w:rPr>
                <w:rFonts w:hint="eastAsia" w:cs="Times New Roman"/>
                <w:color w:val="auto"/>
                <w:u w:val="none" w:color="auto"/>
                <w:lang w:val="en-US" w:eastAsia="zh-CN"/>
              </w:rPr>
              <w:t>产业园区</w:t>
            </w:r>
            <w:r>
              <w:rPr>
                <w:rFonts w:hint="eastAsia" w:ascii="Times New Roman" w:hAnsi="Times New Roman" w:cs="Times New Roman"/>
                <w:color w:val="auto"/>
                <w:u w:val="none" w:color="auto"/>
                <w:lang w:val="en-US" w:eastAsia="zh-CN"/>
              </w:rPr>
              <w:t>配套的食堂宿舍</w:t>
            </w:r>
            <w:r>
              <w:rPr>
                <w:rFonts w:hint="eastAsia" w:cs="Times New Roman"/>
                <w:color w:val="auto"/>
                <w:u w:val="none" w:color="auto"/>
                <w:lang w:val="en-US" w:eastAsia="zh-CN"/>
              </w:rPr>
              <w:t>及化粪池处理设施</w:t>
            </w:r>
            <w:r>
              <w:rPr>
                <w:rFonts w:hint="eastAsia" w:ascii="Times New Roman" w:hAnsi="Times New Roman" w:cs="Times New Roman"/>
                <w:color w:val="auto"/>
                <w:u w:val="none" w:color="auto"/>
                <w:lang w:val="en-US" w:eastAsia="zh-CN"/>
              </w:rPr>
              <w:t>。</w:t>
            </w:r>
          </w:p>
          <w:p w14:paraId="7D8D1EF8">
            <w:pPr>
              <w:ind w:firstLine="480"/>
              <w:rPr>
                <w:rFonts w:hint="eastAsia"/>
                <w:color w:val="auto"/>
                <w:u w:val="none" w:color="auto"/>
              </w:rPr>
            </w:pPr>
            <w:r>
              <w:rPr>
                <w:rFonts w:hint="eastAsia"/>
                <w:color w:val="auto"/>
                <w:u w:val="none" w:color="auto"/>
              </w:rPr>
              <w:t>（2）纯水制备浓水</w:t>
            </w:r>
          </w:p>
          <w:p w14:paraId="31192ADD">
            <w:pPr>
              <w:ind w:firstLine="480"/>
              <w:rPr>
                <w:rFonts w:hint="eastAsia"/>
                <w:color w:val="auto"/>
                <w:u w:val="none" w:color="auto"/>
              </w:rPr>
            </w:pPr>
            <w:r>
              <w:rPr>
                <w:rFonts w:hint="eastAsia"/>
                <w:color w:val="auto"/>
                <w:u w:val="none" w:color="auto"/>
              </w:rPr>
              <w:t>本项目负极浆料搅拌溶剂为纯水。项目配备一套纯水制备系统。根据建设单位给的资料，项目负极配料搅拌所需的纯水水量约为</w:t>
            </w:r>
            <w:r>
              <w:rPr>
                <w:rFonts w:hint="eastAsia"/>
                <w:color w:val="auto"/>
                <w:u w:val="none" w:color="auto"/>
                <w:lang w:val="en-US" w:eastAsia="zh-CN"/>
              </w:rPr>
              <w:t>0.33</w:t>
            </w:r>
            <w:r>
              <w:rPr>
                <w:rFonts w:hint="eastAsia"/>
                <w:color w:val="auto"/>
                <w:u w:val="none" w:color="auto"/>
              </w:rPr>
              <w:t>m</w:t>
            </w:r>
            <w:r>
              <w:rPr>
                <w:rFonts w:hint="eastAsia"/>
                <w:color w:val="auto"/>
                <w:u w:val="none" w:color="auto"/>
                <w:vertAlign w:val="superscript"/>
              </w:rPr>
              <w:t>3</w:t>
            </w:r>
            <w:r>
              <w:rPr>
                <w:rFonts w:hint="eastAsia"/>
                <w:color w:val="auto"/>
                <w:u w:val="none" w:color="auto"/>
              </w:rPr>
              <w:t>/d（</w:t>
            </w:r>
            <w:r>
              <w:rPr>
                <w:rFonts w:hint="eastAsia"/>
                <w:color w:val="auto"/>
                <w:u w:val="none" w:color="auto"/>
                <w:lang w:val="en-US" w:eastAsia="zh-CN"/>
              </w:rPr>
              <w:t>1</w:t>
            </w:r>
            <w:r>
              <w:rPr>
                <w:rFonts w:hint="eastAsia"/>
                <w:color w:val="auto"/>
                <w:u w:val="none" w:color="auto"/>
              </w:rPr>
              <w:t>00m</w:t>
            </w:r>
            <w:r>
              <w:rPr>
                <w:rFonts w:hint="eastAsia"/>
                <w:color w:val="auto"/>
                <w:u w:val="none" w:color="auto"/>
                <w:vertAlign w:val="superscript"/>
              </w:rPr>
              <w:t>3</w:t>
            </w:r>
            <w:r>
              <w:rPr>
                <w:rFonts w:hint="eastAsia"/>
                <w:color w:val="auto"/>
                <w:u w:val="none" w:color="auto"/>
              </w:rPr>
              <w:t>/a）。</w:t>
            </w:r>
          </w:p>
          <w:p w14:paraId="0D98DFB0">
            <w:pPr>
              <w:ind w:firstLine="480"/>
              <w:rPr>
                <w:rFonts w:hint="eastAsia"/>
                <w:color w:val="auto"/>
                <w:u w:val="none" w:color="auto"/>
              </w:rPr>
            </w:pPr>
            <w:r>
              <w:rPr>
                <w:rFonts w:hint="eastAsia"/>
                <w:color w:val="auto"/>
                <w:u w:val="none" w:color="auto"/>
              </w:rPr>
              <w:t>本项目使用二级RO反渗透法制备纯水，</w:t>
            </w:r>
            <w:r>
              <w:rPr>
                <w:rFonts w:hint="eastAsia"/>
                <w:color w:val="auto"/>
                <w:u w:val="none" w:color="auto"/>
                <w:lang w:val="en-US" w:eastAsia="zh-CN"/>
              </w:rPr>
              <w:t>纯水</w:t>
            </w:r>
            <w:r>
              <w:rPr>
                <w:rFonts w:hint="eastAsia"/>
                <w:color w:val="auto"/>
                <w:u w:val="none" w:color="auto"/>
              </w:rPr>
              <w:t>出水率按70%计，本项目需纯水共</w:t>
            </w:r>
            <w:r>
              <w:rPr>
                <w:rFonts w:hint="eastAsia"/>
                <w:color w:val="auto"/>
                <w:u w:val="none" w:color="auto"/>
                <w:lang w:val="en-US" w:eastAsia="zh-CN"/>
              </w:rPr>
              <w:t>1</w:t>
            </w:r>
            <w:r>
              <w:rPr>
                <w:rFonts w:hint="eastAsia"/>
                <w:color w:val="auto"/>
                <w:u w:val="none" w:color="auto"/>
              </w:rPr>
              <w:t>00m</w:t>
            </w:r>
            <w:r>
              <w:rPr>
                <w:rFonts w:hint="eastAsia"/>
                <w:color w:val="auto"/>
                <w:u w:val="none" w:color="auto"/>
                <w:vertAlign w:val="superscript"/>
              </w:rPr>
              <w:t>3</w:t>
            </w:r>
            <w:r>
              <w:rPr>
                <w:rFonts w:hint="eastAsia"/>
                <w:color w:val="auto"/>
                <w:u w:val="none" w:color="auto"/>
              </w:rPr>
              <w:t>/a，则需要自来水约</w:t>
            </w:r>
            <w:r>
              <w:rPr>
                <w:rFonts w:hint="eastAsia"/>
                <w:color w:val="auto"/>
                <w:u w:val="none" w:color="auto"/>
                <w:lang w:val="en-US" w:eastAsia="zh-CN"/>
              </w:rPr>
              <w:t>143</w:t>
            </w:r>
            <w:r>
              <w:rPr>
                <w:rFonts w:hint="eastAsia"/>
                <w:color w:val="auto"/>
                <w:u w:val="none" w:color="auto"/>
              </w:rPr>
              <w:t>m</w:t>
            </w:r>
            <w:r>
              <w:rPr>
                <w:rFonts w:hint="eastAsia"/>
                <w:color w:val="auto"/>
                <w:u w:val="none" w:color="auto"/>
                <w:vertAlign w:val="superscript"/>
              </w:rPr>
              <w:t>3</w:t>
            </w:r>
            <w:r>
              <w:rPr>
                <w:rFonts w:hint="eastAsia"/>
                <w:color w:val="auto"/>
                <w:u w:val="none" w:color="auto"/>
              </w:rPr>
              <w:t>/a，产生浓水</w:t>
            </w:r>
            <w:r>
              <w:rPr>
                <w:rFonts w:hint="eastAsia"/>
                <w:color w:val="auto"/>
                <w:u w:val="none" w:color="auto"/>
                <w:lang w:val="en-US" w:eastAsia="zh-CN"/>
              </w:rPr>
              <w:t>43</w:t>
            </w:r>
            <w:r>
              <w:rPr>
                <w:rFonts w:hint="eastAsia"/>
                <w:color w:val="auto"/>
                <w:u w:val="none" w:color="auto"/>
              </w:rPr>
              <w:t>m</w:t>
            </w:r>
            <w:r>
              <w:rPr>
                <w:rFonts w:hint="eastAsia"/>
                <w:color w:val="auto"/>
                <w:u w:val="none" w:color="auto"/>
                <w:vertAlign w:val="superscript"/>
              </w:rPr>
              <w:t>3</w:t>
            </w:r>
            <w:r>
              <w:rPr>
                <w:rFonts w:hint="eastAsia"/>
                <w:color w:val="auto"/>
                <w:u w:val="none" w:color="auto"/>
              </w:rPr>
              <w:t>/a。自来水是经过处理后的清洁水，其含有的污染物极低，制纯水主要是过滤自来水中钙镁离子，不带入新的污染物，过滤</w:t>
            </w:r>
            <w:r>
              <w:rPr>
                <w:rFonts w:hint="eastAsia"/>
                <w:color w:val="auto"/>
                <w:u w:val="none" w:color="auto"/>
                <w:lang w:eastAsia="zh-CN"/>
              </w:rPr>
              <w:t>产生</w:t>
            </w:r>
            <w:r>
              <w:rPr>
                <w:rFonts w:hint="eastAsia"/>
                <w:color w:val="auto"/>
                <w:u w:val="none" w:color="auto"/>
              </w:rPr>
              <w:t>的浓水排入园区</w:t>
            </w:r>
            <w:r>
              <w:rPr>
                <w:rFonts w:hint="eastAsia"/>
                <w:color w:val="auto"/>
                <w:u w:val="none" w:color="auto"/>
                <w:lang w:eastAsia="zh-CN"/>
              </w:rPr>
              <w:t>污水管网</w:t>
            </w:r>
            <w:r>
              <w:rPr>
                <w:rFonts w:hint="eastAsia"/>
                <w:color w:val="auto"/>
                <w:u w:val="none" w:color="auto"/>
              </w:rPr>
              <w:t>系统。</w:t>
            </w:r>
          </w:p>
          <w:p w14:paraId="0DC5378B">
            <w:pPr>
              <w:ind w:firstLine="480"/>
              <w:rPr>
                <w:rFonts w:hint="eastAsia"/>
                <w:color w:val="auto"/>
                <w:u w:val="none" w:color="auto"/>
              </w:rPr>
            </w:pPr>
            <w:r>
              <w:rPr>
                <w:rFonts w:hint="eastAsia"/>
                <w:color w:val="auto"/>
                <w:u w:val="none" w:color="auto"/>
              </w:rPr>
              <w:t>（</w:t>
            </w:r>
            <w:r>
              <w:rPr>
                <w:rFonts w:hint="eastAsia"/>
                <w:color w:val="auto"/>
                <w:u w:val="none" w:color="auto"/>
                <w:lang w:val="en-US" w:eastAsia="zh-CN"/>
              </w:rPr>
              <w:t>3</w:t>
            </w:r>
            <w:r>
              <w:rPr>
                <w:rFonts w:hint="eastAsia"/>
                <w:color w:val="auto"/>
                <w:u w:val="none" w:color="auto"/>
              </w:rPr>
              <w:t>）NMP</w:t>
            </w:r>
            <w:r>
              <w:rPr>
                <w:rFonts w:hint="eastAsia"/>
                <w:color w:val="auto"/>
                <w:u w:val="none" w:color="auto"/>
                <w:lang w:eastAsia="zh-CN"/>
              </w:rPr>
              <w:t>冷凝回收装置</w:t>
            </w:r>
            <w:r>
              <w:rPr>
                <w:rFonts w:hint="eastAsia"/>
                <w:color w:val="auto"/>
                <w:u w:val="none" w:color="auto"/>
              </w:rPr>
              <w:t>循环冷却水排水</w:t>
            </w:r>
          </w:p>
          <w:p w14:paraId="0A2332D8">
            <w:pPr>
              <w:ind w:firstLine="480"/>
              <w:rPr>
                <w:rFonts w:hint="eastAsia"/>
                <w:color w:val="auto"/>
                <w:u w:val="none" w:color="auto"/>
              </w:rPr>
            </w:pPr>
            <w:r>
              <w:rPr>
                <w:rFonts w:hint="eastAsia"/>
                <w:color w:val="auto"/>
                <w:u w:val="none" w:color="auto"/>
              </w:rPr>
              <w:t>项目NMP回收装置冷却方式为间接冷却，冷却塔循环水量为2t/h。冷却塔的补水率按循环水量的1%计算，则新鲜补充水量为0.02t/h即120t/a(0.4t/d)。项目NMP回收装置冷却方式为间接冷却，不与原材料、产品直接接触。循环冷却水属清净下水，可直接排放，不计入污水排放总量。项目循环冷却水1年更换4次，排放量为8t/a。</w:t>
            </w:r>
          </w:p>
          <w:p w14:paraId="2A501402">
            <w:pPr>
              <w:bidi w:val="0"/>
              <w:rPr>
                <w:rFonts w:hint="eastAsia"/>
                <w:color w:val="auto"/>
                <w:u w:val="none" w:color="auto"/>
                <w:lang w:eastAsia="zh-CN"/>
              </w:rPr>
            </w:pPr>
            <w:r>
              <w:rPr>
                <w:rFonts w:hint="eastAsia"/>
                <w:color w:val="auto"/>
                <w:u w:val="none" w:color="auto"/>
                <w:lang w:eastAsia="zh-CN"/>
              </w:rPr>
              <w:t>（</w:t>
            </w:r>
            <w:r>
              <w:rPr>
                <w:rFonts w:hint="eastAsia"/>
                <w:color w:val="auto"/>
                <w:u w:val="none" w:color="auto"/>
                <w:lang w:val="en-US" w:eastAsia="zh-CN"/>
              </w:rPr>
              <w:t>4</w:t>
            </w:r>
            <w:r>
              <w:rPr>
                <w:rFonts w:hint="eastAsia"/>
                <w:color w:val="auto"/>
                <w:u w:val="none" w:color="auto"/>
                <w:lang w:eastAsia="zh-CN"/>
              </w:rPr>
              <w:t>）电池外壳、拖把清洗排水</w:t>
            </w:r>
          </w:p>
          <w:p w14:paraId="00A31F73">
            <w:pPr>
              <w:bidi w:val="0"/>
              <w:rPr>
                <w:color w:val="auto"/>
                <w:u w:val="none" w:color="auto"/>
              </w:rPr>
            </w:pPr>
            <w:r>
              <w:rPr>
                <w:color w:val="auto"/>
                <w:u w:val="none" w:color="auto"/>
              </w:rPr>
              <w:t>项目制浆搅拌桶只在更换品种时清洁。正极搅拌桶清洁方式为使用刮板将桶内壁与搅拌桨上附着的干浆料刮下来，刮下来的干浆料在下次同样浆料时可以重新利用，</w:t>
            </w:r>
            <w:r>
              <w:rPr>
                <w:rFonts w:hint="eastAsia"/>
                <w:color w:val="auto"/>
                <w:u w:val="none" w:color="auto"/>
                <w:lang w:eastAsia="zh-CN"/>
              </w:rPr>
              <w:t>无清洗废水</w:t>
            </w:r>
            <w:r>
              <w:rPr>
                <w:color w:val="auto"/>
                <w:u w:val="none" w:color="auto"/>
              </w:rPr>
              <w:t>。</w:t>
            </w:r>
          </w:p>
          <w:p w14:paraId="0384E88F">
            <w:pPr>
              <w:bidi w:val="0"/>
              <w:rPr>
                <w:color w:val="auto"/>
                <w:u w:val="none" w:color="auto"/>
              </w:rPr>
            </w:pPr>
            <w:r>
              <w:rPr>
                <w:color w:val="auto"/>
                <w:u w:val="none" w:color="auto"/>
              </w:rPr>
              <w:t>负极搅拌桶</w:t>
            </w:r>
            <w:r>
              <w:rPr>
                <w:rFonts w:hint="eastAsia"/>
                <w:color w:val="auto"/>
                <w:u w:val="none" w:color="auto"/>
                <w:lang w:eastAsia="zh-CN"/>
              </w:rPr>
              <w:t>清洁</w:t>
            </w:r>
            <w:r>
              <w:rPr>
                <w:color w:val="auto"/>
                <w:u w:val="none" w:color="auto"/>
              </w:rPr>
              <w:t>方式是先使用刮板将桶内壁与搅拌桨上附着的干浆料刮下来，再使用擦布沾取清水清洁搅拌桶内壁和搅拌桨上残留的浆料，直至桶内壁和搅拌桨完成清洁，清洗完后自然晾干或用气吹干。刮下来的干浆料在下次同样浆料时可以重新利用，</w:t>
            </w:r>
            <w:r>
              <w:rPr>
                <w:rFonts w:hint="eastAsia"/>
                <w:color w:val="auto"/>
                <w:u w:val="none" w:color="auto"/>
                <w:lang w:eastAsia="zh-CN"/>
              </w:rPr>
              <w:t>无清洗废水</w:t>
            </w:r>
            <w:r>
              <w:rPr>
                <w:color w:val="auto"/>
                <w:u w:val="none" w:color="auto"/>
              </w:rPr>
              <w:t>。</w:t>
            </w:r>
          </w:p>
          <w:p w14:paraId="087E0F6B">
            <w:pPr>
              <w:bidi w:val="0"/>
              <w:rPr>
                <w:color w:val="auto"/>
                <w:u w:val="none" w:color="auto"/>
              </w:rPr>
            </w:pPr>
            <w:r>
              <w:rPr>
                <w:rFonts w:hint="eastAsia"/>
                <w:color w:val="auto"/>
                <w:u w:val="none" w:color="auto"/>
                <w:lang w:val="en-US" w:eastAsia="zh-CN"/>
              </w:rPr>
              <w:t>原料搅拌车间地面每天都清洁一次，拖把清洗用</w:t>
            </w:r>
            <w:r>
              <w:rPr>
                <w:rFonts w:hint="eastAsia"/>
                <w:color w:val="auto"/>
                <w:u w:val="none" w:color="auto"/>
                <w:lang w:eastAsia="zh-CN"/>
              </w:rPr>
              <w:t>水</w:t>
            </w:r>
            <w:r>
              <w:rPr>
                <w:color w:val="auto"/>
                <w:u w:val="none" w:color="auto"/>
              </w:rPr>
              <w:t>量</w:t>
            </w:r>
            <w:r>
              <w:rPr>
                <w:rFonts w:hint="eastAsia"/>
                <w:color w:val="auto"/>
                <w:u w:val="none" w:color="auto"/>
                <w:lang w:eastAsia="zh-CN"/>
              </w:rPr>
              <w:t>约</w:t>
            </w:r>
            <w:r>
              <w:rPr>
                <w:color w:val="auto"/>
                <w:u w:val="none" w:color="auto"/>
              </w:rPr>
              <w:t>为</w:t>
            </w:r>
            <w:r>
              <w:rPr>
                <w:rFonts w:hint="eastAsia"/>
                <w:color w:val="auto"/>
                <w:u w:val="none" w:color="auto"/>
                <w:lang w:val="en-US" w:eastAsia="zh-CN"/>
              </w:rPr>
              <w:t>40L/次、12</w:t>
            </w:r>
            <w:r>
              <w:rPr>
                <w:color w:val="auto"/>
                <w:u w:val="none" w:color="auto"/>
              </w:rPr>
              <w:t>t/a，主要污染物为COD、SS</w:t>
            </w:r>
            <w:r>
              <w:rPr>
                <w:rFonts w:hint="eastAsia"/>
                <w:color w:val="auto"/>
                <w:u w:val="none" w:color="auto"/>
                <w:lang w:eastAsia="zh-CN"/>
              </w:rPr>
              <w:t>等，废水产生</w:t>
            </w:r>
            <w:r>
              <w:rPr>
                <w:rFonts w:hint="eastAsia"/>
                <w:color w:val="auto"/>
                <w:u w:val="none" w:color="auto"/>
              </w:rPr>
              <w:t>量按用水量的</w:t>
            </w:r>
            <w:r>
              <w:rPr>
                <w:rFonts w:hint="eastAsia"/>
                <w:color w:val="auto"/>
                <w:u w:val="none" w:color="auto"/>
                <w:lang w:val="en-US" w:eastAsia="zh-CN"/>
              </w:rPr>
              <w:t>90</w:t>
            </w:r>
            <w:r>
              <w:rPr>
                <w:rFonts w:hint="eastAsia"/>
                <w:color w:val="auto"/>
                <w:u w:val="none" w:color="auto"/>
              </w:rPr>
              <w:t>%计</w:t>
            </w:r>
            <w:r>
              <w:rPr>
                <w:rFonts w:hint="eastAsia"/>
                <w:color w:val="auto"/>
                <w:u w:val="none" w:color="auto"/>
                <w:lang w:eastAsia="zh-CN"/>
              </w:rPr>
              <w:t>，</w:t>
            </w:r>
            <w:r>
              <w:rPr>
                <w:color w:val="auto"/>
                <w:u w:val="none" w:color="auto"/>
              </w:rPr>
              <w:t>则</w:t>
            </w:r>
            <w:r>
              <w:rPr>
                <w:rFonts w:hint="eastAsia"/>
                <w:color w:val="auto"/>
                <w:u w:val="none" w:color="auto"/>
                <w:lang w:eastAsia="zh-CN"/>
              </w:rPr>
              <w:t>地面清洗拖把</w:t>
            </w:r>
            <w:r>
              <w:rPr>
                <w:color w:val="auto"/>
                <w:u w:val="none" w:color="auto"/>
              </w:rPr>
              <w:t>清洗废水量为1</w:t>
            </w:r>
            <w:r>
              <w:rPr>
                <w:rFonts w:hint="eastAsia"/>
                <w:color w:val="auto"/>
                <w:u w:val="none" w:color="auto"/>
                <w:lang w:val="en-US" w:eastAsia="zh-CN"/>
              </w:rPr>
              <w:t>0.8</w:t>
            </w:r>
            <w:r>
              <w:rPr>
                <w:color w:val="auto"/>
                <w:u w:val="none" w:color="auto"/>
              </w:rPr>
              <w:t>t/a</w:t>
            </w:r>
            <w:r>
              <w:rPr>
                <w:rFonts w:hint="eastAsia"/>
                <w:color w:val="auto"/>
                <w:u w:val="none" w:color="auto"/>
                <w:lang w:eastAsia="zh-CN"/>
              </w:rPr>
              <w:t>，</w:t>
            </w:r>
            <w:r>
              <w:rPr>
                <w:rFonts w:hint="eastAsia"/>
                <w:color w:val="auto"/>
                <w:u w:val="none" w:color="auto"/>
                <w:lang w:val="en-US" w:eastAsia="zh-CN"/>
              </w:rPr>
              <w:t>经沉淀池处理后排放</w:t>
            </w:r>
            <w:r>
              <w:rPr>
                <w:color w:val="auto"/>
                <w:u w:val="none" w:color="auto"/>
              </w:rPr>
              <w:t>。</w:t>
            </w:r>
          </w:p>
          <w:p w14:paraId="7D7DAC26">
            <w:pPr>
              <w:pStyle w:val="2"/>
              <w:rPr>
                <w:rFonts w:hint="default" w:eastAsia="宋体"/>
                <w:color w:val="auto"/>
                <w:u w:val="none" w:color="auto"/>
                <w:lang w:val="en-US" w:eastAsia="zh-CN"/>
              </w:rPr>
            </w:pPr>
            <w:r>
              <w:rPr>
                <w:rFonts w:hint="eastAsia"/>
                <w:color w:val="auto"/>
                <w:u w:val="none" w:color="auto"/>
                <w:lang w:eastAsia="zh-CN"/>
              </w:rPr>
              <w:t>项目铝（钢）壳锂电池在喷除锈油前进行表面冲洗，清洗用水约</w:t>
            </w:r>
            <w:r>
              <w:rPr>
                <w:rFonts w:hint="eastAsia"/>
                <w:color w:val="auto"/>
                <w:u w:val="none" w:color="auto"/>
                <w:lang w:val="en-US" w:eastAsia="zh-CN"/>
              </w:rPr>
              <w:t>1t/d、300t/a，废水排放量约90%，排水量为0.9t/d、270t/a，</w:t>
            </w:r>
            <w:r>
              <w:rPr>
                <w:rFonts w:hint="eastAsia"/>
                <w:color w:val="auto"/>
                <w:u w:val="none" w:color="auto"/>
                <w:lang w:eastAsia="zh-CN"/>
              </w:rPr>
              <w:t>项目外购的铝（钢）壳均为新品，冲洗的目的主要洗掉铝（钢）壳表面可能存在的一些粉尘，其清洗水中污染物含量极低，属于清净下水，直接排入市政污水管网进入污水处理厂。</w:t>
            </w:r>
          </w:p>
          <w:p w14:paraId="6252EE60">
            <w:pPr>
              <w:bidi w:val="0"/>
              <w:rPr>
                <w:rFonts w:hint="eastAsia"/>
                <w:color w:val="auto"/>
                <w:u w:val="none" w:color="auto"/>
                <w:lang w:val="en-US" w:eastAsia="zh-CN"/>
              </w:rPr>
            </w:pPr>
            <w:r>
              <w:rPr>
                <w:rFonts w:hint="eastAsia"/>
                <w:color w:val="auto"/>
                <w:u w:val="none" w:color="auto"/>
                <w:lang w:val="en-US" w:eastAsia="zh-CN"/>
              </w:rPr>
              <w:t>项目水平衡图如下：</w:t>
            </w:r>
          </w:p>
          <w:p w14:paraId="2418C491">
            <w:pPr>
              <w:widowControl/>
              <w:ind w:firstLine="0" w:firstLineChars="0"/>
              <w:jc w:val="center"/>
              <w:rPr>
                <w:rFonts w:hint="eastAsia" w:eastAsia="宋体"/>
                <w:color w:val="auto"/>
                <w:u w:val="none" w:color="auto"/>
                <w:lang w:eastAsia="zh-CN"/>
              </w:rPr>
            </w:pPr>
            <w:r>
              <w:rPr>
                <w:rFonts w:hint="eastAsia" w:eastAsia="宋体"/>
                <w:color w:val="auto"/>
                <w:u w:val="none" w:color="auto"/>
                <w:lang w:eastAsia="zh-CN"/>
              </w:rPr>
              <w:drawing>
                <wp:inline distT="0" distB="0" distL="114300" distR="114300">
                  <wp:extent cx="4054475" cy="3460115"/>
                  <wp:effectExtent l="0" t="0" r="0" b="0"/>
                  <wp:docPr id="5" name="ECB019B1-382A-4266-B25C-5B523AA43C14-3" descr="C:/Users/admin/AppData/Local/Temp/wps.veknbK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B019B1-382A-4266-B25C-5B523AA43C14-3" descr="C:/Users/admin/AppData/Local/Temp/wps.veknbKwps"/>
                          <pic:cNvPicPr>
                            <a:picLocks noChangeAspect="1"/>
                          </pic:cNvPicPr>
                        </pic:nvPicPr>
                        <pic:blipFill>
                          <a:blip r:embed="rId14"/>
                          <a:stretch>
                            <a:fillRect/>
                          </a:stretch>
                        </pic:blipFill>
                        <pic:spPr>
                          <a:xfrm>
                            <a:off x="0" y="0"/>
                            <a:ext cx="4054475" cy="3460115"/>
                          </a:xfrm>
                          <a:prstGeom prst="rect">
                            <a:avLst/>
                          </a:prstGeom>
                        </pic:spPr>
                      </pic:pic>
                    </a:graphicData>
                  </a:graphic>
                </wp:inline>
              </w:drawing>
            </w:r>
          </w:p>
          <w:p w14:paraId="38B3C3AE">
            <w:pPr>
              <w:widowControl/>
              <w:ind w:firstLine="0" w:firstLineChars="0"/>
              <w:jc w:val="center"/>
              <w:rPr>
                <w:rFonts w:hint="eastAsia" w:eastAsia="宋体"/>
                <w:color w:val="auto"/>
                <w:u w:val="none" w:color="auto"/>
                <w:lang w:eastAsia="zh-CN"/>
              </w:rPr>
            </w:pPr>
            <w:r>
              <w:rPr>
                <w:rFonts w:hint="eastAsia"/>
                <w:b/>
                <w:bCs/>
                <w:color w:val="auto"/>
                <w:u w:val="none" w:color="auto"/>
              </w:rPr>
              <w:t>图4-</w:t>
            </w:r>
            <w:r>
              <w:rPr>
                <w:rFonts w:hint="eastAsia"/>
                <w:b/>
                <w:bCs/>
                <w:color w:val="auto"/>
                <w:u w:val="none" w:color="auto"/>
                <w:lang w:val="en-US" w:eastAsia="zh-CN"/>
              </w:rPr>
              <w:t>2.1</w:t>
            </w:r>
            <w:r>
              <w:rPr>
                <w:rFonts w:hint="eastAsia"/>
                <w:b/>
                <w:bCs/>
                <w:color w:val="auto"/>
                <w:u w:val="none" w:color="auto"/>
              </w:rPr>
              <w:t>项目水平衡图（t/</w:t>
            </w:r>
            <w:r>
              <w:rPr>
                <w:rFonts w:hint="eastAsia"/>
                <w:b/>
                <w:bCs/>
                <w:color w:val="auto"/>
                <w:u w:val="none" w:color="auto"/>
                <w:lang w:val="en-US" w:eastAsia="zh-CN"/>
              </w:rPr>
              <w:t>d</w:t>
            </w:r>
            <w:r>
              <w:rPr>
                <w:rFonts w:hint="eastAsia"/>
                <w:b/>
                <w:bCs/>
                <w:color w:val="auto"/>
                <w:u w:val="none" w:color="auto"/>
              </w:rPr>
              <w:t>）</w:t>
            </w:r>
          </w:p>
          <w:p w14:paraId="64CF53FA">
            <w:pPr>
              <w:widowControl/>
              <w:ind w:firstLine="0" w:firstLineChars="0"/>
              <w:jc w:val="center"/>
              <w:rPr>
                <w:rFonts w:hint="eastAsia" w:eastAsia="宋体"/>
                <w:b/>
                <w:bCs/>
                <w:color w:val="auto"/>
                <w:u w:val="none" w:color="auto"/>
                <w:lang w:eastAsia="zh-CN"/>
              </w:rPr>
            </w:pPr>
            <w:r>
              <w:rPr>
                <w:rFonts w:hint="eastAsia" w:eastAsia="宋体"/>
                <w:b/>
                <w:bCs/>
                <w:color w:val="auto"/>
                <w:u w:val="none" w:color="auto"/>
                <w:lang w:eastAsia="zh-CN"/>
              </w:rPr>
              <w:drawing>
                <wp:inline distT="0" distB="0" distL="114300" distR="114300">
                  <wp:extent cx="3817620" cy="3235325"/>
                  <wp:effectExtent l="0" t="0" r="0" b="0"/>
                  <wp:docPr id="7" name="ECB019B1-382A-4266-B25C-5B523AA43C14-4" descr="C:/Users/admin/AppData/Local/Temp/wps.RRQBnQ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B019B1-382A-4266-B25C-5B523AA43C14-4" descr="C:/Users/admin/AppData/Local/Temp/wps.RRQBnQwps"/>
                          <pic:cNvPicPr>
                            <a:picLocks noChangeAspect="1"/>
                          </pic:cNvPicPr>
                        </pic:nvPicPr>
                        <pic:blipFill>
                          <a:blip r:embed="rId15"/>
                          <a:stretch>
                            <a:fillRect/>
                          </a:stretch>
                        </pic:blipFill>
                        <pic:spPr>
                          <a:xfrm>
                            <a:off x="0" y="0"/>
                            <a:ext cx="3817620" cy="3235325"/>
                          </a:xfrm>
                          <a:prstGeom prst="rect">
                            <a:avLst/>
                          </a:prstGeom>
                        </pic:spPr>
                      </pic:pic>
                    </a:graphicData>
                  </a:graphic>
                </wp:inline>
              </w:drawing>
            </w:r>
          </w:p>
          <w:p w14:paraId="5815FF5A">
            <w:pPr>
              <w:widowControl/>
              <w:ind w:firstLine="0" w:firstLineChars="0"/>
              <w:jc w:val="center"/>
              <w:rPr>
                <w:color w:val="auto"/>
                <w:u w:val="none" w:color="auto"/>
              </w:rPr>
            </w:pPr>
            <w:r>
              <w:rPr>
                <w:rFonts w:hint="eastAsia"/>
                <w:b/>
                <w:bCs/>
                <w:color w:val="auto"/>
                <w:u w:val="none" w:color="auto"/>
              </w:rPr>
              <w:t>图4-2</w:t>
            </w:r>
            <w:r>
              <w:rPr>
                <w:rFonts w:hint="eastAsia"/>
                <w:b/>
                <w:bCs/>
                <w:color w:val="auto"/>
                <w:u w:val="none" w:color="auto"/>
                <w:lang w:val="en-US" w:eastAsia="zh-CN"/>
              </w:rPr>
              <w:t>.2</w:t>
            </w:r>
            <w:r>
              <w:rPr>
                <w:rFonts w:hint="eastAsia"/>
                <w:b/>
                <w:bCs/>
                <w:color w:val="auto"/>
                <w:u w:val="none" w:color="auto"/>
              </w:rPr>
              <w:t>项目水平衡图（t/a）</w:t>
            </w:r>
          </w:p>
          <w:p w14:paraId="4EC4A298">
            <w:pPr>
              <w:bidi w:val="0"/>
              <w:rPr>
                <w:rFonts w:hint="default"/>
                <w:color w:val="auto"/>
                <w:u w:val="none" w:color="auto"/>
                <w:lang w:val="en-US" w:eastAsia="zh-CN"/>
              </w:rPr>
            </w:pPr>
            <w:r>
              <w:rPr>
                <w:rFonts w:hint="eastAsia"/>
                <w:color w:val="auto"/>
                <w:u w:val="none" w:color="auto"/>
                <w:lang w:val="en-US" w:eastAsia="zh-CN"/>
              </w:rPr>
              <w:t>本项目已投入生产，于2024年11月委托湖南科比特亿美检测有限公司对生产废水沉淀池出口进行了现场监测，监测数据统计如下：</w:t>
            </w:r>
          </w:p>
          <w:p w14:paraId="46FA1751">
            <w:pPr>
              <w:bidi w:val="0"/>
              <w:spacing w:line="240" w:lineRule="auto"/>
              <w:ind w:left="0" w:leftChars="0" w:firstLine="0" w:firstLineChars="0"/>
              <w:jc w:val="center"/>
              <w:rPr>
                <w:rFonts w:hint="eastAsia"/>
                <w:b/>
                <w:bCs/>
                <w:color w:val="auto"/>
                <w:sz w:val="21"/>
                <w:szCs w:val="21"/>
                <w:u w:val="none" w:color="auto"/>
              </w:rPr>
            </w:pPr>
            <w:r>
              <w:rPr>
                <w:rFonts w:hint="eastAsia"/>
                <w:b/>
                <w:bCs/>
                <w:color w:val="auto"/>
                <w:sz w:val="21"/>
                <w:szCs w:val="21"/>
                <w:u w:val="none" w:color="auto"/>
              </w:rPr>
              <w:t>表4-</w:t>
            </w:r>
            <w:r>
              <w:rPr>
                <w:rFonts w:hint="eastAsia"/>
                <w:b/>
                <w:bCs/>
                <w:color w:val="auto"/>
                <w:sz w:val="21"/>
                <w:szCs w:val="21"/>
                <w:u w:val="none" w:color="auto"/>
                <w:lang w:val="en-US" w:eastAsia="zh-CN"/>
              </w:rPr>
              <w:t>5  废水</w:t>
            </w:r>
            <w:r>
              <w:rPr>
                <w:rFonts w:hint="eastAsia"/>
                <w:b/>
                <w:bCs/>
                <w:color w:val="auto"/>
                <w:sz w:val="21"/>
                <w:szCs w:val="21"/>
                <w:u w:val="none" w:color="auto"/>
              </w:rPr>
              <w:t>检测结果</w:t>
            </w:r>
          </w:p>
          <w:tbl>
            <w:tblPr>
              <w:tblStyle w:val="95"/>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97"/>
              <w:gridCol w:w="1569"/>
              <w:gridCol w:w="3815"/>
              <w:gridCol w:w="1685"/>
            </w:tblGrid>
            <w:tr w14:paraId="2908B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97" w:type="dxa"/>
                  <w:vMerge w:val="restart"/>
                  <w:tcBorders>
                    <w:tl2br w:val="nil"/>
                    <w:tr2bl w:val="nil"/>
                  </w:tcBorders>
                  <w:vAlign w:val="center"/>
                </w:tcPr>
                <w:p w14:paraId="69564DB6">
                  <w:pPr>
                    <w:spacing w:before="68" w:line="240" w:lineRule="auto"/>
                    <w:ind w:left="0" w:leftChars="0" w:firstLine="0" w:firstLineChars="0"/>
                    <w:jc w:val="center"/>
                    <w:rPr>
                      <w:rFonts w:hint="default" w:ascii="Times New Roman" w:hAnsi="Times New Roman" w:eastAsia="宋体" w:cs="Times New Roman"/>
                      <w:color w:val="auto"/>
                      <w:spacing w:val="8"/>
                      <w:position w:val="7"/>
                      <w:sz w:val="21"/>
                      <w:szCs w:val="21"/>
                      <w:u w:val="none" w:color="auto"/>
                    </w:rPr>
                  </w:pPr>
                  <w:r>
                    <w:rPr>
                      <w:rFonts w:hint="default" w:ascii="Times New Roman" w:hAnsi="Times New Roman" w:eastAsia="宋体" w:cs="Times New Roman"/>
                      <w:color w:val="auto"/>
                      <w:spacing w:val="8"/>
                      <w:position w:val="7"/>
                      <w:sz w:val="21"/>
                      <w:szCs w:val="21"/>
                      <w:u w:val="none" w:color="auto"/>
                    </w:rPr>
                    <w:t>检测点位</w:t>
                  </w:r>
                </w:p>
              </w:tc>
              <w:tc>
                <w:tcPr>
                  <w:tcW w:w="949" w:type="pct"/>
                  <w:vMerge w:val="restart"/>
                  <w:tcBorders>
                    <w:tl2br w:val="nil"/>
                    <w:tr2bl w:val="nil"/>
                  </w:tcBorders>
                  <w:vAlign w:val="center"/>
                </w:tcPr>
                <w:p w14:paraId="4CA57CBE">
                  <w:pPr>
                    <w:spacing w:before="68" w:line="240" w:lineRule="auto"/>
                    <w:ind w:left="0" w:leftChars="0" w:firstLine="0" w:firstLineChars="0"/>
                    <w:jc w:val="center"/>
                    <w:rPr>
                      <w:rFonts w:hint="default" w:ascii="Times New Roman" w:hAnsi="Times New Roman" w:eastAsia="宋体" w:cs="Times New Roman"/>
                      <w:color w:val="auto"/>
                      <w:spacing w:val="8"/>
                      <w:position w:val="7"/>
                      <w:sz w:val="21"/>
                      <w:szCs w:val="21"/>
                      <w:u w:val="none" w:color="auto"/>
                    </w:rPr>
                  </w:pPr>
                  <w:r>
                    <w:rPr>
                      <w:rFonts w:hint="default" w:ascii="Times New Roman" w:hAnsi="Times New Roman" w:eastAsia="宋体" w:cs="Times New Roman"/>
                      <w:color w:val="auto"/>
                      <w:spacing w:val="8"/>
                      <w:position w:val="7"/>
                      <w:sz w:val="21"/>
                      <w:szCs w:val="21"/>
                      <w:u w:val="none" w:color="auto"/>
                    </w:rPr>
                    <w:t>检测因子</w:t>
                  </w:r>
                </w:p>
              </w:tc>
              <w:tc>
                <w:tcPr>
                  <w:tcW w:w="2307" w:type="pct"/>
                  <w:tcBorders>
                    <w:tl2br w:val="nil"/>
                    <w:tr2bl w:val="nil"/>
                  </w:tcBorders>
                  <w:vAlign w:val="center"/>
                </w:tcPr>
                <w:p w14:paraId="1A610A1D">
                  <w:pPr>
                    <w:spacing w:before="68" w:line="240" w:lineRule="auto"/>
                    <w:ind w:left="0" w:leftChars="0" w:firstLine="0" w:firstLineChars="0"/>
                    <w:jc w:val="center"/>
                    <w:rPr>
                      <w:rFonts w:hint="default" w:ascii="Times New Roman" w:hAnsi="Times New Roman" w:eastAsia="宋体" w:cs="Times New Roman"/>
                      <w:color w:val="auto"/>
                      <w:spacing w:val="8"/>
                      <w:position w:val="7"/>
                      <w:sz w:val="21"/>
                      <w:szCs w:val="21"/>
                      <w:u w:val="none" w:color="auto"/>
                    </w:rPr>
                  </w:pPr>
                  <w:r>
                    <w:rPr>
                      <w:rFonts w:hint="default" w:ascii="Times New Roman" w:hAnsi="Times New Roman" w:eastAsia="宋体" w:cs="Times New Roman"/>
                      <w:color w:val="auto"/>
                      <w:spacing w:val="8"/>
                      <w:position w:val="7"/>
                      <w:sz w:val="21"/>
                      <w:szCs w:val="21"/>
                      <w:u w:val="none" w:color="auto"/>
                    </w:rPr>
                    <w:t>采样日期及检测结果</w:t>
                  </w:r>
                  <w:r>
                    <w:rPr>
                      <w:rFonts w:hint="eastAsia" w:cs="Times New Roman"/>
                      <w:color w:val="auto"/>
                      <w:spacing w:val="8"/>
                      <w:position w:val="7"/>
                      <w:sz w:val="21"/>
                      <w:szCs w:val="21"/>
                      <w:u w:val="none" w:color="auto"/>
                      <w:lang w:eastAsia="zh-CN"/>
                    </w:rPr>
                    <w:t>（</w:t>
                  </w:r>
                  <w:r>
                    <w:rPr>
                      <w:rFonts w:hint="default" w:ascii="Times New Roman" w:hAnsi="Times New Roman" w:eastAsia="宋体" w:cs="Times New Roman"/>
                      <w:color w:val="auto"/>
                      <w:spacing w:val="8"/>
                      <w:position w:val="7"/>
                      <w:sz w:val="21"/>
                      <w:szCs w:val="21"/>
                      <w:u w:val="none" w:color="auto"/>
                    </w:rPr>
                    <w:t>单位：mg/L</w:t>
                  </w:r>
                  <w:r>
                    <w:rPr>
                      <w:rFonts w:hint="eastAsia" w:ascii="Times New Roman" w:hAnsi="Times New Roman" w:eastAsia="宋体" w:cs="Times New Roman"/>
                      <w:color w:val="auto"/>
                      <w:spacing w:val="8"/>
                      <w:position w:val="7"/>
                      <w:sz w:val="21"/>
                      <w:szCs w:val="21"/>
                      <w:u w:val="none" w:color="auto"/>
                      <w:lang w:eastAsia="zh-CN"/>
                    </w:rPr>
                    <w:t>，</w:t>
                  </w:r>
                  <w:r>
                    <w:rPr>
                      <w:rFonts w:hint="default" w:ascii="Times New Roman" w:hAnsi="Times New Roman" w:eastAsia="宋体" w:cs="Times New Roman"/>
                      <w:color w:val="auto"/>
                      <w:spacing w:val="8"/>
                      <w:position w:val="7"/>
                      <w:sz w:val="21"/>
                      <w:szCs w:val="21"/>
                      <w:u w:val="none" w:color="auto"/>
                    </w:rPr>
                    <w:t>pH无量纲</w:t>
                  </w:r>
                  <w:r>
                    <w:rPr>
                      <w:rFonts w:hint="eastAsia" w:cs="Times New Roman"/>
                      <w:color w:val="auto"/>
                      <w:spacing w:val="8"/>
                      <w:position w:val="7"/>
                      <w:sz w:val="21"/>
                      <w:szCs w:val="21"/>
                      <w:u w:val="none" w:color="auto"/>
                      <w:lang w:eastAsia="zh-CN"/>
                    </w:rPr>
                    <w:t>）</w:t>
                  </w:r>
                </w:p>
              </w:tc>
              <w:tc>
                <w:tcPr>
                  <w:tcW w:w="1018" w:type="pct"/>
                  <w:vMerge w:val="restart"/>
                  <w:tcBorders>
                    <w:tl2br w:val="nil"/>
                    <w:tr2bl w:val="nil"/>
                  </w:tcBorders>
                  <w:vAlign w:val="center"/>
                </w:tcPr>
                <w:p w14:paraId="7A2B7DC1">
                  <w:pPr>
                    <w:spacing w:before="68" w:line="240" w:lineRule="auto"/>
                    <w:ind w:left="0" w:leftChars="0" w:firstLine="0" w:firstLineChars="0"/>
                    <w:jc w:val="center"/>
                    <w:rPr>
                      <w:rFonts w:hint="default" w:ascii="Times New Roman" w:hAnsi="Times New Roman" w:eastAsia="宋体" w:cs="Times New Roman"/>
                      <w:color w:val="auto"/>
                      <w:spacing w:val="8"/>
                      <w:position w:val="7"/>
                      <w:sz w:val="21"/>
                      <w:szCs w:val="21"/>
                      <w:u w:val="none" w:color="auto"/>
                    </w:rPr>
                  </w:pPr>
                  <w:r>
                    <w:rPr>
                      <w:rFonts w:hint="default" w:ascii="Times New Roman" w:hAnsi="Times New Roman" w:eastAsia="宋体" w:cs="Times New Roman"/>
                      <w:color w:val="auto"/>
                      <w:spacing w:val="8"/>
                      <w:position w:val="7"/>
                      <w:sz w:val="21"/>
                      <w:szCs w:val="21"/>
                      <w:u w:val="none" w:color="auto"/>
                    </w:rPr>
                    <w:t>标准限值</w:t>
                  </w:r>
                </w:p>
              </w:tc>
            </w:tr>
            <w:tr w14:paraId="2DDC89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724" w:type="pct"/>
                  <w:vMerge w:val="continue"/>
                  <w:tcBorders>
                    <w:tl2br w:val="nil"/>
                    <w:tr2bl w:val="nil"/>
                  </w:tcBorders>
                  <w:vAlign w:val="center"/>
                </w:tcPr>
                <w:p w14:paraId="7929116C">
                  <w:pPr>
                    <w:spacing w:before="68" w:line="240" w:lineRule="auto"/>
                    <w:ind w:left="0" w:leftChars="0" w:firstLine="0" w:firstLineChars="0"/>
                    <w:jc w:val="center"/>
                    <w:rPr>
                      <w:rFonts w:hint="default" w:ascii="Times New Roman" w:hAnsi="Times New Roman" w:eastAsia="宋体" w:cs="Times New Roman"/>
                      <w:color w:val="auto"/>
                      <w:spacing w:val="8"/>
                      <w:position w:val="7"/>
                      <w:sz w:val="21"/>
                      <w:szCs w:val="21"/>
                      <w:u w:val="none" w:color="auto"/>
                    </w:rPr>
                  </w:pPr>
                </w:p>
              </w:tc>
              <w:tc>
                <w:tcPr>
                  <w:tcW w:w="949" w:type="pct"/>
                  <w:vMerge w:val="continue"/>
                  <w:tcBorders>
                    <w:tl2br w:val="nil"/>
                    <w:tr2bl w:val="nil"/>
                  </w:tcBorders>
                  <w:vAlign w:val="center"/>
                </w:tcPr>
                <w:p w14:paraId="290ED05E">
                  <w:pPr>
                    <w:spacing w:before="68" w:line="240" w:lineRule="auto"/>
                    <w:ind w:left="0" w:leftChars="0" w:firstLine="0" w:firstLineChars="0"/>
                    <w:jc w:val="center"/>
                    <w:rPr>
                      <w:rFonts w:hint="default" w:ascii="Times New Roman" w:hAnsi="Times New Roman" w:eastAsia="宋体" w:cs="Times New Roman"/>
                      <w:color w:val="auto"/>
                      <w:spacing w:val="8"/>
                      <w:position w:val="7"/>
                      <w:sz w:val="21"/>
                      <w:szCs w:val="21"/>
                      <w:u w:val="none" w:color="auto"/>
                    </w:rPr>
                  </w:pPr>
                </w:p>
              </w:tc>
              <w:tc>
                <w:tcPr>
                  <w:tcW w:w="2307" w:type="pct"/>
                  <w:tcBorders>
                    <w:tl2br w:val="nil"/>
                    <w:tr2bl w:val="nil"/>
                  </w:tcBorders>
                  <w:vAlign w:val="center"/>
                </w:tcPr>
                <w:p w14:paraId="1F3DAE06">
                  <w:pPr>
                    <w:spacing w:before="68" w:line="240" w:lineRule="auto"/>
                    <w:ind w:left="0" w:leftChars="0" w:firstLine="0" w:firstLineChars="0"/>
                    <w:jc w:val="center"/>
                    <w:rPr>
                      <w:rFonts w:hint="default" w:ascii="Times New Roman" w:hAnsi="Times New Roman" w:eastAsia="宋体" w:cs="Times New Roman"/>
                      <w:color w:val="auto"/>
                      <w:spacing w:val="8"/>
                      <w:position w:val="7"/>
                      <w:sz w:val="21"/>
                      <w:szCs w:val="21"/>
                      <w:u w:val="none" w:color="auto"/>
                      <w:lang w:val="en-US" w:eastAsia="zh-CN"/>
                    </w:rPr>
                  </w:pPr>
                  <w:r>
                    <w:rPr>
                      <w:rFonts w:hint="eastAsia" w:cs="Times New Roman"/>
                      <w:color w:val="auto"/>
                      <w:spacing w:val="8"/>
                      <w:position w:val="7"/>
                      <w:sz w:val="21"/>
                      <w:szCs w:val="21"/>
                      <w:u w:val="none" w:color="auto"/>
                      <w:lang w:val="en-US" w:eastAsia="zh-CN"/>
                    </w:rPr>
                    <w:t>2024.11.28</w:t>
                  </w:r>
                </w:p>
              </w:tc>
              <w:tc>
                <w:tcPr>
                  <w:tcW w:w="1018" w:type="pct"/>
                  <w:vMerge w:val="continue"/>
                  <w:tcBorders>
                    <w:tl2br w:val="nil"/>
                    <w:tr2bl w:val="nil"/>
                  </w:tcBorders>
                  <w:vAlign w:val="center"/>
                </w:tcPr>
                <w:p w14:paraId="08BA5483">
                  <w:pPr>
                    <w:spacing w:before="68" w:line="240" w:lineRule="auto"/>
                    <w:ind w:left="0" w:leftChars="0" w:firstLine="0" w:firstLineChars="0"/>
                    <w:jc w:val="center"/>
                    <w:rPr>
                      <w:rFonts w:hint="default" w:ascii="Times New Roman" w:hAnsi="Times New Roman" w:eastAsia="宋体" w:cs="Times New Roman"/>
                      <w:color w:val="auto"/>
                      <w:spacing w:val="8"/>
                      <w:position w:val="7"/>
                      <w:sz w:val="21"/>
                      <w:szCs w:val="21"/>
                      <w:u w:val="none" w:color="auto"/>
                    </w:rPr>
                  </w:pPr>
                </w:p>
              </w:tc>
            </w:tr>
            <w:tr w14:paraId="3CC20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97" w:type="dxa"/>
                  <w:vMerge w:val="restart"/>
                  <w:tcBorders>
                    <w:tl2br w:val="nil"/>
                    <w:tr2bl w:val="nil"/>
                  </w:tcBorders>
                  <w:vAlign w:val="center"/>
                </w:tcPr>
                <w:p w14:paraId="5D0B5091">
                  <w:pPr>
                    <w:spacing w:before="68" w:line="240" w:lineRule="auto"/>
                    <w:ind w:left="0" w:leftChars="0" w:firstLine="0" w:firstLineChars="0"/>
                    <w:jc w:val="center"/>
                    <w:rPr>
                      <w:rFonts w:hint="eastAsia" w:ascii="Times New Roman" w:hAnsi="Times New Roman" w:eastAsia="宋体" w:cs="Times New Roman"/>
                      <w:color w:val="auto"/>
                      <w:spacing w:val="8"/>
                      <w:position w:val="7"/>
                      <w:sz w:val="21"/>
                      <w:szCs w:val="21"/>
                      <w:u w:val="none" w:color="auto"/>
                      <w:lang w:eastAsia="zh-CN"/>
                    </w:rPr>
                  </w:pPr>
                  <w:r>
                    <w:rPr>
                      <w:rFonts w:hint="eastAsia" w:cs="Times New Roman"/>
                      <w:color w:val="auto"/>
                      <w:spacing w:val="8"/>
                      <w:position w:val="7"/>
                      <w:sz w:val="21"/>
                      <w:szCs w:val="21"/>
                      <w:u w:val="none" w:color="auto"/>
                      <w:lang w:eastAsia="zh-CN"/>
                    </w:rPr>
                    <w:t>沉淀池出口</w:t>
                  </w:r>
                </w:p>
              </w:tc>
              <w:tc>
                <w:tcPr>
                  <w:tcW w:w="949" w:type="pct"/>
                  <w:tcBorders>
                    <w:tl2br w:val="nil"/>
                    <w:tr2bl w:val="nil"/>
                  </w:tcBorders>
                  <w:vAlign w:val="center"/>
                </w:tcPr>
                <w:p w14:paraId="6A9F65B5">
                  <w:pPr>
                    <w:spacing w:before="68" w:line="240" w:lineRule="auto"/>
                    <w:ind w:left="0" w:leftChars="0" w:firstLine="0" w:firstLineChars="0"/>
                    <w:jc w:val="center"/>
                    <w:rPr>
                      <w:rFonts w:hint="default" w:ascii="Times New Roman" w:hAnsi="Times New Roman" w:eastAsia="宋体" w:cs="Times New Roman"/>
                      <w:color w:val="auto"/>
                      <w:spacing w:val="8"/>
                      <w:position w:val="7"/>
                      <w:sz w:val="21"/>
                      <w:szCs w:val="21"/>
                      <w:u w:val="none" w:color="auto"/>
                    </w:rPr>
                  </w:pPr>
                  <w:r>
                    <w:rPr>
                      <w:rFonts w:hint="default" w:ascii="Times New Roman" w:hAnsi="Times New Roman" w:eastAsia="宋体" w:cs="Times New Roman"/>
                      <w:color w:val="auto"/>
                      <w:spacing w:val="8"/>
                      <w:position w:val="7"/>
                      <w:sz w:val="21"/>
                      <w:szCs w:val="21"/>
                      <w:u w:val="none" w:color="auto"/>
                    </w:rPr>
                    <w:t>PH</w:t>
                  </w:r>
                </w:p>
              </w:tc>
              <w:tc>
                <w:tcPr>
                  <w:tcW w:w="2307" w:type="pct"/>
                  <w:tcBorders>
                    <w:tl2br w:val="nil"/>
                    <w:tr2bl w:val="nil"/>
                  </w:tcBorders>
                  <w:vAlign w:val="center"/>
                </w:tcPr>
                <w:p w14:paraId="65C0D732">
                  <w:pPr>
                    <w:spacing w:before="68" w:line="240" w:lineRule="auto"/>
                    <w:ind w:left="0" w:leftChars="0" w:firstLine="0" w:firstLineChars="0"/>
                    <w:jc w:val="center"/>
                    <w:rPr>
                      <w:rFonts w:hint="default" w:ascii="Times New Roman" w:hAnsi="Times New Roman" w:eastAsia="宋体" w:cs="Times New Roman"/>
                      <w:color w:val="auto"/>
                      <w:spacing w:val="8"/>
                      <w:position w:val="7"/>
                      <w:sz w:val="21"/>
                      <w:szCs w:val="21"/>
                      <w:u w:val="none" w:color="auto"/>
                    </w:rPr>
                  </w:pPr>
                  <w:r>
                    <w:rPr>
                      <w:rFonts w:hint="default" w:ascii="Times New Roman" w:hAnsi="Times New Roman" w:eastAsia="宋体" w:cs="Times New Roman"/>
                      <w:color w:val="auto"/>
                      <w:spacing w:val="8"/>
                      <w:position w:val="7"/>
                      <w:sz w:val="21"/>
                      <w:szCs w:val="21"/>
                      <w:u w:val="none" w:color="auto"/>
                    </w:rPr>
                    <w:t>7.2</w:t>
                  </w:r>
                </w:p>
              </w:tc>
              <w:tc>
                <w:tcPr>
                  <w:tcW w:w="1018" w:type="pct"/>
                  <w:tcBorders>
                    <w:tl2br w:val="nil"/>
                    <w:tr2bl w:val="nil"/>
                  </w:tcBorders>
                  <w:vAlign w:val="center"/>
                </w:tcPr>
                <w:p w14:paraId="47839397">
                  <w:pPr>
                    <w:spacing w:before="68" w:line="240" w:lineRule="auto"/>
                    <w:ind w:left="0" w:leftChars="0" w:firstLine="0" w:firstLineChars="0"/>
                    <w:jc w:val="center"/>
                    <w:rPr>
                      <w:rFonts w:hint="default" w:ascii="Times New Roman" w:hAnsi="Times New Roman" w:eastAsia="宋体" w:cs="Times New Roman"/>
                      <w:color w:val="auto"/>
                      <w:spacing w:val="8"/>
                      <w:position w:val="7"/>
                      <w:sz w:val="21"/>
                      <w:szCs w:val="21"/>
                      <w:u w:val="none" w:color="auto"/>
                    </w:rPr>
                  </w:pPr>
                  <w:r>
                    <w:rPr>
                      <w:rFonts w:hint="default" w:ascii="Times New Roman" w:hAnsi="Times New Roman" w:eastAsia="宋体" w:cs="Times New Roman"/>
                      <w:color w:val="auto"/>
                      <w:spacing w:val="8"/>
                      <w:position w:val="7"/>
                      <w:sz w:val="21"/>
                      <w:szCs w:val="21"/>
                      <w:u w:val="none" w:color="auto"/>
                    </w:rPr>
                    <w:t>6</w:t>
                  </w:r>
                  <w:r>
                    <w:rPr>
                      <w:rFonts w:hint="eastAsia" w:cs="Times New Roman"/>
                      <w:color w:val="auto"/>
                      <w:spacing w:val="8"/>
                      <w:position w:val="7"/>
                      <w:sz w:val="21"/>
                      <w:szCs w:val="21"/>
                      <w:u w:val="none" w:color="auto"/>
                      <w:lang w:eastAsia="zh-CN"/>
                    </w:rPr>
                    <w:t>~</w:t>
                  </w:r>
                  <w:r>
                    <w:rPr>
                      <w:rFonts w:hint="default" w:ascii="Times New Roman" w:hAnsi="Times New Roman" w:eastAsia="宋体" w:cs="Times New Roman"/>
                      <w:color w:val="auto"/>
                      <w:spacing w:val="8"/>
                      <w:position w:val="7"/>
                      <w:sz w:val="21"/>
                      <w:szCs w:val="21"/>
                      <w:u w:val="none" w:color="auto"/>
                    </w:rPr>
                    <w:t>9</w:t>
                  </w:r>
                </w:p>
              </w:tc>
            </w:tr>
            <w:tr w14:paraId="77454A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24" w:type="pct"/>
                  <w:vMerge w:val="continue"/>
                  <w:tcBorders>
                    <w:tl2br w:val="nil"/>
                    <w:tr2bl w:val="nil"/>
                  </w:tcBorders>
                  <w:vAlign w:val="center"/>
                </w:tcPr>
                <w:p w14:paraId="3A190C7D">
                  <w:pPr>
                    <w:spacing w:before="68" w:line="240" w:lineRule="auto"/>
                    <w:ind w:left="0" w:leftChars="0" w:firstLine="0" w:firstLineChars="0"/>
                    <w:jc w:val="center"/>
                    <w:rPr>
                      <w:rFonts w:hint="default" w:ascii="Times New Roman" w:hAnsi="Times New Roman" w:eastAsia="宋体" w:cs="Times New Roman"/>
                      <w:color w:val="auto"/>
                      <w:spacing w:val="8"/>
                      <w:position w:val="7"/>
                      <w:sz w:val="21"/>
                      <w:szCs w:val="21"/>
                      <w:u w:val="none" w:color="auto"/>
                    </w:rPr>
                  </w:pPr>
                </w:p>
              </w:tc>
              <w:tc>
                <w:tcPr>
                  <w:tcW w:w="949" w:type="pct"/>
                  <w:tcBorders>
                    <w:tl2br w:val="nil"/>
                    <w:tr2bl w:val="nil"/>
                  </w:tcBorders>
                  <w:vAlign w:val="center"/>
                </w:tcPr>
                <w:p w14:paraId="3E45303E">
                  <w:pPr>
                    <w:spacing w:before="68" w:line="240" w:lineRule="auto"/>
                    <w:ind w:left="0" w:leftChars="0" w:firstLine="0" w:firstLineChars="0"/>
                    <w:jc w:val="center"/>
                    <w:rPr>
                      <w:rFonts w:hint="default" w:ascii="Times New Roman" w:hAnsi="Times New Roman" w:eastAsia="宋体" w:cs="Times New Roman"/>
                      <w:color w:val="auto"/>
                      <w:spacing w:val="8"/>
                      <w:position w:val="7"/>
                      <w:sz w:val="21"/>
                      <w:szCs w:val="21"/>
                      <w:u w:val="none" w:color="auto"/>
                    </w:rPr>
                  </w:pPr>
                  <w:r>
                    <w:rPr>
                      <w:rFonts w:hint="default" w:ascii="Times New Roman" w:hAnsi="Times New Roman" w:eastAsia="宋体" w:cs="Times New Roman"/>
                      <w:color w:val="auto"/>
                      <w:spacing w:val="8"/>
                      <w:position w:val="7"/>
                      <w:sz w:val="21"/>
                      <w:szCs w:val="21"/>
                      <w:u w:val="none" w:color="auto"/>
                    </w:rPr>
                    <w:t>SS</w:t>
                  </w:r>
                </w:p>
              </w:tc>
              <w:tc>
                <w:tcPr>
                  <w:tcW w:w="2307" w:type="pct"/>
                  <w:tcBorders>
                    <w:tl2br w:val="nil"/>
                    <w:tr2bl w:val="nil"/>
                  </w:tcBorders>
                  <w:vAlign w:val="center"/>
                </w:tcPr>
                <w:p w14:paraId="6DC3E8ED">
                  <w:pPr>
                    <w:spacing w:before="68" w:line="240" w:lineRule="auto"/>
                    <w:ind w:left="0" w:leftChars="0" w:firstLine="0" w:firstLineChars="0"/>
                    <w:jc w:val="center"/>
                    <w:rPr>
                      <w:rFonts w:hint="default" w:ascii="Times New Roman" w:hAnsi="Times New Roman" w:eastAsia="宋体" w:cs="Times New Roman"/>
                      <w:color w:val="auto"/>
                      <w:spacing w:val="8"/>
                      <w:position w:val="7"/>
                      <w:sz w:val="21"/>
                      <w:szCs w:val="21"/>
                      <w:u w:val="none" w:color="auto"/>
                      <w:lang w:val="en-US" w:eastAsia="zh-CN"/>
                    </w:rPr>
                  </w:pPr>
                  <w:r>
                    <w:rPr>
                      <w:rFonts w:hint="eastAsia" w:cs="Times New Roman"/>
                      <w:color w:val="auto"/>
                      <w:spacing w:val="8"/>
                      <w:position w:val="7"/>
                      <w:sz w:val="21"/>
                      <w:szCs w:val="21"/>
                      <w:u w:val="none" w:color="auto"/>
                      <w:lang w:val="en-US" w:eastAsia="zh-CN"/>
                    </w:rPr>
                    <w:t>38</w:t>
                  </w:r>
                </w:p>
              </w:tc>
              <w:tc>
                <w:tcPr>
                  <w:tcW w:w="1018" w:type="pct"/>
                  <w:tcBorders>
                    <w:tl2br w:val="nil"/>
                    <w:tr2bl w:val="nil"/>
                  </w:tcBorders>
                  <w:vAlign w:val="center"/>
                </w:tcPr>
                <w:p w14:paraId="03DC41D5">
                  <w:pPr>
                    <w:spacing w:before="68" w:line="240" w:lineRule="auto"/>
                    <w:ind w:left="0" w:leftChars="0" w:firstLine="0" w:firstLineChars="0"/>
                    <w:jc w:val="center"/>
                    <w:rPr>
                      <w:rFonts w:hint="default" w:ascii="Times New Roman" w:hAnsi="Times New Roman" w:eastAsia="宋体" w:cs="Times New Roman"/>
                      <w:color w:val="auto"/>
                      <w:spacing w:val="8"/>
                      <w:position w:val="7"/>
                      <w:sz w:val="21"/>
                      <w:szCs w:val="21"/>
                      <w:u w:val="none" w:color="auto"/>
                    </w:rPr>
                  </w:pPr>
                  <w:r>
                    <w:rPr>
                      <w:rFonts w:hint="default" w:ascii="Times New Roman" w:hAnsi="Times New Roman" w:eastAsia="宋体" w:cs="Times New Roman"/>
                      <w:color w:val="auto"/>
                      <w:spacing w:val="8"/>
                      <w:position w:val="7"/>
                      <w:sz w:val="21"/>
                      <w:szCs w:val="21"/>
                      <w:u w:val="none" w:color="auto"/>
                    </w:rPr>
                    <w:t>140</w:t>
                  </w:r>
                </w:p>
              </w:tc>
            </w:tr>
            <w:tr w14:paraId="2CABC4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24" w:type="pct"/>
                  <w:vMerge w:val="continue"/>
                  <w:tcBorders>
                    <w:tl2br w:val="nil"/>
                    <w:tr2bl w:val="nil"/>
                  </w:tcBorders>
                  <w:vAlign w:val="center"/>
                </w:tcPr>
                <w:p w14:paraId="7B02B61E">
                  <w:pPr>
                    <w:spacing w:before="68" w:line="240" w:lineRule="auto"/>
                    <w:ind w:left="0" w:leftChars="0" w:firstLine="0" w:firstLineChars="0"/>
                    <w:jc w:val="center"/>
                    <w:rPr>
                      <w:rFonts w:hint="default" w:ascii="Times New Roman" w:hAnsi="Times New Roman" w:eastAsia="宋体" w:cs="Times New Roman"/>
                      <w:color w:val="auto"/>
                      <w:spacing w:val="8"/>
                      <w:position w:val="7"/>
                      <w:sz w:val="21"/>
                      <w:szCs w:val="21"/>
                      <w:u w:val="none" w:color="auto"/>
                    </w:rPr>
                  </w:pPr>
                </w:p>
              </w:tc>
              <w:tc>
                <w:tcPr>
                  <w:tcW w:w="949" w:type="pct"/>
                  <w:tcBorders>
                    <w:tl2br w:val="nil"/>
                    <w:tr2bl w:val="nil"/>
                  </w:tcBorders>
                  <w:vAlign w:val="center"/>
                </w:tcPr>
                <w:p w14:paraId="57CC64AD">
                  <w:pPr>
                    <w:spacing w:before="68" w:line="240" w:lineRule="auto"/>
                    <w:ind w:left="0" w:leftChars="0" w:firstLine="0" w:firstLineChars="0"/>
                    <w:jc w:val="center"/>
                    <w:rPr>
                      <w:rFonts w:hint="default" w:ascii="Times New Roman" w:hAnsi="Times New Roman" w:eastAsia="宋体" w:cs="Times New Roman"/>
                      <w:color w:val="auto"/>
                      <w:spacing w:val="8"/>
                      <w:position w:val="7"/>
                      <w:sz w:val="21"/>
                      <w:szCs w:val="21"/>
                      <w:u w:val="none" w:color="auto"/>
                    </w:rPr>
                  </w:pPr>
                  <w:r>
                    <w:rPr>
                      <w:rFonts w:hint="default" w:ascii="Times New Roman" w:hAnsi="Times New Roman" w:eastAsia="宋体" w:cs="Times New Roman"/>
                      <w:color w:val="auto"/>
                      <w:spacing w:val="8"/>
                      <w:position w:val="7"/>
                      <w:sz w:val="21"/>
                      <w:szCs w:val="21"/>
                      <w:u w:val="none" w:color="auto"/>
                    </w:rPr>
                    <w:t>氨氮</w:t>
                  </w:r>
                </w:p>
              </w:tc>
              <w:tc>
                <w:tcPr>
                  <w:tcW w:w="2307" w:type="pct"/>
                  <w:tcBorders>
                    <w:tl2br w:val="nil"/>
                    <w:tr2bl w:val="nil"/>
                  </w:tcBorders>
                  <w:vAlign w:val="center"/>
                </w:tcPr>
                <w:p w14:paraId="4156DAD1">
                  <w:pPr>
                    <w:spacing w:before="68" w:line="240" w:lineRule="auto"/>
                    <w:ind w:left="0" w:leftChars="0" w:firstLine="0" w:firstLineChars="0"/>
                    <w:jc w:val="center"/>
                    <w:rPr>
                      <w:rFonts w:hint="default" w:ascii="Times New Roman" w:hAnsi="Times New Roman" w:eastAsia="宋体" w:cs="Times New Roman"/>
                      <w:color w:val="auto"/>
                      <w:spacing w:val="8"/>
                      <w:position w:val="7"/>
                      <w:sz w:val="21"/>
                      <w:szCs w:val="21"/>
                      <w:u w:val="none" w:color="auto"/>
                      <w:lang w:val="en-US" w:eastAsia="zh-CN"/>
                    </w:rPr>
                  </w:pPr>
                  <w:r>
                    <w:rPr>
                      <w:rFonts w:hint="eastAsia" w:cs="Times New Roman"/>
                      <w:color w:val="auto"/>
                      <w:spacing w:val="8"/>
                      <w:position w:val="7"/>
                      <w:sz w:val="21"/>
                      <w:szCs w:val="21"/>
                      <w:u w:val="none" w:color="auto"/>
                      <w:lang w:val="en-US" w:eastAsia="zh-CN"/>
                    </w:rPr>
                    <w:t>2.70</w:t>
                  </w:r>
                </w:p>
              </w:tc>
              <w:tc>
                <w:tcPr>
                  <w:tcW w:w="1018" w:type="pct"/>
                  <w:tcBorders>
                    <w:tl2br w:val="nil"/>
                    <w:tr2bl w:val="nil"/>
                  </w:tcBorders>
                  <w:vAlign w:val="center"/>
                </w:tcPr>
                <w:p w14:paraId="42AD87D5">
                  <w:pPr>
                    <w:spacing w:before="68" w:line="240" w:lineRule="auto"/>
                    <w:ind w:left="0" w:leftChars="0" w:firstLine="0" w:firstLineChars="0"/>
                    <w:jc w:val="center"/>
                    <w:rPr>
                      <w:rFonts w:hint="default" w:ascii="Times New Roman" w:hAnsi="Times New Roman" w:eastAsia="宋体" w:cs="Times New Roman"/>
                      <w:color w:val="auto"/>
                      <w:spacing w:val="8"/>
                      <w:position w:val="7"/>
                      <w:sz w:val="21"/>
                      <w:szCs w:val="21"/>
                      <w:u w:val="none" w:color="auto"/>
                    </w:rPr>
                  </w:pPr>
                  <w:r>
                    <w:rPr>
                      <w:rFonts w:hint="default" w:ascii="Times New Roman" w:hAnsi="Times New Roman" w:eastAsia="宋体" w:cs="Times New Roman"/>
                      <w:color w:val="auto"/>
                      <w:spacing w:val="8"/>
                      <w:position w:val="7"/>
                      <w:sz w:val="21"/>
                      <w:szCs w:val="21"/>
                      <w:u w:val="none" w:color="auto"/>
                    </w:rPr>
                    <w:t>30</w:t>
                  </w:r>
                </w:p>
              </w:tc>
            </w:tr>
            <w:tr w14:paraId="2DAB86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24" w:type="pct"/>
                  <w:vMerge w:val="continue"/>
                  <w:tcBorders>
                    <w:tl2br w:val="nil"/>
                    <w:tr2bl w:val="nil"/>
                  </w:tcBorders>
                  <w:vAlign w:val="center"/>
                </w:tcPr>
                <w:p w14:paraId="3A74ECEC">
                  <w:pPr>
                    <w:spacing w:before="68" w:line="240" w:lineRule="auto"/>
                    <w:ind w:left="0" w:leftChars="0" w:firstLine="0" w:firstLineChars="0"/>
                    <w:jc w:val="center"/>
                    <w:rPr>
                      <w:rFonts w:hint="default" w:ascii="Times New Roman" w:hAnsi="Times New Roman" w:eastAsia="宋体" w:cs="Times New Roman"/>
                      <w:color w:val="auto"/>
                      <w:spacing w:val="8"/>
                      <w:position w:val="7"/>
                      <w:sz w:val="21"/>
                      <w:szCs w:val="21"/>
                      <w:u w:val="none" w:color="auto"/>
                    </w:rPr>
                  </w:pPr>
                </w:p>
              </w:tc>
              <w:tc>
                <w:tcPr>
                  <w:tcW w:w="949" w:type="pct"/>
                  <w:tcBorders>
                    <w:tl2br w:val="nil"/>
                    <w:tr2bl w:val="nil"/>
                  </w:tcBorders>
                  <w:vAlign w:val="center"/>
                </w:tcPr>
                <w:p w14:paraId="4CF501D5">
                  <w:pPr>
                    <w:spacing w:before="68" w:line="240" w:lineRule="auto"/>
                    <w:ind w:left="0" w:leftChars="0" w:firstLine="0" w:firstLineChars="0"/>
                    <w:jc w:val="center"/>
                    <w:rPr>
                      <w:rFonts w:hint="default" w:ascii="Times New Roman" w:hAnsi="Times New Roman" w:eastAsia="宋体" w:cs="Times New Roman"/>
                      <w:color w:val="auto"/>
                      <w:spacing w:val="8"/>
                      <w:position w:val="7"/>
                      <w:sz w:val="21"/>
                      <w:szCs w:val="21"/>
                      <w:u w:val="none" w:color="auto"/>
                    </w:rPr>
                  </w:pPr>
                  <w:r>
                    <w:rPr>
                      <w:rFonts w:hint="default" w:ascii="Times New Roman" w:hAnsi="Times New Roman" w:eastAsia="宋体" w:cs="Times New Roman"/>
                      <w:color w:val="auto"/>
                      <w:spacing w:val="8"/>
                      <w:position w:val="7"/>
                      <w:sz w:val="21"/>
                      <w:szCs w:val="21"/>
                      <w:u w:val="none" w:color="auto"/>
                    </w:rPr>
                    <w:t>CODcr</w:t>
                  </w:r>
                </w:p>
              </w:tc>
              <w:tc>
                <w:tcPr>
                  <w:tcW w:w="2307" w:type="pct"/>
                  <w:tcBorders>
                    <w:tl2br w:val="nil"/>
                    <w:tr2bl w:val="nil"/>
                  </w:tcBorders>
                  <w:vAlign w:val="center"/>
                </w:tcPr>
                <w:p w14:paraId="179ACFDE">
                  <w:pPr>
                    <w:spacing w:before="68" w:line="240" w:lineRule="auto"/>
                    <w:ind w:left="0" w:leftChars="0" w:firstLine="0" w:firstLineChars="0"/>
                    <w:jc w:val="center"/>
                    <w:rPr>
                      <w:rFonts w:hint="default" w:ascii="Times New Roman" w:hAnsi="Times New Roman" w:eastAsia="宋体" w:cs="Times New Roman"/>
                      <w:color w:val="auto"/>
                      <w:spacing w:val="8"/>
                      <w:position w:val="7"/>
                      <w:sz w:val="21"/>
                      <w:szCs w:val="21"/>
                      <w:u w:val="none" w:color="auto"/>
                      <w:lang w:val="en-US" w:eastAsia="zh-CN"/>
                    </w:rPr>
                  </w:pPr>
                  <w:r>
                    <w:rPr>
                      <w:rFonts w:hint="eastAsia" w:cs="Times New Roman"/>
                      <w:color w:val="auto"/>
                      <w:spacing w:val="8"/>
                      <w:position w:val="7"/>
                      <w:sz w:val="21"/>
                      <w:szCs w:val="21"/>
                      <w:u w:val="none" w:color="auto"/>
                      <w:lang w:val="en-US" w:eastAsia="zh-CN"/>
                    </w:rPr>
                    <w:t>44</w:t>
                  </w:r>
                </w:p>
              </w:tc>
              <w:tc>
                <w:tcPr>
                  <w:tcW w:w="1018" w:type="pct"/>
                  <w:tcBorders>
                    <w:tl2br w:val="nil"/>
                    <w:tr2bl w:val="nil"/>
                  </w:tcBorders>
                  <w:vAlign w:val="center"/>
                </w:tcPr>
                <w:p w14:paraId="67215028">
                  <w:pPr>
                    <w:spacing w:before="68" w:line="240" w:lineRule="auto"/>
                    <w:ind w:left="0" w:leftChars="0" w:firstLine="0" w:firstLineChars="0"/>
                    <w:jc w:val="center"/>
                    <w:rPr>
                      <w:rFonts w:hint="default" w:ascii="Times New Roman" w:hAnsi="Times New Roman" w:eastAsia="宋体" w:cs="Times New Roman"/>
                      <w:color w:val="auto"/>
                      <w:spacing w:val="8"/>
                      <w:position w:val="7"/>
                      <w:sz w:val="21"/>
                      <w:szCs w:val="21"/>
                      <w:u w:val="none" w:color="auto"/>
                    </w:rPr>
                  </w:pPr>
                  <w:r>
                    <w:rPr>
                      <w:rFonts w:hint="default" w:ascii="Times New Roman" w:hAnsi="Times New Roman" w:eastAsia="宋体" w:cs="Times New Roman"/>
                      <w:color w:val="auto"/>
                      <w:spacing w:val="8"/>
                      <w:position w:val="7"/>
                      <w:sz w:val="21"/>
                      <w:szCs w:val="21"/>
                      <w:u w:val="none" w:color="auto"/>
                    </w:rPr>
                    <w:t>150</w:t>
                  </w:r>
                </w:p>
              </w:tc>
            </w:tr>
            <w:tr w14:paraId="44F428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24" w:type="pct"/>
                  <w:vMerge w:val="continue"/>
                  <w:tcBorders>
                    <w:tl2br w:val="nil"/>
                    <w:tr2bl w:val="nil"/>
                  </w:tcBorders>
                  <w:vAlign w:val="center"/>
                </w:tcPr>
                <w:p w14:paraId="60875315">
                  <w:pPr>
                    <w:spacing w:before="68" w:line="240" w:lineRule="auto"/>
                    <w:ind w:left="0" w:leftChars="0" w:firstLine="0" w:firstLineChars="0"/>
                    <w:jc w:val="center"/>
                    <w:rPr>
                      <w:rFonts w:hint="default" w:ascii="Times New Roman" w:hAnsi="Times New Roman" w:eastAsia="宋体" w:cs="Times New Roman"/>
                      <w:color w:val="auto"/>
                      <w:spacing w:val="8"/>
                      <w:position w:val="7"/>
                      <w:sz w:val="21"/>
                      <w:szCs w:val="21"/>
                      <w:u w:val="none" w:color="auto"/>
                    </w:rPr>
                  </w:pPr>
                </w:p>
              </w:tc>
              <w:tc>
                <w:tcPr>
                  <w:tcW w:w="949" w:type="pct"/>
                  <w:tcBorders>
                    <w:tl2br w:val="nil"/>
                    <w:tr2bl w:val="nil"/>
                  </w:tcBorders>
                  <w:vAlign w:val="center"/>
                </w:tcPr>
                <w:p w14:paraId="4AA6EAA1">
                  <w:pPr>
                    <w:spacing w:before="68" w:line="240" w:lineRule="auto"/>
                    <w:ind w:left="0" w:leftChars="0" w:firstLine="0" w:firstLineChars="0"/>
                    <w:jc w:val="center"/>
                    <w:rPr>
                      <w:rFonts w:hint="default" w:ascii="Times New Roman" w:hAnsi="Times New Roman" w:eastAsia="宋体" w:cs="Times New Roman"/>
                      <w:color w:val="auto"/>
                      <w:spacing w:val="8"/>
                      <w:position w:val="7"/>
                      <w:sz w:val="21"/>
                      <w:szCs w:val="21"/>
                      <w:u w:val="none" w:color="auto"/>
                    </w:rPr>
                  </w:pPr>
                  <w:r>
                    <w:rPr>
                      <w:rFonts w:hint="default" w:ascii="Times New Roman" w:hAnsi="Times New Roman" w:eastAsia="宋体" w:cs="Times New Roman"/>
                      <w:color w:val="auto"/>
                      <w:spacing w:val="8"/>
                      <w:position w:val="7"/>
                      <w:sz w:val="21"/>
                      <w:szCs w:val="21"/>
                      <w:u w:val="none" w:color="auto"/>
                    </w:rPr>
                    <w:t>总钴</w:t>
                  </w:r>
                </w:p>
              </w:tc>
              <w:tc>
                <w:tcPr>
                  <w:tcW w:w="2307" w:type="pct"/>
                  <w:tcBorders>
                    <w:tl2br w:val="nil"/>
                    <w:tr2bl w:val="nil"/>
                  </w:tcBorders>
                  <w:vAlign w:val="center"/>
                </w:tcPr>
                <w:p w14:paraId="05DD696D">
                  <w:pPr>
                    <w:spacing w:before="68" w:line="240" w:lineRule="auto"/>
                    <w:ind w:left="0" w:leftChars="0" w:firstLine="0" w:firstLineChars="0"/>
                    <w:jc w:val="center"/>
                    <w:rPr>
                      <w:rFonts w:hint="default" w:ascii="Times New Roman" w:hAnsi="Times New Roman" w:eastAsia="宋体" w:cs="Times New Roman"/>
                      <w:color w:val="auto"/>
                      <w:spacing w:val="8"/>
                      <w:position w:val="7"/>
                      <w:sz w:val="21"/>
                      <w:szCs w:val="21"/>
                      <w:u w:val="none" w:color="auto"/>
                      <w:lang w:val="en-US" w:eastAsia="zh-CN"/>
                    </w:rPr>
                  </w:pPr>
                  <w:r>
                    <w:rPr>
                      <w:rFonts w:hint="eastAsia" w:cs="Times New Roman"/>
                      <w:color w:val="auto"/>
                      <w:spacing w:val="8"/>
                      <w:position w:val="7"/>
                      <w:sz w:val="21"/>
                      <w:szCs w:val="21"/>
                      <w:u w:val="none" w:color="auto"/>
                      <w:lang w:val="en-US" w:eastAsia="zh-CN"/>
                    </w:rPr>
                    <w:t>0.0121</w:t>
                  </w:r>
                </w:p>
              </w:tc>
              <w:tc>
                <w:tcPr>
                  <w:tcW w:w="1018" w:type="pct"/>
                  <w:tcBorders>
                    <w:tl2br w:val="nil"/>
                    <w:tr2bl w:val="nil"/>
                  </w:tcBorders>
                  <w:vAlign w:val="center"/>
                </w:tcPr>
                <w:p w14:paraId="28C269F7">
                  <w:pPr>
                    <w:spacing w:before="68" w:line="240" w:lineRule="auto"/>
                    <w:ind w:left="0" w:leftChars="0" w:firstLine="0" w:firstLineChars="0"/>
                    <w:jc w:val="center"/>
                    <w:rPr>
                      <w:rFonts w:hint="default" w:ascii="Times New Roman" w:hAnsi="Times New Roman" w:eastAsia="宋体" w:cs="Times New Roman"/>
                      <w:color w:val="auto"/>
                      <w:spacing w:val="8"/>
                      <w:position w:val="7"/>
                      <w:sz w:val="21"/>
                      <w:szCs w:val="21"/>
                      <w:u w:val="none" w:color="auto"/>
                    </w:rPr>
                  </w:pPr>
                  <w:r>
                    <w:rPr>
                      <w:rFonts w:hint="default" w:ascii="Times New Roman" w:hAnsi="Times New Roman" w:eastAsia="宋体" w:cs="Times New Roman"/>
                      <w:color w:val="auto"/>
                      <w:spacing w:val="8"/>
                      <w:position w:val="7"/>
                      <w:sz w:val="21"/>
                      <w:szCs w:val="21"/>
                      <w:u w:val="none" w:color="auto"/>
                    </w:rPr>
                    <w:t>0.1</w:t>
                  </w:r>
                </w:p>
              </w:tc>
            </w:tr>
            <w:tr w14:paraId="75E6E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24" w:type="pct"/>
                  <w:vMerge w:val="continue"/>
                  <w:tcBorders>
                    <w:tl2br w:val="nil"/>
                    <w:tr2bl w:val="nil"/>
                  </w:tcBorders>
                  <w:vAlign w:val="center"/>
                </w:tcPr>
                <w:p w14:paraId="78F1B98D">
                  <w:pPr>
                    <w:spacing w:before="68" w:line="240" w:lineRule="auto"/>
                    <w:ind w:left="0" w:leftChars="0" w:firstLine="0" w:firstLineChars="0"/>
                    <w:jc w:val="center"/>
                    <w:rPr>
                      <w:rFonts w:hint="default" w:ascii="Times New Roman" w:hAnsi="Times New Roman" w:eastAsia="宋体" w:cs="Times New Roman"/>
                      <w:color w:val="auto"/>
                      <w:spacing w:val="8"/>
                      <w:position w:val="7"/>
                      <w:sz w:val="21"/>
                      <w:szCs w:val="21"/>
                      <w:u w:val="none" w:color="auto"/>
                    </w:rPr>
                  </w:pPr>
                </w:p>
              </w:tc>
              <w:tc>
                <w:tcPr>
                  <w:tcW w:w="949" w:type="pct"/>
                  <w:tcBorders>
                    <w:tl2br w:val="nil"/>
                    <w:tr2bl w:val="nil"/>
                  </w:tcBorders>
                  <w:vAlign w:val="center"/>
                </w:tcPr>
                <w:p w14:paraId="3864C08C">
                  <w:pPr>
                    <w:spacing w:before="68" w:line="240" w:lineRule="auto"/>
                    <w:ind w:left="0" w:leftChars="0" w:firstLine="0" w:firstLineChars="0"/>
                    <w:jc w:val="center"/>
                    <w:rPr>
                      <w:rFonts w:hint="eastAsia" w:ascii="Times New Roman" w:hAnsi="Times New Roman" w:eastAsia="宋体" w:cs="Times New Roman"/>
                      <w:color w:val="auto"/>
                      <w:spacing w:val="8"/>
                      <w:position w:val="7"/>
                      <w:sz w:val="21"/>
                      <w:szCs w:val="21"/>
                      <w:u w:val="none" w:color="auto"/>
                      <w:lang w:eastAsia="zh-CN"/>
                    </w:rPr>
                  </w:pPr>
                  <w:r>
                    <w:rPr>
                      <w:rFonts w:hint="default" w:ascii="Times New Roman" w:hAnsi="Times New Roman" w:eastAsia="宋体" w:cs="Times New Roman"/>
                      <w:color w:val="auto"/>
                      <w:spacing w:val="8"/>
                      <w:position w:val="7"/>
                      <w:sz w:val="21"/>
                      <w:szCs w:val="21"/>
                      <w:u w:val="none" w:color="auto"/>
                    </w:rPr>
                    <w:t>总</w:t>
                  </w:r>
                  <w:r>
                    <w:rPr>
                      <w:rFonts w:hint="eastAsia" w:cs="Times New Roman"/>
                      <w:color w:val="auto"/>
                      <w:spacing w:val="8"/>
                      <w:position w:val="7"/>
                      <w:sz w:val="21"/>
                      <w:szCs w:val="21"/>
                      <w:u w:val="none" w:color="auto"/>
                      <w:lang w:eastAsia="zh-CN"/>
                    </w:rPr>
                    <w:t>镍</w:t>
                  </w:r>
                </w:p>
              </w:tc>
              <w:tc>
                <w:tcPr>
                  <w:tcW w:w="2307" w:type="pct"/>
                  <w:tcBorders>
                    <w:tl2br w:val="nil"/>
                    <w:tr2bl w:val="nil"/>
                  </w:tcBorders>
                  <w:vAlign w:val="center"/>
                </w:tcPr>
                <w:p w14:paraId="74C9385A">
                  <w:pPr>
                    <w:spacing w:before="68" w:line="240" w:lineRule="auto"/>
                    <w:ind w:left="0" w:leftChars="0" w:firstLine="0" w:firstLineChars="0"/>
                    <w:jc w:val="center"/>
                    <w:rPr>
                      <w:rFonts w:hint="default" w:ascii="Times New Roman" w:hAnsi="Times New Roman" w:eastAsia="宋体" w:cs="Times New Roman"/>
                      <w:color w:val="auto"/>
                      <w:spacing w:val="8"/>
                      <w:position w:val="7"/>
                      <w:sz w:val="21"/>
                      <w:szCs w:val="21"/>
                      <w:u w:val="none" w:color="auto"/>
                      <w:lang w:val="en-US" w:eastAsia="zh-CN"/>
                    </w:rPr>
                  </w:pPr>
                  <w:r>
                    <w:rPr>
                      <w:rFonts w:hint="eastAsia" w:cs="Times New Roman"/>
                      <w:color w:val="auto"/>
                      <w:spacing w:val="8"/>
                      <w:position w:val="7"/>
                      <w:sz w:val="21"/>
                      <w:szCs w:val="21"/>
                      <w:u w:val="none" w:color="auto"/>
                      <w:lang w:val="en-US" w:eastAsia="zh-CN"/>
                    </w:rPr>
                    <w:t>0.0306</w:t>
                  </w:r>
                </w:p>
              </w:tc>
              <w:tc>
                <w:tcPr>
                  <w:tcW w:w="1018" w:type="pct"/>
                  <w:tcBorders>
                    <w:tl2br w:val="nil"/>
                    <w:tr2bl w:val="nil"/>
                  </w:tcBorders>
                  <w:vAlign w:val="center"/>
                </w:tcPr>
                <w:p w14:paraId="019366EF">
                  <w:pPr>
                    <w:spacing w:before="68" w:line="240" w:lineRule="auto"/>
                    <w:ind w:left="0" w:leftChars="0" w:firstLine="0" w:firstLineChars="0"/>
                    <w:jc w:val="center"/>
                    <w:rPr>
                      <w:rFonts w:hint="default" w:ascii="Times New Roman" w:hAnsi="Times New Roman" w:eastAsia="宋体" w:cs="Times New Roman"/>
                      <w:color w:val="auto"/>
                      <w:spacing w:val="8"/>
                      <w:position w:val="7"/>
                      <w:sz w:val="21"/>
                      <w:szCs w:val="21"/>
                      <w:u w:val="none" w:color="auto"/>
                      <w:lang w:val="en-US" w:eastAsia="zh-CN"/>
                    </w:rPr>
                  </w:pPr>
                  <w:r>
                    <w:rPr>
                      <w:rFonts w:hint="eastAsia" w:cs="Times New Roman"/>
                      <w:color w:val="auto"/>
                      <w:spacing w:val="8"/>
                      <w:position w:val="7"/>
                      <w:sz w:val="21"/>
                      <w:szCs w:val="21"/>
                      <w:u w:val="none" w:color="auto"/>
                      <w:lang w:val="en-US" w:eastAsia="zh-CN"/>
                    </w:rPr>
                    <w:t>/</w:t>
                  </w:r>
                </w:p>
              </w:tc>
            </w:tr>
          </w:tbl>
          <w:p w14:paraId="754D25DB">
            <w:pPr>
              <w:bidi w:val="0"/>
              <w:spacing w:line="240" w:lineRule="auto"/>
              <w:ind w:left="0" w:leftChars="0" w:firstLine="0" w:firstLineChars="0"/>
              <w:jc w:val="center"/>
              <w:rPr>
                <w:rFonts w:hint="eastAsia"/>
                <w:b/>
                <w:bCs/>
                <w:color w:val="auto"/>
                <w:sz w:val="21"/>
                <w:szCs w:val="21"/>
                <w:u w:val="none" w:color="auto"/>
              </w:rPr>
            </w:pPr>
            <w:r>
              <w:rPr>
                <w:rFonts w:hint="eastAsia"/>
                <w:b/>
                <w:bCs/>
                <w:color w:val="auto"/>
                <w:sz w:val="21"/>
                <w:szCs w:val="21"/>
                <w:u w:val="none" w:color="auto"/>
              </w:rPr>
              <w:t>表4-</w:t>
            </w:r>
            <w:r>
              <w:rPr>
                <w:rFonts w:hint="eastAsia"/>
                <w:b/>
                <w:bCs/>
                <w:color w:val="auto"/>
                <w:sz w:val="21"/>
                <w:szCs w:val="21"/>
                <w:u w:val="none" w:color="auto"/>
                <w:lang w:val="en-US" w:eastAsia="zh-CN"/>
              </w:rPr>
              <w:t>6</w:t>
            </w:r>
            <w:r>
              <w:rPr>
                <w:rFonts w:hint="eastAsia"/>
                <w:b/>
                <w:bCs/>
                <w:color w:val="auto"/>
                <w:sz w:val="21"/>
                <w:szCs w:val="21"/>
                <w:u w:val="none" w:color="auto"/>
              </w:rPr>
              <w:t xml:space="preserve">   本项目废水产生、消减及排放情况</w:t>
            </w:r>
          </w:p>
          <w:tbl>
            <w:tblPr>
              <w:tblStyle w:val="28"/>
              <w:tblW w:w="499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1"/>
              <w:gridCol w:w="600"/>
              <w:gridCol w:w="738"/>
              <w:gridCol w:w="564"/>
              <w:gridCol w:w="705"/>
              <w:gridCol w:w="705"/>
              <w:gridCol w:w="965"/>
              <w:gridCol w:w="1320"/>
              <w:gridCol w:w="570"/>
              <w:gridCol w:w="930"/>
              <w:gridCol w:w="795"/>
            </w:tblGrid>
            <w:tr w14:paraId="25099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9" w:hRule="atLeast"/>
              </w:trPr>
              <w:tc>
                <w:tcPr>
                  <w:tcW w:w="218" w:type="pct"/>
                  <w:vMerge w:val="restart"/>
                  <w:tcBorders>
                    <w:tl2br w:val="nil"/>
                    <w:tr2bl w:val="nil"/>
                  </w:tcBorders>
                  <w:noWrap/>
                  <w:vAlign w:val="center"/>
                </w:tcPr>
                <w:p w14:paraId="26BF6AEA">
                  <w:pPr>
                    <w:spacing w:line="240" w:lineRule="auto"/>
                    <w:ind w:firstLine="0" w:firstLineChars="0"/>
                    <w:jc w:val="center"/>
                    <w:rPr>
                      <w:rFonts w:hint="eastAsia" w:ascii="Times New Roman" w:hAnsi="Times New Roman" w:eastAsia="宋体" w:cs="Times New Roman"/>
                      <w:color w:val="auto"/>
                      <w:kern w:val="0"/>
                      <w:sz w:val="21"/>
                      <w:szCs w:val="21"/>
                      <w:u w:val="none" w:color="auto"/>
                    </w:rPr>
                  </w:pPr>
                  <w:r>
                    <w:rPr>
                      <w:rFonts w:hint="eastAsia" w:ascii="Times New Roman" w:hAnsi="Times New Roman" w:eastAsia="宋体" w:cs="Times New Roman"/>
                      <w:color w:val="auto"/>
                      <w:kern w:val="0"/>
                      <w:sz w:val="21"/>
                      <w:szCs w:val="21"/>
                      <w:u w:val="none" w:color="auto"/>
                    </w:rPr>
                    <w:t>序号</w:t>
                  </w:r>
                </w:p>
              </w:tc>
              <w:tc>
                <w:tcPr>
                  <w:tcW w:w="363" w:type="pct"/>
                  <w:vMerge w:val="restart"/>
                  <w:tcBorders>
                    <w:tl2br w:val="nil"/>
                    <w:tr2bl w:val="nil"/>
                  </w:tcBorders>
                  <w:noWrap/>
                  <w:vAlign w:val="center"/>
                </w:tcPr>
                <w:p w14:paraId="7A05A4AF">
                  <w:pPr>
                    <w:spacing w:line="240" w:lineRule="auto"/>
                    <w:ind w:firstLine="0" w:firstLineChars="0"/>
                    <w:jc w:val="center"/>
                    <w:rPr>
                      <w:rFonts w:hint="eastAsia" w:ascii="Times New Roman" w:hAnsi="Times New Roman" w:eastAsia="宋体" w:cs="Times New Roman"/>
                      <w:color w:val="auto"/>
                      <w:kern w:val="0"/>
                      <w:sz w:val="21"/>
                      <w:szCs w:val="21"/>
                      <w:u w:val="none" w:color="auto"/>
                    </w:rPr>
                  </w:pPr>
                  <w:r>
                    <w:rPr>
                      <w:rFonts w:hint="eastAsia" w:ascii="Times New Roman" w:hAnsi="Times New Roman" w:eastAsia="宋体" w:cs="Times New Roman"/>
                      <w:color w:val="auto"/>
                      <w:kern w:val="0"/>
                      <w:sz w:val="21"/>
                      <w:szCs w:val="21"/>
                      <w:u w:val="none" w:color="auto"/>
                    </w:rPr>
                    <w:t>产排污环节</w:t>
                  </w:r>
                </w:p>
              </w:tc>
              <w:tc>
                <w:tcPr>
                  <w:tcW w:w="447" w:type="pct"/>
                  <w:vMerge w:val="restart"/>
                  <w:tcBorders>
                    <w:tl2br w:val="nil"/>
                    <w:tr2bl w:val="nil"/>
                  </w:tcBorders>
                  <w:noWrap/>
                  <w:vAlign w:val="center"/>
                </w:tcPr>
                <w:p w14:paraId="77304758">
                  <w:pPr>
                    <w:spacing w:line="240" w:lineRule="auto"/>
                    <w:ind w:firstLine="0" w:firstLineChars="0"/>
                    <w:jc w:val="center"/>
                    <w:rPr>
                      <w:rFonts w:hint="eastAsia" w:ascii="Times New Roman" w:hAnsi="Times New Roman" w:eastAsia="宋体" w:cs="Times New Roman"/>
                      <w:color w:val="auto"/>
                      <w:kern w:val="0"/>
                      <w:sz w:val="21"/>
                      <w:szCs w:val="21"/>
                      <w:u w:val="none" w:color="auto"/>
                    </w:rPr>
                  </w:pPr>
                  <w:r>
                    <w:rPr>
                      <w:rFonts w:hint="eastAsia" w:ascii="Times New Roman" w:hAnsi="Times New Roman" w:eastAsia="宋体" w:cs="Times New Roman"/>
                      <w:color w:val="auto"/>
                      <w:kern w:val="0"/>
                      <w:sz w:val="21"/>
                      <w:szCs w:val="21"/>
                      <w:u w:val="none" w:color="auto"/>
                    </w:rPr>
                    <w:t>污染物种类</w:t>
                  </w:r>
                </w:p>
              </w:tc>
              <w:tc>
                <w:tcPr>
                  <w:tcW w:w="341" w:type="pct"/>
                  <w:vMerge w:val="restart"/>
                  <w:tcBorders>
                    <w:tl2br w:val="nil"/>
                    <w:tr2bl w:val="nil"/>
                  </w:tcBorders>
                  <w:noWrap/>
                  <w:vAlign w:val="center"/>
                </w:tcPr>
                <w:p w14:paraId="08B3F61D">
                  <w:pPr>
                    <w:spacing w:line="240" w:lineRule="auto"/>
                    <w:ind w:firstLine="0" w:firstLineChars="0"/>
                    <w:jc w:val="center"/>
                    <w:rPr>
                      <w:rFonts w:hint="eastAsia" w:ascii="Times New Roman" w:hAnsi="Times New Roman" w:eastAsia="宋体" w:cs="Times New Roman"/>
                      <w:color w:val="auto"/>
                      <w:kern w:val="0"/>
                      <w:sz w:val="21"/>
                      <w:szCs w:val="21"/>
                      <w:u w:val="none" w:color="auto"/>
                    </w:rPr>
                  </w:pPr>
                  <w:r>
                    <w:rPr>
                      <w:rFonts w:hint="eastAsia" w:ascii="Times New Roman" w:hAnsi="Times New Roman" w:eastAsia="宋体" w:cs="Times New Roman"/>
                      <w:color w:val="auto"/>
                      <w:kern w:val="0"/>
                      <w:sz w:val="21"/>
                      <w:szCs w:val="21"/>
                      <w:u w:val="none" w:color="auto"/>
                    </w:rPr>
                    <w:t>排放形式</w:t>
                  </w:r>
                </w:p>
              </w:tc>
              <w:tc>
                <w:tcPr>
                  <w:tcW w:w="1438" w:type="pct"/>
                  <w:gridSpan w:val="3"/>
                  <w:tcBorders>
                    <w:tl2br w:val="nil"/>
                    <w:tr2bl w:val="nil"/>
                  </w:tcBorders>
                  <w:noWrap/>
                  <w:vAlign w:val="center"/>
                </w:tcPr>
                <w:p w14:paraId="57D48F7F">
                  <w:pPr>
                    <w:spacing w:line="240" w:lineRule="auto"/>
                    <w:ind w:firstLine="0" w:firstLineChars="0"/>
                    <w:jc w:val="center"/>
                    <w:rPr>
                      <w:rFonts w:hint="eastAsia" w:ascii="Times New Roman" w:hAnsi="Times New Roman" w:eastAsia="宋体" w:cs="Times New Roman"/>
                      <w:color w:val="auto"/>
                      <w:kern w:val="0"/>
                      <w:sz w:val="21"/>
                      <w:szCs w:val="21"/>
                      <w:u w:val="none" w:color="auto"/>
                    </w:rPr>
                  </w:pPr>
                  <w:r>
                    <w:rPr>
                      <w:rFonts w:hint="eastAsia" w:ascii="Times New Roman" w:hAnsi="Times New Roman" w:eastAsia="宋体" w:cs="Times New Roman"/>
                      <w:color w:val="auto"/>
                      <w:kern w:val="0"/>
                      <w:sz w:val="21"/>
                      <w:szCs w:val="21"/>
                      <w:u w:val="none" w:color="auto"/>
                    </w:rPr>
                    <w:t>污染物排放情况</w:t>
                  </w:r>
                </w:p>
              </w:tc>
              <w:tc>
                <w:tcPr>
                  <w:tcW w:w="2190" w:type="pct"/>
                  <w:gridSpan w:val="4"/>
                  <w:tcBorders>
                    <w:tl2br w:val="nil"/>
                    <w:tr2bl w:val="nil"/>
                  </w:tcBorders>
                  <w:noWrap/>
                  <w:vAlign w:val="center"/>
                </w:tcPr>
                <w:p w14:paraId="22EA9DBE">
                  <w:pPr>
                    <w:spacing w:line="240" w:lineRule="auto"/>
                    <w:ind w:firstLine="0" w:firstLineChars="0"/>
                    <w:jc w:val="center"/>
                    <w:rPr>
                      <w:rFonts w:hint="eastAsia" w:ascii="Times New Roman" w:hAnsi="Times New Roman" w:eastAsia="宋体" w:cs="Times New Roman"/>
                      <w:color w:val="auto"/>
                      <w:kern w:val="0"/>
                      <w:sz w:val="21"/>
                      <w:szCs w:val="21"/>
                      <w:u w:val="none" w:color="auto"/>
                    </w:rPr>
                  </w:pPr>
                  <w:r>
                    <w:rPr>
                      <w:rFonts w:hint="eastAsia" w:ascii="Times New Roman" w:hAnsi="Times New Roman" w:eastAsia="宋体" w:cs="Times New Roman"/>
                      <w:color w:val="auto"/>
                      <w:kern w:val="0"/>
                      <w:sz w:val="21"/>
                      <w:szCs w:val="21"/>
                      <w:u w:val="none" w:color="auto"/>
                    </w:rPr>
                    <w:t>治理设施情况</w:t>
                  </w:r>
                </w:p>
              </w:tc>
            </w:tr>
            <w:tr w14:paraId="30251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9" w:hRule="atLeast"/>
              </w:trPr>
              <w:tc>
                <w:tcPr>
                  <w:tcW w:w="218" w:type="pct"/>
                  <w:vMerge w:val="continue"/>
                  <w:tcBorders>
                    <w:tl2br w:val="nil"/>
                    <w:tr2bl w:val="nil"/>
                  </w:tcBorders>
                  <w:noWrap/>
                  <w:vAlign w:val="center"/>
                </w:tcPr>
                <w:p w14:paraId="2E1375C0">
                  <w:pPr>
                    <w:spacing w:line="240" w:lineRule="auto"/>
                    <w:ind w:firstLine="0" w:firstLineChars="0"/>
                    <w:jc w:val="center"/>
                    <w:rPr>
                      <w:rFonts w:hint="eastAsia" w:ascii="Times New Roman" w:hAnsi="Times New Roman" w:eastAsia="宋体" w:cs="Times New Roman"/>
                      <w:color w:val="auto"/>
                      <w:kern w:val="0"/>
                      <w:sz w:val="21"/>
                      <w:szCs w:val="21"/>
                      <w:u w:val="none" w:color="auto"/>
                    </w:rPr>
                  </w:pPr>
                </w:p>
              </w:tc>
              <w:tc>
                <w:tcPr>
                  <w:tcW w:w="363" w:type="pct"/>
                  <w:vMerge w:val="continue"/>
                  <w:tcBorders>
                    <w:tl2br w:val="nil"/>
                    <w:tr2bl w:val="nil"/>
                  </w:tcBorders>
                  <w:noWrap/>
                  <w:vAlign w:val="center"/>
                </w:tcPr>
                <w:p w14:paraId="696C53A5">
                  <w:pPr>
                    <w:spacing w:line="240" w:lineRule="auto"/>
                    <w:ind w:firstLine="0" w:firstLineChars="0"/>
                    <w:jc w:val="center"/>
                    <w:rPr>
                      <w:rFonts w:hint="eastAsia" w:ascii="Times New Roman" w:hAnsi="Times New Roman" w:eastAsia="宋体" w:cs="Times New Roman"/>
                      <w:color w:val="auto"/>
                      <w:kern w:val="0"/>
                      <w:sz w:val="21"/>
                      <w:szCs w:val="21"/>
                      <w:u w:val="none" w:color="auto"/>
                    </w:rPr>
                  </w:pPr>
                </w:p>
              </w:tc>
              <w:tc>
                <w:tcPr>
                  <w:tcW w:w="447" w:type="pct"/>
                  <w:vMerge w:val="continue"/>
                  <w:tcBorders>
                    <w:tl2br w:val="nil"/>
                    <w:tr2bl w:val="nil"/>
                  </w:tcBorders>
                  <w:noWrap/>
                  <w:vAlign w:val="center"/>
                </w:tcPr>
                <w:p w14:paraId="71B41B14">
                  <w:pPr>
                    <w:spacing w:line="240" w:lineRule="auto"/>
                    <w:ind w:firstLine="0" w:firstLineChars="0"/>
                    <w:jc w:val="center"/>
                    <w:rPr>
                      <w:rFonts w:hint="eastAsia" w:ascii="Times New Roman" w:hAnsi="Times New Roman" w:eastAsia="宋体" w:cs="Times New Roman"/>
                      <w:color w:val="auto"/>
                      <w:kern w:val="0"/>
                      <w:sz w:val="21"/>
                      <w:szCs w:val="21"/>
                      <w:u w:val="none" w:color="auto"/>
                    </w:rPr>
                  </w:pPr>
                </w:p>
              </w:tc>
              <w:tc>
                <w:tcPr>
                  <w:tcW w:w="341" w:type="pct"/>
                  <w:vMerge w:val="continue"/>
                  <w:tcBorders>
                    <w:tl2br w:val="nil"/>
                    <w:tr2bl w:val="nil"/>
                  </w:tcBorders>
                  <w:noWrap w:val="0"/>
                  <w:vAlign w:val="center"/>
                </w:tcPr>
                <w:p w14:paraId="2CE9742E">
                  <w:pPr>
                    <w:spacing w:line="240" w:lineRule="auto"/>
                    <w:ind w:firstLine="0" w:firstLineChars="0"/>
                    <w:jc w:val="center"/>
                    <w:rPr>
                      <w:rFonts w:hint="eastAsia" w:ascii="Times New Roman" w:hAnsi="Times New Roman" w:eastAsia="宋体" w:cs="Times New Roman"/>
                      <w:color w:val="auto"/>
                      <w:kern w:val="0"/>
                      <w:sz w:val="21"/>
                      <w:szCs w:val="21"/>
                      <w:u w:val="none" w:color="auto"/>
                    </w:rPr>
                  </w:pPr>
                </w:p>
              </w:tc>
              <w:tc>
                <w:tcPr>
                  <w:tcW w:w="427" w:type="pct"/>
                  <w:tcBorders>
                    <w:tl2br w:val="nil"/>
                    <w:tr2bl w:val="nil"/>
                  </w:tcBorders>
                  <w:noWrap/>
                  <w:vAlign w:val="center"/>
                </w:tcPr>
                <w:p w14:paraId="16BFEF6C">
                  <w:pPr>
                    <w:spacing w:line="240" w:lineRule="auto"/>
                    <w:ind w:firstLine="0" w:firstLineChars="0"/>
                    <w:jc w:val="center"/>
                    <w:rPr>
                      <w:rFonts w:hint="eastAsia" w:ascii="Times New Roman" w:hAnsi="Times New Roman" w:eastAsia="宋体" w:cs="Times New Roman"/>
                      <w:color w:val="auto"/>
                      <w:kern w:val="0"/>
                      <w:sz w:val="21"/>
                      <w:szCs w:val="21"/>
                      <w:u w:val="none" w:color="auto"/>
                    </w:rPr>
                  </w:pPr>
                  <w:r>
                    <w:rPr>
                      <w:rFonts w:hint="eastAsia" w:ascii="Times New Roman" w:hAnsi="Times New Roman" w:eastAsia="宋体" w:cs="Times New Roman"/>
                      <w:color w:val="auto"/>
                      <w:kern w:val="0"/>
                      <w:sz w:val="21"/>
                      <w:szCs w:val="21"/>
                      <w:u w:val="none" w:color="auto"/>
                    </w:rPr>
                    <w:t>废水排放量t/a</w:t>
                  </w:r>
                </w:p>
              </w:tc>
              <w:tc>
                <w:tcPr>
                  <w:tcW w:w="427" w:type="pct"/>
                  <w:tcBorders>
                    <w:tl2br w:val="nil"/>
                    <w:tr2bl w:val="nil"/>
                  </w:tcBorders>
                  <w:noWrap/>
                  <w:vAlign w:val="center"/>
                </w:tcPr>
                <w:p w14:paraId="4441E08A">
                  <w:pPr>
                    <w:spacing w:line="240" w:lineRule="auto"/>
                    <w:ind w:firstLine="0" w:firstLineChars="0"/>
                    <w:jc w:val="center"/>
                    <w:rPr>
                      <w:rFonts w:hint="eastAsia" w:ascii="Times New Roman" w:hAnsi="Times New Roman" w:eastAsia="宋体" w:cs="Times New Roman"/>
                      <w:color w:val="auto"/>
                      <w:kern w:val="0"/>
                      <w:sz w:val="21"/>
                      <w:szCs w:val="21"/>
                      <w:u w:val="none" w:color="auto"/>
                    </w:rPr>
                  </w:pPr>
                  <w:r>
                    <w:rPr>
                      <w:rFonts w:hint="eastAsia" w:ascii="Times New Roman" w:hAnsi="Times New Roman" w:eastAsia="宋体" w:cs="Times New Roman"/>
                      <w:color w:val="auto"/>
                      <w:kern w:val="0"/>
                      <w:sz w:val="21"/>
                      <w:szCs w:val="21"/>
                      <w:u w:val="none" w:color="auto"/>
                    </w:rPr>
                    <w:t>污染物排放量t/a</w:t>
                  </w:r>
                </w:p>
              </w:tc>
              <w:tc>
                <w:tcPr>
                  <w:tcW w:w="584" w:type="pct"/>
                  <w:tcBorders>
                    <w:tl2br w:val="nil"/>
                    <w:tr2bl w:val="nil"/>
                  </w:tcBorders>
                  <w:noWrap/>
                  <w:vAlign w:val="center"/>
                </w:tcPr>
                <w:p w14:paraId="150437B7">
                  <w:pPr>
                    <w:spacing w:line="240" w:lineRule="auto"/>
                    <w:ind w:firstLine="0" w:firstLineChars="0"/>
                    <w:jc w:val="center"/>
                    <w:rPr>
                      <w:rFonts w:hint="eastAsia" w:ascii="Times New Roman" w:hAnsi="Times New Roman" w:eastAsia="宋体" w:cs="Times New Roman"/>
                      <w:color w:val="auto"/>
                      <w:kern w:val="0"/>
                      <w:sz w:val="21"/>
                      <w:szCs w:val="21"/>
                      <w:u w:val="none" w:color="auto"/>
                    </w:rPr>
                  </w:pPr>
                  <w:r>
                    <w:rPr>
                      <w:rFonts w:hint="eastAsia" w:ascii="Times New Roman" w:hAnsi="Times New Roman" w:eastAsia="宋体" w:cs="Times New Roman"/>
                      <w:color w:val="auto"/>
                      <w:kern w:val="0"/>
                      <w:sz w:val="21"/>
                      <w:szCs w:val="21"/>
                      <w:u w:val="none" w:color="auto"/>
                    </w:rPr>
                    <w:t>排放浓度mg/m</w:t>
                  </w:r>
                  <w:r>
                    <w:rPr>
                      <w:rFonts w:hint="eastAsia" w:ascii="Times New Roman" w:hAnsi="Times New Roman" w:eastAsia="宋体" w:cs="Times New Roman"/>
                      <w:color w:val="auto"/>
                      <w:kern w:val="0"/>
                      <w:sz w:val="21"/>
                      <w:szCs w:val="21"/>
                      <w:u w:val="none" w:color="auto"/>
                      <w:vertAlign w:val="superscript"/>
                    </w:rPr>
                    <w:t>3</w:t>
                  </w:r>
                </w:p>
              </w:tc>
              <w:tc>
                <w:tcPr>
                  <w:tcW w:w="799" w:type="pct"/>
                  <w:tcBorders>
                    <w:tl2br w:val="nil"/>
                    <w:tr2bl w:val="nil"/>
                  </w:tcBorders>
                  <w:noWrap/>
                  <w:vAlign w:val="center"/>
                </w:tcPr>
                <w:p w14:paraId="65E94580">
                  <w:pPr>
                    <w:spacing w:line="240" w:lineRule="auto"/>
                    <w:ind w:firstLine="0" w:firstLineChars="0"/>
                    <w:jc w:val="center"/>
                    <w:rPr>
                      <w:rFonts w:hint="eastAsia" w:ascii="Times New Roman" w:hAnsi="Times New Roman" w:eastAsia="宋体" w:cs="Times New Roman"/>
                      <w:color w:val="auto"/>
                      <w:kern w:val="0"/>
                      <w:sz w:val="21"/>
                      <w:szCs w:val="21"/>
                      <w:u w:val="none" w:color="auto"/>
                    </w:rPr>
                  </w:pPr>
                  <w:r>
                    <w:rPr>
                      <w:rFonts w:hint="eastAsia" w:ascii="Times New Roman" w:hAnsi="Times New Roman" w:eastAsia="宋体" w:cs="Times New Roman"/>
                      <w:color w:val="auto"/>
                      <w:kern w:val="0"/>
                      <w:sz w:val="21"/>
                      <w:szCs w:val="21"/>
                      <w:u w:val="none" w:color="auto"/>
                    </w:rPr>
                    <w:t>治理设施</w:t>
                  </w:r>
                </w:p>
              </w:tc>
              <w:tc>
                <w:tcPr>
                  <w:tcW w:w="345" w:type="pct"/>
                  <w:tcBorders>
                    <w:tl2br w:val="nil"/>
                    <w:tr2bl w:val="nil"/>
                  </w:tcBorders>
                  <w:noWrap/>
                  <w:vAlign w:val="center"/>
                </w:tcPr>
                <w:p w14:paraId="403ABA6A">
                  <w:pPr>
                    <w:spacing w:line="240" w:lineRule="auto"/>
                    <w:ind w:firstLine="0" w:firstLineChars="0"/>
                    <w:jc w:val="center"/>
                    <w:rPr>
                      <w:rFonts w:hint="eastAsia" w:ascii="Times New Roman" w:hAnsi="Times New Roman" w:eastAsia="宋体" w:cs="Times New Roman"/>
                      <w:color w:val="auto"/>
                      <w:kern w:val="0"/>
                      <w:sz w:val="21"/>
                      <w:szCs w:val="21"/>
                      <w:u w:val="none" w:color="auto"/>
                    </w:rPr>
                  </w:pPr>
                  <w:r>
                    <w:rPr>
                      <w:rFonts w:hint="eastAsia" w:ascii="Times New Roman" w:hAnsi="Times New Roman" w:eastAsia="宋体" w:cs="Times New Roman"/>
                      <w:color w:val="auto"/>
                      <w:kern w:val="0"/>
                      <w:sz w:val="21"/>
                      <w:szCs w:val="21"/>
                      <w:u w:val="none" w:color="auto"/>
                    </w:rPr>
                    <w:t>收集效率</w:t>
                  </w:r>
                </w:p>
              </w:tc>
              <w:tc>
                <w:tcPr>
                  <w:tcW w:w="563" w:type="pct"/>
                  <w:tcBorders>
                    <w:tl2br w:val="nil"/>
                    <w:tr2bl w:val="nil"/>
                  </w:tcBorders>
                  <w:noWrap/>
                  <w:vAlign w:val="center"/>
                </w:tcPr>
                <w:p w14:paraId="618453A8">
                  <w:pPr>
                    <w:spacing w:line="240" w:lineRule="auto"/>
                    <w:ind w:firstLine="0" w:firstLineChars="0"/>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rPr>
                    <w:t>治理工艺去除率</w:t>
                  </w:r>
                  <w:r>
                    <w:rPr>
                      <w:rFonts w:hint="eastAsia" w:ascii="Times New Roman" w:hAnsi="Times New Roman" w:eastAsia="宋体" w:cs="Times New Roman"/>
                      <w:color w:val="auto"/>
                      <w:kern w:val="0"/>
                      <w:sz w:val="21"/>
                      <w:szCs w:val="21"/>
                      <w:u w:val="none" w:color="auto"/>
                      <w:lang w:val="en-US" w:eastAsia="zh-CN"/>
                    </w:rPr>
                    <w:t>%</w:t>
                  </w:r>
                </w:p>
              </w:tc>
              <w:tc>
                <w:tcPr>
                  <w:tcW w:w="481" w:type="pct"/>
                  <w:tcBorders>
                    <w:tl2br w:val="nil"/>
                    <w:tr2bl w:val="nil"/>
                  </w:tcBorders>
                  <w:noWrap/>
                  <w:vAlign w:val="center"/>
                </w:tcPr>
                <w:p w14:paraId="2E8E7704">
                  <w:pPr>
                    <w:spacing w:line="240" w:lineRule="auto"/>
                    <w:ind w:firstLine="0" w:firstLineChars="0"/>
                    <w:jc w:val="center"/>
                    <w:rPr>
                      <w:rFonts w:hint="eastAsia" w:ascii="Times New Roman" w:hAnsi="Times New Roman" w:eastAsia="宋体" w:cs="Times New Roman"/>
                      <w:color w:val="auto"/>
                      <w:kern w:val="0"/>
                      <w:sz w:val="21"/>
                      <w:szCs w:val="21"/>
                      <w:u w:val="none" w:color="auto"/>
                    </w:rPr>
                  </w:pPr>
                  <w:r>
                    <w:rPr>
                      <w:rFonts w:hint="eastAsia" w:ascii="Times New Roman" w:hAnsi="Times New Roman" w:eastAsia="宋体" w:cs="Times New Roman"/>
                      <w:color w:val="auto"/>
                      <w:kern w:val="0"/>
                      <w:sz w:val="21"/>
                      <w:szCs w:val="21"/>
                      <w:u w:val="none" w:color="auto"/>
                    </w:rPr>
                    <w:t>是否为可行技术</w:t>
                  </w:r>
                </w:p>
              </w:tc>
            </w:tr>
            <w:tr w14:paraId="55850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18" w:type="pct"/>
                  <w:vMerge w:val="restart"/>
                  <w:tcBorders>
                    <w:tl2br w:val="nil"/>
                    <w:tr2bl w:val="nil"/>
                  </w:tcBorders>
                  <w:noWrap/>
                  <w:vAlign w:val="center"/>
                </w:tcPr>
                <w:p w14:paraId="3E950395">
                  <w:pPr>
                    <w:spacing w:line="240" w:lineRule="auto"/>
                    <w:ind w:firstLine="0" w:firstLineChars="0"/>
                    <w:jc w:val="center"/>
                    <w:rPr>
                      <w:rFonts w:hint="eastAsia" w:ascii="Times New Roman" w:hAnsi="Times New Roman" w:eastAsia="宋体" w:cs="Times New Roman"/>
                      <w:color w:val="auto"/>
                      <w:kern w:val="0"/>
                      <w:sz w:val="21"/>
                      <w:szCs w:val="21"/>
                      <w:u w:val="none" w:color="auto"/>
                    </w:rPr>
                  </w:pPr>
                  <w:r>
                    <w:rPr>
                      <w:rFonts w:hint="eastAsia" w:ascii="Times New Roman" w:hAnsi="Times New Roman" w:eastAsia="宋体" w:cs="Times New Roman"/>
                      <w:color w:val="auto"/>
                      <w:kern w:val="0"/>
                      <w:sz w:val="21"/>
                      <w:szCs w:val="21"/>
                      <w:u w:val="none" w:color="auto"/>
                    </w:rPr>
                    <w:t>1</w:t>
                  </w:r>
                </w:p>
              </w:tc>
              <w:tc>
                <w:tcPr>
                  <w:tcW w:w="363" w:type="pct"/>
                  <w:vMerge w:val="restart"/>
                  <w:tcBorders>
                    <w:tl2br w:val="nil"/>
                    <w:tr2bl w:val="nil"/>
                  </w:tcBorders>
                  <w:noWrap/>
                  <w:vAlign w:val="center"/>
                </w:tcPr>
                <w:p w14:paraId="2D01086B">
                  <w:pPr>
                    <w:spacing w:line="240" w:lineRule="auto"/>
                    <w:ind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生产</w:t>
                  </w:r>
                  <w:r>
                    <w:rPr>
                      <w:rFonts w:hint="eastAsia" w:ascii="Times New Roman" w:hAnsi="Times New Roman" w:eastAsia="宋体" w:cs="Times New Roman"/>
                      <w:color w:val="auto"/>
                      <w:kern w:val="0"/>
                      <w:sz w:val="21"/>
                      <w:szCs w:val="21"/>
                      <w:u w:val="none" w:color="auto"/>
                      <w:lang w:val="en-US" w:eastAsia="zh-CN"/>
                    </w:rPr>
                    <w:t>废水</w:t>
                  </w:r>
                </w:p>
              </w:tc>
              <w:tc>
                <w:tcPr>
                  <w:tcW w:w="447" w:type="pct"/>
                  <w:tcBorders>
                    <w:tl2br w:val="nil"/>
                    <w:tr2bl w:val="nil"/>
                  </w:tcBorders>
                  <w:noWrap/>
                  <w:vAlign w:val="center"/>
                </w:tcPr>
                <w:p w14:paraId="3C6B7C8C">
                  <w:pPr>
                    <w:spacing w:line="240" w:lineRule="auto"/>
                    <w:ind w:firstLine="0" w:firstLineChars="0"/>
                    <w:jc w:val="center"/>
                    <w:rPr>
                      <w:rFonts w:hint="eastAsia" w:ascii="Times New Roman" w:hAnsi="Times New Roman" w:eastAsia="宋体" w:cs="Times New Roman"/>
                      <w:color w:val="auto"/>
                      <w:kern w:val="0"/>
                      <w:sz w:val="21"/>
                      <w:szCs w:val="21"/>
                      <w:u w:val="none" w:color="auto"/>
                    </w:rPr>
                  </w:pPr>
                  <w:r>
                    <w:rPr>
                      <w:rFonts w:hint="eastAsia" w:ascii="Times New Roman" w:hAnsi="Times New Roman" w:eastAsia="宋体" w:cs="Times New Roman"/>
                      <w:color w:val="auto"/>
                      <w:kern w:val="0"/>
                      <w:sz w:val="21"/>
                      <w:szCs w:val="21"/>
                      <w:u w:val="none" w:color="auto"/>
                    </w:rPr>
                    <w:t>COD</w:t>
                  </w:r>
                </w:p>
              </w:tc>
              <w:tc>
                <w:tcPr>
                  <w:tcW w:w="341" w:type="pct"/>
                  <w:vMerge w:val="restart"/>
                  <w:tcBorders>
                    <w:tl2br w:val="nil"/>
                    <w:tr2bl w:val="nil"/>
                  </w:tcBorders>
                  <w:noWrap/>
                  <w:vAlign w:val="center"/>
                </w:tcPr>
                <w:p w14:paraId="799581FE">
                  <w:pPr>
                    <w:spacing w:line="240" w:lineRule="auto"/>
                    <w:ind w:firstLine="0" w:firstLineChars="0"/>
                    <w:jc w:val="center"/>
                    <w:rPr>
                      <w:rFonts w:hint="eastAsia" w:ascii="Times New Roman" w:hAnsi="Times New Roman" w:eastAsia="宋体" w:cs="Times New Roman"/>
                      <w:color w:val="auto"/>
                      <w:kern w:val="0"/>
                      <w:sz w:val="21"/>
                      <w:szCs w:val="21"/>
                      <w:u w:val="none" w:color="auto"/>
                    </w:rPr>
                  </w:pPr>
                  <w:r>
                    <w:rPr>
                      <w:rFonts w:hint="eastAsia" w:ascii="Times New Roman" w:hAnsi="Times New Roman" w:eastAsia="宋体" w:cs="Times New Roman"/>
                      <w:color w:val="auto"/>
                      <w:kern w:val="0"/>
                      <w:sz w:val="21"/>
                      <w:szCs w:val="21"/>
                      <w:u w:val="none" w:color="auto"/>
                      <w:lang w:eastAsia="zh-CN"/>
                    </w:rPr>
                    <w:t>间接</w:t>
                  </w:r>
                  <w:r>
                    <w:rPr>
                      <w:rFonts w:hint="eastAsia" w:ascii="Times New Roman" w:hAnsi="Times New Roman" w:eastAsia="宋体" w:cs="Times New Roman"/>
                      <w:color w:val="auto"/>
                      <w:kern w:val="0"/>
                      <w:sz w:val="21"/>
                      <w:szCs w:val="21"/>
                      <w:u w:val="none" w:color="auto"/>
                    </w:rPr>
                    <w:t>排放</w:t>
                  </w:r>
                </w:p>
              </w:tc>
              <w:tc>
                <w:tcPr>
                  <w:tcW w:w="427" w:type="pct"/>
                  <w:vMerge w:val="restart"/>
                  <w:tcBorders>
                    <w:tl2br w:val="nil"/>
                    <w:tr2bl w:val="nil"/>
                  </w:tcBorders>
                  <w:noWrap/>
                  <w:vAlign w:val="center"/>
                </w:tcPr>
                <w:p w14:paraId="04A97834">
                  <w:pPr>
                    <w:spacing w:line="240" w:lineRule="auto"/>
                    <w:ind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331.8</w:t>
                  </w:r>
                </w:p>
              </w:tc>
              <w:tc>
                <w:tcPr>
                  <w:tcW w:w="427" w:type="pct"/>
                  <w:tcBorders>
                    <w:tl2br w:val="nil"/>
                    <w:tr2bl w:val="nil"/>
                  </w:tcBorders>
                  <w:noWrap/>
                  <w:vAlign w:val="center"/>
                </w:tcPr>
                <w:p w14:paraId="45D1458C">
                  <w:pPr>
                    <w:spacing w:line="240" w:lineRule="auto"/>
                    <w:ind w:firstLine="0" w:firstLineChars="0"/>
                    <w:jc w:val="center"/>
                    <w:rPr>
                      <w:rFonts w:hint="default" w:ascii="Times New Roman" w:hAnsi="Times New Roman" w:eastAsia="宋体" w:cs="Times New Roman"/>
                      <w:color w:val="auto"/>
                      <w:kern w:val="0"/>
                      <w:sz w:val="21"/>
                      <w:szCs w:val="21"/>
                      <w:u w:val="none" w:color="auto"/>
                      <w:lang w:val="en-US"/>
                    </w:rPr>
                  </w:pPr>
                  <w:r>
                    <w:rPr>
                      <w:rFonts w:hint="eastAsia" w:cs="Times New Roman"/>
                      <w:color w:val="auto"/>
                      <w:kern w:val="0"/>
                      <w:sz w:val="21"/>
                      <w:szCs w:val="21"/>
                      <w:u w:val="none" w:color="auto"/>
                      <w:lang w:val="en-US" w:eastAsia="zh-CN"/>
                    </w:rPr>
                    <w:t>0.0146</w:t>
                  </w:r>
                </w:p>
              </w:tc>
              <w:tc>
                <w:tcPr>
                  <w:tcW w:w="584" w:type="pct"/>
                  <w:tcBorders>
                    <w:tl2br w:val="nil"/>
                    <w:tr2bl w:val="nil"/>
                  </w:tcBorders>
                  <w:noWrap/>
                  <w:vAlign w:val="center"/>
                </w:tcPr>
                <w:p w14:paraId="753FA557">
                  <w:pPr>
                    <w:spacing w:line="240" w:lineRule="auto"/>
                    <w:ind w:firstLine="0" w:firstLineChars="0"/>
                    <w:jc w:val="center"/>
                    <w:rPr>
                      <w:rFonts w:hint="default" w:ascii="Times New Roman" w:hAnsi="Times New Roman" w:eastAsia="宋体" w:cs="Times New Roman"/>
                      <w:color w:val="auto"/>
                      <w:kern w:val="0"/>
                      <w:sz w:val="21"/>
                      <w:szCs w:val="21"/>
                      <w:u w:val="none" w:color="auto"/>
                      <w:lang w:val="en-US"/>
                    </w:rPr>
                  </w:pPr>
                  <w:r>
                    <w:rPr>
                      <w:rFonts w:hint="eastAsia" w:cs="Times New Roman"/>
                      <w:color w:val="auto"/>
                      <w:kern w:val="0"/>
                      <w:sz w:val="21"/>
                      <w:szCs w:val="21"/>
                      <w:u w:val="none" w:color="auto"/>
                      <w:lang w:val="en-US" w:eastAsia="zh-CN"/>
                    </w:rPr>
                    <w:t>44</w:t>
                  </w:r>
                </w:p>
              </w:tc>
              <w:tc>
                <w:tcPr>
                  <w:tcW w:w="799" w:type="pct"/>
                  <w:vMerge w:val="restart"/>
                  <w:tcBorders>
                    <w:tl2br w:val="nil"/>
                    <w:tr2bl w:val="nil"/>
                  </w:tcBorders>
                  <w:noWrap/>
                  <w:vAlign w:val="center"/>
                </w:tcPr>
                <w:p w14:paraId="7074C337">
                  <w:pPr>
                    <w:spacing w:line="240" w:lineRule="auto"/>
                    <w:ind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生产废水经</w:t>
                  </w:r>
                  <w:r>
                    <w:rPr>
                      <w:rFonts w:hint="eastAsia" w:cs="Times New Roman"/>
                      <w:color w:val="auto"/>
                      <w:kern w:val="0"/>
                      <w:sz w:val="21"/>
                      <w:szCs w:val="21"/>
                      <w:u w:val="none" w:color="auto"/>
                      <w:lang w:val="en-US" w:eastAsia="zh-CN"/>
                    </w:rPr>
                    <w:t>化学混凝</w:t>
                  </w:r>
                  <w:r>
                    <w:rPr>
                      <w:rFonts w:hint="eastAsia" w:ascii="Times New Roman" w:hAnsi="Times New Roman" w:eastAsia="宋体" w:cs="Times New Roman"/>
                      <w:color w:val="auto"/>
                      <w:kern w:val="0"/>
                      <w:sz w:val="21"/>
                      <w:szCs w:val="21"/>
                      <w:u w:val="none" w:color="auto"/>
                      <w:lang w:val="en-US" w:eastAsia="zh-CN"/>
                    </w:rPr>
                    <w:t>沉淀池预处理</w:t>
                  </w:r>
                </w:p>
              </w:tc>
              <w:tc>
                <w:tcPr>
                  <w:tcW w:w="345" w:type="pct"/>
                  <w:vMerge w:val="restart"/>
                  <w:tcBorders>
                    <w:tl2br w:val="nil"/>
                    <w:tr2bl w:val="nil"/>
                  </w:tcBorders>
                  <w:noWrap/>
                  <w:vAlign w:val="center"/>
                </w:tcPr>
                <w:p w14:paraId="6613D0E0">
                  <w:pPr>
                    <w:spacing w:line="240" w:lineRule="auto"/>
                    <w:ind w:firstLine="0" w:firstLineChars="0"/>
                    <w:jc w:val="center"/>
                    <w:rPr>
                      <w:rFonts w:hint="eastAsia" w:ascii="Times New Roman" w:hAnsi="Times New Roman" w:eastAsia="宋体" w:cs="Times New Roman"/>
                      <w:color w:val="auto"/>
                      <w:kern w:val="0"/>
                      <w:sz w:val="21"/>
                      <w:szCs w:val="21"/>
                      <w:u w:val="none" w:color="auto"/>
                    </w:rPr>
                  </w:pPr>
                  <w:r>
                    <w:rPr>
                      <w:rFonts w:hint="eastAsia" w:ascii="Times New Roman" w:hAnsi="Times New Roman" w:eastAsia="宋体" w:cs="Times New Roman"/>
                      <w:color w:val="auto"/>
                      <w:kern w:val="0"/>
                      <w:sz w:val="21"/>
                      <w:szCs w:val="21"/>
                      <w:u w:val="none" w:color="auto"/>
                    </w:rPr>
                    <w:t>100%</w:t>
                  </w:r>
                </w:p>
              </w:tc>
              <w:tc>
                <w:tcPr>
                  <w:tcW w:w="563" w:type="pct"/>
                  <w:tcBorders>
                    <w:tl2br w:val="nil"/>
                    <w:tr2bl w:val="nil"/>
                  </w:tcBorders>
                  <w:noWrap/>
                  <w:vAlign w:val="center"/>
                </w:tcPr>
                <w:p w14:paraId="0FCB63EE">
                  <w:pPr>
                    <w:spacing w:line="240" w:lineRule="auto"/>
                    <w:ind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w:t>
                  </w:r>
                </w:p>
              </w:tc>
              <w:tc>
                <w:tcPr>
                  <w:tcW w:w="481" w:type="pct"/>
                  <w:vMerge w:val="restart"/>
                  <w:tcBorders>
                    <w:tl2br w:val="nil"/>
                    <w:tr2bl w:val="nil"/>
                  </w:tcBorders>
                  <w:noWrap/>
                  <w:vAlign w:val="center"/>
                </w:tcPr>
                <w:p w14:paraId="26A2E9A0">
                  <w:pPr>
                    <w:spacing w:line="240" w:lineRule="auto"/>
                    <w:ind w:firstLine="0" w:firstLineChars="0"/>
                    <w:jc w:val="center"/>
                    <w:rPr>
                      <w:rFonts w:hint="eastAsia" w:ascii="Times New Roman" w:hAnsi="Times New Roman" w:eastAsia="宋体" w:cs="Times New Roman"/>
                      <w:color w:val="auto"/>
                      <w:kern w:val="0"/>
                      <w:sz w:val="21"/>
                      <w:szCs w:val="21"/>
                      <w:u w:val="none" w:color="auto"/>
                    </w:rPr>
                  </w:pPr>
                  <w:r>
                    <w:rPr>
                      <w:rFonts w:hint="eastAsia" w:ascii="Times New Roman" w:hAnsi="Times New Roman" w:eastAsia="宋体" w:cs="Times New Roman"/>
                      <w:color w:val="auto"/>
                      <w:kern w:val="0"/>
                      <w:sz w:val="21"/>
                      <w:szCs w:val="21"/>
                      <w:u w:val="none" w:color="auto"/>
                    </w:rPr>
                    <w:t>是</w:t>
                  </w:r>
                </w:p>
              </w:tc>
            </w:tr>
            <w:tr w14:paraId="1127A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6" w:hRule="atLeast"/>
              </w:trPr>
              <w:tc>
                <w:tcPr>
                  <w:tcW w:w="218" w:type="pct"/>
                  <w:vMerge w:val="continue"/>
                  <w:tcBorders>
                    <w:tl2br w:val="nil"/>
                    <w:tr2bl w:val="nil"/>
                  </w:tcBorders>
                  <w:noWrap/>
                  <w:vAlign w:val="center"/>
                </w:tcPr>
                <w:p w14:paraId="195A55A9">
                  <w:pPr>
                    <w:spacing w:line="240" w:lineRule="auto"/>
                    <w:ind w:firstLine="0" w:firstLineChars="0"/>
                    <w:jc w:val="center"/>
                    <w:rPr>
                      <w:rFonts w:hint="eastAsia" w:ascii="Times New Roman" w:hAnsi="Times New Roman" w:eastAsia="宋体" w:cs="Times New Roman"/>
                      <w:color w:val="auto"/>
                      <w:kern w:val="0"/>
                      <w:sz w:val="21"/>
                      <w:szCs w:val="21"/>
                      <w:u w:val="none" w:color="auto"/>
                    </w:rPr>
                  </w:pPr>
                </w:p>
              </w:tc>
              <w:tc>
                <w:tcPr>
                  <w:tcW w:w="363" w:type="pct"/>
                  <w:vMerge w:val="continue"/>
                  <w:tcBorders>
                    <w:tl2br w:val="nil"/>
                    <w:tr2bl w:val="nil"/>
                  </w:tcBorders>
                  <w:noWrap/>
                  <w:vAlign w:val="center"/>
                </w:tcPr>
                <w:p w14:paraId="18548465">
                  <w:pPr>
                    <w:spacing w:line="240" w:lineRule="auto"/>
                    <w:ind w:firstLine="0" w:firstLineChars="0"/>
                    <w:jc w:val="center"/>
                    <w:rPr>
                      <w:rFonts w:hint="eastAsia" w:ascii="Times New Roman" w:hAnsi="Times New Roman" w:eastAsia="宋体" w:cs="Times New Roman"/>
                      <w:color w:val="auto"/>
                      <w:kern w:val="0"/>
                      <w:sz w:val="21"/>
                      <w:szCs w:val="21"/>
                      <w:u w:val="none" w:color="auto"/>
                    </w:rPr>
                  </w:pPr>
                </w:p>
              </w:tc>
              <w:tc>
                <w:tcPr>
                  <w:tcW w:w="447" w:type="pct"/>
                  <w:tcBorders>
                    <w:tl2br w:val="nil"/>
                    <w:tr2bl w:val="nil"/>
                  </w:tcBorders>
                  <w:noWrap/>
                  <w:vAlign w:val="center"/>
                </w:tcPr>
                <w:p w14:paraId="13A5EDA1">
                  <w:pPr>
                    <w:spacing w:line="240" w:lineRule="auto"/>
                    <w:ind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rPr>
                    <w:t>NH</w:t>
                  </w:r>
                  <w:r>
                    <w:rPr>
                      <w:rFonts w:hint="eastAsia" w:ascii="Times New Roman" w:hAnsi="Times New Roman" w:eastAsia="宋体" w:cs="Times New Roman"/>
                      <w:color w:val="auto"/>
                      <w:kern w:val="0"/>
                      <w:sz w:val="21"/>
                      <w:szCs w:val="21"/>
                      <w:u w:val="none" w:color="auto"/>
                      <w:vertAlign w:val="subscript"/>
                    </w:rPr>
                    <w:t>3</w:t>
                  </w:r>
                  <w:r>
                    <w:rPr>
                      <w:rFonts w:hint="eastAsia" w:ascii="Times New Roman" w:hAnsi="Times New Roman" w:eastAsia="宋体" w:cs="Times New Roman"/>
                      <w:color w:val="auto"/>
                      <w:kern w:val="0"/>
                      <w:sz w:val="21"/>
                      <w:szCs w:val="21"/>
                      <w:u w:val="none" w:color="auto"/>
                    </w:rPr>
                    <w:t>-N</w:t>
                  </w:r>
                </w:p>
              </w:tc>
              <w:tc>
                <w:tcPr>
                  <w:tcW w:w="341" w:type="pct"/>
                  <w:vMerge w:val="continue"/>
                  <w:tcBorders>
                    <w:tl2br w:val="nil"/>
                    <w:tr2bl w:val="nil"/>
                  </w:tcBorders>
                  <w:noWrap/>
                  <w:vAlign w:val="center"/>
                </w:tcPr>
                <w:p w14:paraId="2484BA3B">
                  <w:pPr>
                    <w:spacing w:line="240" w:lineRule="auto"/>
                    <w:ind w:firstLine="0" w:firstLineChars="0"/>
                    <w:jc w:val="center"/>
                    <w:rPr>
                      <w:rFonts w:hint="eastAsia" w:ascii="Times New Roman" w:hAnsi="Times New Roman" w:eastAsia="宋体" w:cs="Times New Roman"/>
                      <w:color w:val="auto"/>
                      <w:kern w:val="0"/>
                      <w:sz w:val="21"/>
                      <w:szCs w:val="21"/>
                      <w:u w:val="none" w:color="auto"/>
                    </w:rPr>
                  </w:pPr>
                </w:p>
              </w:tc>
              <w:tc>
                <w:tcPr>
                  <w:tcW w:w="427" w:type="pct"/>
                  <w:vMerge w:val="continue"/>
                  <w:tcBorders>
                    <w:tl2br w:val="nil"/>
                    <w:tr2bl w:val="nil"/>
                  </w:tcBorders>
                  <w:noWrap/>
                  <w:vAlign w:val="center"/>
                </w:tcPr>
                <w:p w14:paraId="06CFEDBC">
                  <w:pPr>
                    <w:spacing w:line="240" w:lineRule="auto"/>
                    <w:ind w:firstLine="0" w:firstLineChars="0"/>
                    <w:jc w:val="center"/>
                    <w:rPr>
                      <w:rFonts w:hint="eastAsia" w:ascii="Times New Roman" w:hAnsi="Times New Roman" w:eastAsia="宋体" w:cs="Times New Roman"/>
                      <w:color w:val="auto"/>
                      <w:kern w:val="0"/>
                      <w:sz w:val="21"/>
                      <w:szCs w:val="21"/>
                      <w:u w:val="none" w:color="auto"/>
                    </w:rPr>
                  </w:pPr>
                </w:p>
              </w:tc>
              <w:tc>
                <w:tcPr>
                  <w:tcW w:w="427" w:type="pct"/>
                  <w:tcBorders>
                    <w:tl2br w:val="nil"/>
                    <w:tr2bl w:val="nil"/>
                  </w:tcBorders>
                  <w:noWrap/>
                  <w:vAlign w:val="center"/>
                </w:tcPr>
                <w:p w14:paraId="05F42AED">
                  <w:pPr>
                    <w:spacing w:line="240" w:lineRule="auto"/>
                    <w:ind w:firstLine="0" w:firstLineChars="0"/>
                    <w:jc w:val="center"/>
                    <w:rPr>
                      <w:rFonts w:hint="default" w:ascii="Times New Roman" w:hAnsi="Times New Roman" w:eastAsia="宋体" w:cs="Times New Roman"/>
                      <w:color w:val="auto"/>
                      <w:kern w:val="0"/>
                      <w:sz w:val="21"/>
                      <w:szCs w:val="21"/>
                      <w:u w:val="none" w:color="auto"/>
                      <w:lang w:val="en-US"/>
                    </w:rPr>
                  </w:pPr>
                  <w:r>
                    <w:rPr>
                      <w:rFonts w:hint="eastAsia" w:cs="Times New Roman"/>
                      <w:color w:val="auto"/>
                      <w:kern w:val="0"/>
                      <w:sz w:val="21"/>
                      <w:szCs w:val="21"/>
                      <w:u w:val="none" w:color="auto"/>
                      <w:lang w:val="en-US" w:eastAsia="zh-CN"/>
                    </w:rPr>
                    <w:t>0.0009</w:t>
                  </w:r>
                </w:p>
              </w:tc>
              <w:tc>
                <w:tcPr>
                  <w:tcW w:w="584" w:type="pct"/>
                  <w:tcBorders>
                    <w:tl2br w:val="nil"/>
                    <w:tr2bl w:val="nil"/>
                  </w:tcBorders>
                  <w:noWrap/>
                  <w:vAlign w:val="center"/>
                </w:tcPr>
                <w:p w14:paraId="3624AFD3">
                  <w:pPr>
                    <w:spacing w:line="240" w:lineRule="auto"/>
                    <w:ind w:firstLine="0" w:firstLineChars="0"/>
                    <w:jc w:val="center"/>
                    <w:rPr>
                      <w:rFonts w:hint="default" w:ascii="Times New Roman" w:hAnsi="Times New Roman" w:eastAsia="宋体" w:cs="Times New Roman"/>
                      <w:color w:val="auto"/>
                      <w:kern w:val="0"/>
                      <w:sz w:val="21"/>
                      <w:szCs w:val="21"/>
                      <w:u w:val="none" w:color="auto"/>
                      <w:lang w:val="en-US"/>
                    </w:rPr>
                  </w:pPr>
                  <w:r>
                    <w:rPr>
                      <w:rFonts w:hint="eastAsia" w:cs="Times New Roman"/>
                      <w:color w:val="auto"/>
                      <w:kern w:val="0"/>
                      <w:sz w:val="21"/>
                      <w:szCs w:val="21"/>
                      <w:u w:val="none" w:color="auto"/>
                      <w:lang w:val="en-US" w:eastAsia="zh-CN"/>
                    </w:rPr>
                    <w:t>2.7</w:t>
                  </w:r>
                </w:p>
              </w:tc>
              <w:tc>
                <w:tcPr>
                  <w:tcW w:w="799" w:type="pct"/>
                  <w:vMerge w:val="continue"/>
                  <w:tcBorders>
                    <w:tl2br w:val="nil"/>
                    <w:tr2bl w:val="nil"/>
                  </w:tcBorders>
                  <w:noWrap/>
                  <w:vAlign w:val="center"/>
                </w:tcPr>
                <w:p w14:paraId="3A11A3C5">
                  <w:pPr>
                    <w:spacing w:line="240" w:lineRule="auto"/>
                    <w:ind w:firstLine="0" w:firstLineChars="0"/>
                    <w:jc w:val="center"/>
                    <w:rPr>
                      <w:rFonts w:hint="eastAsia" w:ascii="Times New Roman" w:hAnsi="Times New Roman" w:eastAsia="宋体" w:cs="Times New Roman"/>
                      <w:color w:val="auto"/>
                      <w:kern w:val="0"/>
                      <w:sz w:val="21"/>
                      <w:szCs w:val="21"/>
                      <w:u w:val="none" w:color="auto"/>
                    </w:rPr>
                  </w:pPr>
                </w:p>
              </w:tc>
              <w:tc>
                <w:tcPr>
                  <w:tcW w:w="345" w:type="pct"/>
                  <w:vMerge w:val="continue"/>
                  <w:tcBorders>
                    <w:tl2br w:val="nil"/>
                    <w:tr2bl w:val="nil"/>
                  </w:tcBorders>
                  <w:noWrap/>
                  <w:vAlign w:val="center"/>
                </w:tcPr>
                <w:p w14:paraId="058B6546">
                  <w:pPr>
                    <w:spacing w:line="240" w:lineRule="auto"/>
                    <w:ind w:firstLine="0" w:firstLineChars="0"/>
                    <w:jc w:val="center"/>
                    <w:rPr>
                      <w:rFonts w:hint="eastAsia" w:ascii="Times New Roman" w:hAnsi="Times New Roman" w:eastAsia="宋体" w:cs="Times New Roman"/>
                      <w:color w:val="auto"/>
                      <w:kern w:val="0"/>
                      <w:sz w:val="21"/>
                      <w:szCs w:val="21"/>
                      <w:u w:val="none" w:color="auto"/>
                    </w:rPr>
                  </w:pPr>
                </w:p>
              </w:tc>
              <w:tc>
                <w:tcPr>
                  <w:tcW w:w="563" w:type="pct"/>
                  <w:tcBorders>
                    <w:tl2br w:val="nil"/>
                    <w:tr2bl w:val="nil"/>
                  </w:tcBorders>
                  <w:noWrap/>
                  <w:vAlign w:val="center"/>
                </w:tcPr>
                <w:p w14:paraId="1E27D687">
                  <w:pPr>
                    <w:spacing w:line="240" w:lineRule="auto"/>
                    <w:ind w:firstLine="0" w:firstLineChars="0"/>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w:t>
                  </w:r>
                </w:p>
              </w:tc>
              <w:tc>
                <w:tcPr>
                  <w:tcW w:w="481" w:type="pct"/>
                  <w:vMerge w:val="continue"/>
                  <w:tcBorders>
                    <w:tl2br w:val="nil"/>
                    <w:tr2bl w:val="nil"/>
                  </w:tcBorders>
                  <w:noWrap/>
                  <w:vAlign w:val="center"/>
                </w:tcPr>
                <w:p w14:paraId="6CB01EAB">
                  <w:pPr>
                    <w:spacing w:line="240" w:lineRule="auto"/>
                    <w:ind w:firstLine="0" w:firstLineChars="0"/>
                    <w:jc w:val="center"/>
                    <w:rPr>
                      <w:rFonts w:hint="eastAsia" w:ascii="Times New Roman" w:hAnsi="Times New Roman" w:eastAsia="宋体" w:cs="Times New Roman"/>
                      <w:color w:val="auto"/>
                      <w:kern w:val="0"/>
                      <w:sz w:val="21"/>
                      <w:szCs w:val="21"/>
                      <w:u w:val="none" w:color="auto"/>
                    </w:rPr>
                  </w:pPr>
                </w:p>
              </w:tc>
            </w:tr>
            <w:tr w14:paraId="3F5B5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6" w:hRule="atLeast"/>
              </w:trPr>
              <w:tc>
                <w:tcPr>
                  <w:tcW w:w="218" w:type="pct"/>
                  <w:vMerge w:val="continue"/>
                  <w:tcBorders>
                    <w:tl2br w:val="nil"/>
                    <w:tr2bl w:val="nil"/>
                  </w:tcBorders>
                  <w:noWrap/>
                  <w:vAlign w:val="center"/>
                </w:tcPr>
                <w:p w14:paraId="6850BDF7">
                  <w:pPr>
                    <w:spacing w:line="240" w:lineRule="auto"/>
                    <w:ind w:firstLine="0" w:firstLineChars="0"/>
                    <w:jc w:val="center"/>
                    <w:rPr>
                      <w:rFonts w:hint="eastAsia" w:ascii="Times New Roman" w:hAnsi="Times New Roman" w:eastAsia="宋体" w:cs="Times New Roman"/>
                      <w:color w:val="auto"/>
                      <w:kern w:val="0"/>
                      <w:sz w:val="21"/>
                      <w:szCs w:val="21"/>
                      <w:u w:val="none" w:color="auto"/>
                    </w:rPr>
                  </w:pPr>
                </w:p>
              </w:tc>
              <w:tc>
                <w:tcPr>
                  <w:tcW w:w="363" w:type="pct"/>
                  <w:vMerge w:val="continue"/>
                  <w:tcBorders>
                    <w:tl2br w:val="nil"/>
                    <w:tr2bl w:val="nil"/>
                  </w:tcBorders>
                  <w:noWrap/>
                  <w:vAlign w:val="center"/>
                </w:tcPr>
                <w:p w14:paraId="592FC597">
                  <w:pPr>
                    <w:spacing w:line="240" w:lineRule="auto"/>
                    <w:ind w:firstLine="0" w:firstLineChars="0"/>
                    <w:jc w:val="center"/>
                    <w:rPr>
                      <w:rFonts w:hint="eastAsia" w:ascii="Times New Roman" w:hAnsi="Times New Roman" w:eastAsia="宋体" w:cs="Times New Roman"/>
                      <w:color w:val="auto"/>
                      <w:kern w:val="0"/>
                      <w:sz w:val="21"/>
                      <w:szCs w:val="21"/>
                      <w:u w:val="none" w:color="auto"/>
                    </w:rPr>
                  </w:pPr>
                </w:p>
              </w:tc>
              <w:tc>
                <w:tcPr>
                  <w:tcW w:w="447" w:type="pct"/>
                  <w:tcBorders>
                    <w:tl2br w:val="nil"/>
                    <w:tr2bl w:val="nil"/>
                  </w:tcBorders>
                  <w:noWrap/>
                  <w:vAlign w:val="center"/>
                </w:tcPr>
                <w:p w14:paraId="560685EC">
                  <w:pPr>
                    <w:spacing w:before="68" w:line="240" w:lineRule="auto"/>
                    <w:ind w:left="0" w:leftChars="0" w:firstLine="0" w:firstLineChars="0"/>
                    <w:jc w:val="center"/>
                    <w:rPr>
                      <w:rFonts w:hint="default" w:ascii="Times New Roman" w:hAnsi="Times New Roman" w:eastAsia="宋体" w:cs="Times New Roman"/>
                      <w:color w:val="auto"/>
                      <w:spacing w:val="8"/>
                      <w:kern w:val="2"/>
                      <w:position w:val="7"/>
                      <w:sz w:val="21"/>
                      <w:szCs w:val="21"/>
                      <w:u w:val="none" w:color="auto"/>
                      <w:lang w:val="en-US" w:eastAsia="zh-CN" w:bidi="ar-SA"/>
                    </w:rPr>
                  </w:pPr>
                  <w:r>
                    <w:rPr>
                      <w:rFonts w:hint="eastAsia" w:cs="Times New Roman"/>
                      <w:color w:val="auto"/>
                      <w:spacing w:val="8"/>
                      <w:position w:val="7"/>
                      <w:sz w:val="21"/>
                      <w:szCs w:val="21"/>
                      <w:u w:val="none" w:color="auto"/>
                      <w:lang w:val="en-US" w:eastAsia="zh-CN"/>
                    </w:rPr>
                    <w:t>SS</w:t>
                  </w:r>
                </w:p>
              </w:tc>
              <w:tc>
                <w:tcPr>
                  <w:tcW w:w="341" w:type="pct"/>
                  <w:vMerge w:val="continue"/>
                  <w:tcBorders>
                    <w:tl2br w:val="nil"/>
                    <w:tr2bl w:val="nil"/>
                  </w:tcBorders>
                  <w:noWrap/>
                  <w:vAlign w:val="center"/>
                </w:tcPr>
                <w:p w14:paraId="2779DF6B">
                  <w:pPr>
                    <w:spacing w:line="240" w:lineRule="auto"/>
                    <w:ind w:firstLine="0" w:firstLineChars="0"/>
                    <w:jc w:val="center"/>
                    <w:rPr>
                      <w:rFonts w:hint="eastAsia" w:ascii="Times New Roman" w:hAnsi="Times New Roman" w:eastAsia="宋体" w:cs="Times New Roman"/>
                      <w:color w:val="auto"/>
                      <w:kern w:val="0"/>
                      <w:sz w:val="21"/>
                      <w:szCs w:val="21"/>
                      <w:u w:val="none" w:color="auto"/>
                    </w:rPr>
                  </w:pPr>
                </w:p>
              </w:tc>
              <w:tc>
                <w:tcPr>
                  <w:tcW w:w="427" w:type="pct"/>
                  <w:vMerge w:val="continue"/>
                  <w:tcBorders>
                    <w:tl2br w:val="nil"/>
                    <w:tr2bl w:val="nil"/>
                  </w:tcBorders>
                  <w:noWrap/>
                  <w:vAlign w:val="center"/>
                </w:tcPr>
                <w:p w14:paraId="68320C4A">
                  <w:pPr>
                    <w:spacing w:line="240" w:lineRule="auto"/>
                    <w:ind w:firstLine="0" w:firstLineChars="0"/>
                    <w:jc w:val="center"/>
                    <w:rPr>
                      <w:rFonts w:hint="eastAsia" w:ascii="Times New Roman" w:hAnsi="Times New Roman" w:eastAsia="宋体" w:cs="Times New Roman"/>
                      <w:color w:val="auto"/>
                      <w:kern w:val="0"/>
                      <w:sz w:val="21"/>
                      <w:szCs w:val="21"/>
                      <w:u w:val="none" w:color="auto"/>
                    </w:rPr>
                  </w:pPr>
                </w:p>
              </w:tc>
              <w:tc>
                <w:tcPr>
                  <w:tcW w:w="427" w:type="pct"/>
                  <w:tcBorders>
                    <w:tl2br w:val="nil"/>
                    <w:tr2bl w:val="nil"/>
                  </w:tcBorders>
                  <w:noWrap/>
                  <w:vAlign w:val="center"/>
                </w:tcPr>
                <w:p w14:paraId="576A232E">
                  <w:pPr>
                    <w:spacing w:line="240" w:lineRule="auto"/>
                    <w:ind w:firstLine="0" w:firstLineChars="0"/>
                    <w:jc w:val="center"/>
                    <w:rPr>
                      <w:rFonts w:hint="default" w:ascii="Times New Roman" w:hAnsi="Times New Roman" w:eastAsia="宋体" w:cs="Times New Roman"/>
                      <w:color w:val="auto"/>
                      <w:kern w:val="0"/>
                      <w:sz w:val="21"/>
                      <w:szCs w:val="21"/>
                      <w:u w:val="none" w:color="auto"/>
                      <w:lang w:val="en-US"/>
                    </w:rPr>
                  </w:pPr>
                  <w:r>
                    <w:rPr>
                      <w:rFonts w:hint="eastAsia" w:cs="Times New Roman"/>
                      <w:color w:val="auto"/>
                      <w:kern w:val="0"/>
                      <w:sz w:val="21"/>
                      <w:szCs w:val="21"/>
                      <w:u w:val="none" w:color="auto"/>
                      <w:lang w:val="en-US" w:eastAsia="zh-CN"/>
                    </w:rPr>
                    <w:t>0.0126</w:t>
                  </w:r>
                </w:p>
              </w:tc>
              <w:tc>
                <w:tcPr>
                  <w:tcW w:w="584" w:type="pct"/>
                  <w:tcBorders>
                    <w:tl2br w:val="nil"/>
                    <w:tr2bl w:val="nil"/>
                  </w:tcBorders>
                  <w:noWrap/>
                  <w:vAlign w:val="center"/>
                </w:tcPr>
                <w:p w14:paraId="45CFBD8A">
                  <w:pPr>
                    <w:spacing w:line="240" w:lineRule="auto"/>
                    <w:ind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38</w:t>
                  </w:r>
                </w:p>
              </w:tc>
              <w:tc>
                <w:tcPr>
                  <w:tcW w:w="799" w:type="pct"/>
                  <w:vMerge w:val="continue"/>
                  <w:tcBorders>
                    <w:tl2br w:val="nil"/>
                    <w:tr2bl w:val="nil"/>
                  </w:tcBorders>
                  <w:noWrap/>
                  <w:vAlign w:val="center"/>
                </w:tcPr>
                <w:p w14:paraId="53A04F69">
                  <w:pPr>
                    <w:spacing w:line="240" w:lineRule="auto"/>
                    <w:ind w:firstLine="0" w:firstLineChars="0"/>
                    <w:jc w:val="center"/>
                    <w:rPr>
                      <w:rFonts w:hint="eastAsia" w:ascii="Times New Roman" w:hAnsi="Times New Roman" w:eastAsia="宋体" w:cs="Times New Roman"/>
                      <w:color w:val="auto"/>
                      <w:kern w:val="0"/>
                      <w:sz w:val="21"/>
                      <w:szCs w:val="21"/>
                      <w:u w:val="none" w:color="auto"/>
                    </w:rPr>
                  </w:pPr>
                </w:p>
              </w:tc>
              <w:tc>
                <w:tcPr>
                  <w:tcW w:w="345" w:type="pct"/>
                  <w:vMerge w:val="continue"/>
                  <w:tcBorders>
                    <w:tl2br w:val="nil"/>
                    <w:tr2bl w:val="nil"/>
                  </w:tcBorders>
                  <w:noWrap/>
                  <w:vAlign w:val="center"/>
                </w:tcPr>
                <w:p w14:paraId="35E4D2DC">
                  <w:pPr>
                    <w:spacing w:line="240" w:lineRule="auto"/>
                    <w:ind w:firstLine="0" w:firstLineChars="0"/>
                    <w:jc w:val="center"/>
                    <w:rPr>
                      <w:rFonts w:hint="eastAsia" w:ascii="Times New Roman" w:hAnsi="Times New Roman" w:eastAsia="宋体" w:cs="Times New Roman"/>
                      <w:color w:val="auto"/>
                      <w:kern w:val="0"/>
                      <w:sz w:val="21"/>
                      <w:szCs w:val="21"/>
                      <w:u w:val="none" w:color="auto"/>
                    </w:rPr>
                  </w:pPr>
                </w:p>
              </w:tc>
              <w:tc>
                <w:tcPr>
                  <w:tcW w:w="563" w:type="pct"/>
                  <w:tcBorders>
                    <w:tl2br w:val="nil"/>
                    <w:tr2bl w:val="nil"/>
                  </w:tcBorders>
                  <w:noWrap/>
                  <w:vAlign w:val="center"/>
                </w:tcPr>
                <w:p w14:paraId="467DCDDD">
                  <w:pPr>
                    <w:spacing w:line="240" w:lineRule="auto"/>
                    <w:ind w:firstLine="0" w:firstLineChars="0"/>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w:t>
                  </w:r>
                </w:p>
              </w:tc>
              <w:tc>
                <w:tcPr>
                  <w:tcW w:w="481" w:type="pct"/>
                  <w:vMerge w:val="continue"/>
                  <w:tcBorders>
                    <w:tl2br w:val="nil"/>
                    <w:tr2bl w:val="nil"/>
                  </w:tcBorders>
                  <w:noWrap/>
                  <w:vAlign w:val="center"/>
                </w:tcPr>
                <w:p w14:paraId="0C6DCA97">
                  <w:pPr>
                    <w:spacing w:line="240" w:lineRule="auto"/>
                    <w:ind w:firstLine="0" w:firstLineChars="0"/>
                    <w:jc w:val="center"/>
                    <w:rPr>
                      <w:rFonts w:hint="eastAsia" w:ascii="Times New Roman" w:hAnsi="Times New Roman" w:eastAsia="宋体" w:cs="Times New Roman"/>
                      <w:color w:val="auto"/>
                      <w:kern w:val="0"/>
                      <w:sz w:val="21"/>
                      <w:szCs w:val="21"/>
                      <w:u w:val="none" w:color="auto"/>
                    </w:rPr>
                  </w:pPr>
                </w:p>
              </w:tc>
            </w:tr>
            <w:tr w14:paraId="5D841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6" w:hRule="atLeast"/>
              </w:trPr>
              <w:tc>
                <w:tcPr>
                  <w:tcW w:w="218" w:type="pct"/>
                  <w:vMerge w:val="continue"/>
                  <w:tcBorders>
                    <w:tl2br w:val="nil"/>
                    <w:tr2bl w:val="nil"/>
                  </w:tcBorders>
                  <w:noWrap/>
                  <w:vAlign w:val="center"/>
                </w:tcPr>
                <w:p w14:paraId="40FEDD65">
                  <w:pPr>
                    <w:spacing w:line="240" w:lineRule="auto"/>
                    <w:ind w:firstLine="0" w:firstLineChars="0"/>
                    <w:jc w:val="center"/>
                    <w:rPr>
                      <w:rFonts w:hint="eastAsia" w:ascii="Times New Roman" w:hAnsi="Times New Roman" w:eastAsia="宋体" w:cs="Times New Roman"/>
                      <w:color w:val="auto"/>
                      <w:kern w:val="0"/>
                      <w:sz w:val="21"/>
                      <w:szCs w:val="21"/>
                      <w:u w:val="none" w:color="auto"/>
                    </w:rPr>
                  </w:pPr>
                </w:p>
              </w:tc>
              <w:tc>
                <w:tcPr>
                  <w:tcW w:w="363" w:type="pct"/>
                  <w:vMerge w:val="continue"/>
                  <w:tcBorders>
                    <w:tl2br w:val="nil"/>
                    <w:tr2bl w:val="nil"/>
                  </w:tcBorders>
                  <w:noWrap/>
                  <w:vAlign w:val="center"/>
                </w:tcPr>
                <w:p w14:paraId="7F69F470">
                  <w:pPr>
                    <w:spacing w:line="240" w:lineRule="auto"/>
                    <w:ind w:firstLine="0" w:firstLineChars="0"/>
                    <w:jc w:val="center"/>
                    <w:rPr>
                      <w:rFonts w:hint="eastAsia" w:ascii="Times New Roman" w:hAnsi="Times New Roman" w:eastAsia="宋体" w:cs="Times New Roman"/>
                      <w:color w:val="auto"/>
                      <w:kern w:val="0"/>
                      <w:sz w:val="21"/>
                      <w:szCs w:val="21"/>
                      <w:u w:val="none" w:color="auto"/>
                    </w:rPr>
                  </w:pPr>
                </w:p>
              </w:tc>
              <w:tc>
                <w:tcPr>
                  <w:tcW w:w="447" w:type="pct"/>
                  <w:tcBorders>
                    <w:tl2br w:val="nil"/>
                    <w:tr2bl w:val="nil"/>
                  </w:tcBorders>
                  <w:noWrap/>
                  <w:vAlign w:val="center"/>
                </w:tcPr>
                <w:p w14:paraId="4D1D5D39">
                  <w:pPr>
                    <w:spacing w:before="68" w:line="240" w:lineRule="auto"/>
                    <w:ind w:left="0" w:leftChars="0" w:firstLine="0" w:firstLineChars="0"/>
                    <w:jc w:val="center"/>
                    <w:rPr>
                      <w:rFonts w:hint="eastAsia" w:ascii="Times New Roman" w:hAnsi="Times New Roman" w:eastAsia="宋体" w:cs="Times New Roman"/>
                      <w:color w:val="auto"/>
                      <w:spacing w:val="8"/>
                      <w:kern w:val="2"/>
                      <w:position w:val="7"/>
                      <w:sz w:val="21"/>
                      <w:szCs w:val="21"/>
                      <w:u w:val="none" w:color="auto"/>
                      <w:lang w:val="en-US" w:eastAsia="zh-CN" w:bidi="ar-SA"/>
                    </w:rPr>
                  </w:pPr>
                  <w:r>
                    <w:rPr>
                      <w:rFonts w:hint="default" w:ascii="Times New Roman" w:hAnsi="Times New Roman" w:eastAsia="宋体" w:cs="Times New Roman"/>
                      <w:color w:val="auto"/>
                      <w:spacing w:val="8"/>
                      <w:position w:val="7"/>
                      <w:sz w:val="21"/>
                      <w:szCs w:val="21"/>
                      <w:u w:val="none" w:color="auto"/>
                    </w:rPr>
                    <w:t>总钴</w:t>
                  </w:r>
                </w:p>
              </w:tc>
              <w:tc>
                <w:tcPr>
                  <w:tcW w:w="341" w:type="pct"/>
                  <w:vMerge w:val="continue"/>
                  <w:tcBorders>
                    <w:tl2br w:val="nil"/>
                    <w:tr2bl w:val="nil"/>
                  </w:tcBorders>
                  <w:noWrap/>
                  <w:vAlign w:val="center"/>
                </w:tcPr>
                <w:p w14:paraId="6452ACBE">
                  <w:pPr>
                    <w:spacing w:line="240" w:lineRule="auto"/>
                    <w:ind w:firstLine="0" w:firstLineChars="0"/>
                    <w:jc w:val="center"/>
                    <w:rPr>
                      <w:rFonts w:hint="eastAsia" w:ascii="Times New Roman" w:hAnsi="Times New Roman" w:eastAsia="宋体" w:cs="Times New Roman"/>
                      <w:color w:val="auto"/>
                      <w:kern w:val="0"/>
                      <w:sz w:val="21"/>
                      <w:szCs w:val="21"/>
                      <w:u w:val="none" w:color="auto"/>
                    </w:rPr>
                  </w:pPr>
                </w:p>
              </w:tc>
              <w:tc>
                <w:tcPr>
                  <w:tcW w:w="427" w:type="pct"/>
                  <w:vMerge w:val="continue"/>
                  <w:tcBorders>
                    <w:tl2br w:val="nil"/>
                    <w:tr2bl w:val="nil"/>
                  </w:tcBorders>
                  <w:noWrap/>
                  <w:vAlign w:val="center"/>
                </w:tcPr>
                <w:p w14:paraId="7C4B636A">
                  <w:pPr>
                    <w:spacing w:line="240" w:lineRule="auto"/>
                    <w:ind w:firstLine="0" w:firstLineChars="0"/>
                    <w:jc w:val="center"/>
                    <w:rPr>
                      <w:rFonts w:hint="eastAsia" w:ascii="Times New Roman" w:hAnsi="Times New Roman" w:eastAsia="宋体" w:cs="Times New Roman"/>
                      <w:color w:val="auto"/>
                      <w:kern w:val="0"/>
                      <w:sz w:val="21"/>
                      <w:szCs w:val="21"/>
                      <w:u w:val="none" w:color="auto"/>
                    </w:rPr>
                  </w:pPr>
                </w:p>
              </w:tc>
              <w:tc>
                <w:tcPr>
                  <w:tcW w:w="427" w:type="pct"/>
                  <w:tcBorders>
                    <w:tl2br w:val="nil"/>
                    <w:tr2bl w:val="nil"/>
                  </w:tcBorders>
                  <w:noWrap/>
                  <w:vAlign w:val="center"/>
                </w:tcPr>
                <w:p w14:paraId="063259D8">
                  <w:pPr>
                    <w:spacing w:line="240" w:lineRule="auto"/>
                    <w:ind w:firstLine="0" w:firstLineChars="0"/>
                    <w:jc w:val="center"/>
                    <w:rPr>
                      <w:rFonts w:hint="default" w:ascii="Times New Roman" w:hAnsi="Times New Roman" w:eastAsia="宋体" w:cs="Times New Roman"/>
                      <w:color w:val="auto"/>
                      <w:kern w:val="0"/>
                      <w:sz w:val="21"/>
                      <w:szCs w:val="21"/>
                      <w:u w:val="none" w:color="auto"/>
                      <w:lang w:val="en-US"/>
                    </w:rPr>
                  </w:pPr>
                  <w:r>
                    <w:rPr>
                      <w:rFonts w:hint="eastAsia" w:cs="Times New Roman"/>
                      <w:color w:val="auto"/>
                      <w:kern w:val="0"/>
                      <w:sz w:val="21"/>
                      <w:szCs w:val="21"/>
                      <w:u w:val="none" w:color="auto"/>
                      <w:lang w:val="en-US" w:eastAsia="zh-CN"/>
                    </w:rPr>
                    <w:t>0.0009</w:t>
                  </w:r>
                </w:p>
              </w:tc>
              <w:tc>
                <w:tcPr>
                  <w:tcW w:w="584" w:type="pct"/>
                  <w:tcBorders>
                    <w:tl2br w:val="nil"/>
                    <w:tr2bl w:val="nil"/>
                  </w:tcBorders>
                  <w:noWrap/>
                  <w:vAlign w:val="center"/>
                </w:tcPr>
                <w:p w14:paraId="70064E68">
                  <w:pPr>
                    <w:spacing w:line="240" w:lineRule="auto"/>
                    <w:ind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2.7</w:t>
                  </w:r>
                </w:p>
              </w:tc>
              <w:tc>
                <w:tcPr>
                  <w:tcW w:w="799" w:type="pct"/>
                  <w:vMerge w:val="continue"/>
                  <w:tcBorders>
                    <w:tl2br w:val="nil"/>
                    <w:tr2bl w:val="nil"/>
                  </w:tcBorders>
                  <w:noWrap/>
                  <w:vAlign w:val="center"/>
                </w:tcPr>
                <w:p w14:paraId="4B38A094">
                  <w:pPr>
                    <w:spacing w:line="240" w:lineRule="auto"/>
                    <w:ind w:firstLine="0" w:firstLineChars="0"/>
                    <w:jc w:val="center"/>
                    <w:rPr>
                      <w:rFonts w:hint="eastAsia" w:ascii="Times New Roman" w:hAnsi="Times New Roman" w:eastAsia="宋体" w:cs="Times New Roman"/>
                      <w:color w:val="auto"/>
                      <w:kern w:val="0"/>
                      <w:sz w:val="21"/>
                      <w:szCs w:val="21"/>
                      <w:u w:val="none" w:color="auto"/>
                    </w:rPr>
                  </w:pPr>
                </w:p>
              </w:tc>
              <w:tc>
                <w:tcPr>
                  <w:tcW w:w="345" w:type="pct"/>
                  <w:vMerge w:val="continue"/>
                  <w:tcBorders>
                    <w:tl2br w:val="nil"/>
                    <w:tr2bl w:val="nil"/>
                  </w:tcBorders>
                  <w:noWrap/>
                  <w:vAlign w:val="center"/>
                </w:tcPr>
                <w:p w14:paraId="519D5C77">
                  <w:pPr>
                    <w:spacing w:line="240" w:lineRule="auto"/>
                    <w:ind w:firstLine="0" w:firstLineChars="0"/>
                    <w:jc w:val="center"/>
                    <w:rPr>
                      <w:rFonts w:hint="eastAsia" w:ascii="Times New Roman" w:hAnsi="Times New Roman" w:eastAsia="宋体" w:cs="Times New Roman"/>
                      <w:color w:val="auto"/>
                      <w:kern w:val="0"/>
                      <w:sz w:val="21"/>
                      <w:szCs w:val="21"/>
                      <w:u w:val="none" w:color="auto"/>
                    </w:rPr>
                  </w:pPr>
                </w:p>
              </w:tc>
              <w:tc>
                <w:tcPr>
                  <w:tcW w:w="563" w:type="pct"/>
                  <w:tcBorders>
                    <w:tl2br w:val="nil"/>
                    <w:tr2bl w:val="nil"/>
                  </w:tcBorders>
                  <w:noWrap/>
                  <w:vAlign w:val="center"/>
                </w:tcPr>
                <w:p w14:paraId="50252660">
                  <w:pPr>
                    <w:spacing w:line="240" w:lineRule="auto"/>
                    <w:ind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70</w:t>
                  </w:r>
                </w:p>
              </w:tc>
              <w:tc>
                <w:tcPr>
                  <w:tcW w:w="481" w:type="pct"/>
                  <w:vMerge w:val="continue"/>
                  <w:tcBorders>
                    <w:tl2br w:val="nil"/>
                    <w:tr2bl w:val="nil"/>
                  </w:tcBorders>
                  <w:noWrap/>
                  <w:vAlign w:val="center"/>
                </w:tcPr>
                <w:p w14:paraId="23476B86">
                  <w:pPr>
                    <w:spacing w:line="240" w:lineRule="auto"/>
                    <w:ind w:firstLine="0" w:firstLineChars="0"/>
                    <w:jc w:val="center"/>
                    <w:rPr>
                      <w:rFonts w:hint="eastAsia" w:ascii="Times New Roman" w:hAnsi="Times New Roman" w:eastAsia="宋体" w:cs="Times New Roman"/>
                      <w:color w:val="auto"/>
                      <w:kern w:val="0"/>
                      <w:sz w:val="21"/>
                      <w:szCs w:val="21"/>
                      <w:u w:val="none" w:color="auto"/>
                    </w:rPr>
                  </w:pPr>
                </w:p>
              </w:tc>
            </w:tr>
            <w:tr w14:paraId="45081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6" w:hRule="atLeast"/>
              </w:trPr>
              <w:tc>
                <w:tcPr>
                  <w:tcW w:w="218" w:type="pct"/>
                  <w:vMerge w:val="continue"/>
                  <w:tcBorders>
                    <w:bottom w:val="single" w:color="000000" w:sz="6" w:space="0"/>
                    <w:tl2br w:val="nil"/>
                    <w:tr2bl w:val="nil"/>
                  </w:tcBorders>
                  <w:noWrap/>
                  <w:vAlign w:val="center"/>
                </w:tcPr>
                <w:p w14:paraId="549FAE3B">
                  <w:pPr>
                    <w:spacing w:line="240" w:lineRule="auto"/>
                    <w:ind w:firstLine="0" w:firstLineChars="0"/>
                    <w:jc w:val="center"/>
                    <w:rPr>
                      <w:rFonts w:hint="eastAsia" w:ascii="Times New Roman" w:hAnsi="Times New Roman" w:eastAsia="宋体" w:cs="Times New Roman"/>
                      <w:color w:val="auto"/>
                      <w:kern w:val="0"/>
                      <w:sz w:val="21"/>
                      <w:szCs w:val="21"/>
                      <w:u w:val="none" w:color="auto"/>
                    </w:rPr>
                  </w:pPr>
                </w:p>
              </w:tc>
              <w:tc>
                <w:tcPr>
                  <w:tcW w:w="363" w:type="pct"/>
                  <w:vMerge w:val="continue"/>
                  <w:tcBorders>
                    <w:bottom w:val="single" w:color="000000" w:sz="6" w:space="0"/>
                    <w:tl2br w:val="nil"/>
                    <w:tr2bl w:val="nil"/>
                  </w:tcBorders>
                  <w:noWrap/>
                  <w:vAlign w:val="center"/>
                </w:tcPr>
                <w:p w14:paraId="5275CD6E">
                  <w:pPr>
                    <w:spacing w:line="240" w:lineRule="auto"/>
                    <w:ind w:firstLine="0" w:firstLineChars="0"/>
                    <w:jc w:val="center"/>
                    <w:rPr>
                      <w:rFonts w:hint="eastAsia" w:ascii="Times New Roman" w:hAnsi="Times New Roman" w:eastAsia="宋体" w:cs="Times New Roman"/>
                      <w:color w:val="auto"/>
                      <w:kern w:val="0"/>
                      <w:sz w:val="21"/>
                      <w:szCs w:val="21"/>
                      <w:u w:val="none" w:color="auto"/>
                    </w:rPr>
                  </w:pPr>
                </w:p>
              </w:tc>
              <w:tc>
                <w:tcPr>
                  <w:tcW w:w="447" w:type="pct"/>
                  <w:tcBorders>
                    <w:bottom w:val="single" w:color="000000" w:sz="6" w:space="0"/>
                    <w:tl2br w:val="nil"/>
                    <w:tr2bl w:val="nil"/>
                  </w:tcBorders>
                  <w:noWrap/>
                  <w:vAlign w:val="center"/>
                </w:tcPr>
                <w:p w14:paraId="4AB5B29F">
                  <w:pPr>
                    <w:spacing w:before="68" w:line="240" w:lineRule="auto"/>
                    <w:ind w:left="0" w:leftChars="0" w:firstLine="0" w:firstLineChars="0"/>
                    <w:jc w:val="center"/>
                    <w:rPr>
                      <w:rFonts w:hint="eastAsia" w:ascii="Times New Roman" w:hAnsi="Times New Roman" w:eastAsia="宋体" w:cs="Times New Roman"/>
                      <w:color w:val="auto"/>
                      <w:spacing w:val="8"/>
                      <w:position w:val="7"/>
                      <w:sz w:val="21"/>
                      <w:szCs w:val="21"/>
                      <w:u w:val="none" w:color="auto"/>
                      <w:lang w:eastAsia="zh-CN"/>
                    </w:rPr>
                  </w:pPr>
                  <w:r>
                    <w:rPr>
                      <w:rFonts w:hint="eastAsia" w:cs="Times New Roman"/>
                      <w:color w:val="auto"/>
                      <w:spacing w:val="8"/>
                      <w:position w:val="7"/>
                      <w:sz w:val="21"/>
                      <w:szCs w:val="21"/>
                      <w:u w:val="none" w:color="auto"/>
                      <w:lang w:eastAsia="zh-CN"/>
                    </w:rPr>
                    <w:t>总镍</w:t>
                  </w:r>
                </w:p>
              </w:tc>
              <w:tc>
                <w:tcPr>
                  <w:tcW w:w="341" w:type="pct"/>
                  <w:vMerge w:val="continue"/>
                  <w:tcBorders>
                    <w:bottom w:val="single" w:color="000000" w:sz="6" w:space="0"/>
                    <w:tl2br w:val="nil"/>
                    <w:tr2bl w:val="nil"/>
                  </w:tcBorders>
                  <w:noWrap/>
                  <w:vAlign w:val="center"/>
                </w:tcPr>
                <w:p w14:paraId="458B0D84">
                  <w:pPr>
                    <w:spacing w:line="240" w:lineRule="auto"/>
                    <w:ind w:firstLine="0" w:firstLineChars="0"/>
                    <w:jc w:val="center"/>
                    <w:rPr>
                      <w:rFonts w:hint="eastAsia" w:ascii="Times New Roman" w:hAnsi="Times New Roman" w:eastAsia="宋体" w:cs="Times New Roman"/>
                      <w:color w:val="auto"/>
                      <w:kern w:val="0"/>
                      <w:sz w:val="21"/>
                      <w:szCs w:val="21"/>
                      <w:u w:val="none" w:color="auto"/>
                    </w:rPr>
                  </w:pPr>
                </w:p>
              </w:tc>
              <w:tc>
                <w:tcPr>
                  <w:tcW w:w="427" w:type="pct"/>
                  <w:vMerge w:val="continue"/>
                  <w:tcBorders>
                    <w:bottom w:val="single" w:color="000000" w:sz="6" w:space="0"/>
                    <w:tl2br w:val="nil"/>
                    <w:tr2bl w:val="nil"/>
                  </w:tcBorders>
                  <w:noWrap/>
                  <w:vAlign w:val="center"/>
                </w:tcPr>
                <w:p w14:paraId="319D9BC8">
                  <w:pPr>
                    <w:spacing w:line="240" w:lineRule="auto"/>
                    <w:ind w:firstLine="0" w:firstLineChars="0"/>
                    <w:jc w:val="center"/>
                    <w:rPr>
                      <w:rFonts w:hint="eastAsia" w:ascii="Times New Roman" w:hAnsi="Times New Roman" w:eastAsia="宋体" w:cs="Times New Roman"/>
                      <w:color w:val="auto"/>
                      <w:kern w:val="0"/>
                      <w:sz w:val="21"/>
                      <w:szCs w:val="21"/>
                      <w:u w:val="none" w:color="auto"/>
                    </w:rPr>
                  </w:pPr>
                </w:p>
              </w:tc>
              <w:tc>
                <w:tcPr>
                  <w:tcW w:w="427" w:type="pct"/>
                  <w:tcBorders>
                    <w:bottom w:val="single" w:color="000000" w:sz="6" w:space="0"/>
                    <w:tl2br w:val="nil"/>
                    <w:tr2bl w:val="nil"/>
                  </w:tcBorders>
                  <w:noWrap/>
                  <w:vAlign w:val="center"/>
                </w:tcPr>
                <w:p w14:paraId="58DF71D7">
                  <w:pPr>
                    <w:spacing w:line="240" w:lineRule="auto"/>
                    <w:ind w:firstLine="0" w:firstLineChars="0"/>
                    <w:jc w:val="center"/>
                    <w:rPr>
                      <w:rFonts w:hint="default"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0.00001</w:t>
                  </w:r>
                </w:p>
              </w:tc>
              <w:tc>
                <w:tcPr>
                  <w:tcW w:w="584" w:type="pct"/>
                  <w:tcBorders>
                    <w:bottom w:val="single" w:color="000000" w:sz="6" w:space="0"/>
                    <w:tl2br w:val="nil"/>
                    <w:tr2bl w:val="nil"/>
                  </w:tcBorders>
                  <w:noWrap/>
                  <w:vAlign w:val="center"/>
                </w:tcPr>
                <w:p w14:paraId="2131DB59">
                  <w:pPr>
                    <w:spacing w:line="240" w:lineRule="auto"/>
                    <w:ind w:firstLine="0" w:firstLineChars="0"/>
                    <w:jc w:val="center"/>
                    <w:rPr>
                      <w:rFonts w:hint="eastAsia" w:cs="Times New Roman"/>
                      <w:color w:val="auto"/>
                      <w:kern w:val="0"/>
                      <w:sz w:val="21"/>
                      <w:szCs w:val="21"/>
                      <w:u w:val="none" w:color="auto"/>
                      <w:lang w:val="en-US" w:eastAsia="zh-CN"/>
                    </w:rPr>
                  </w:pPr>
                  <w:r>
                    <w:rPr>
                      <w:rFonts w:hint="eastAsia" w:cs="Times New Roman"/>
                      <w:color w:val="auto"/>
                      <w:spacing w:val="8"/>
                      <w:position w:val="7"/>
                      <w:sz w:val="21"/>
                      <w:szCs w:val="21"/>
                      <w:u w:val="none" w:color="auto"/>
                      <w:lang w:val="en-US" w:eastAsia="zh-CN"/>
                    </w:rPr>
                    <w:t>0.0306</w:t>
                  </w:r>
                </w:p>
              </w:tc>
              <w:tc>
                <w:tcPr>
                  <w:tcW w:w="799" w:type="pct"/>
                  <w:vMerge w:val="continue"/>
                  <w:tcBorders>
                    <w:bottom w:val="single" w:color="000000" w:sz="6" w:space="0"/>
                    <w:tl2br w:val="nil"/>
                    <w:tr2bl w:val="nil"/>
                  </w:tcBorders>
                  <w:noWrap/>
                  <w:vAlign w:val="center"/>
                </w:tcPr>
                <w:p w14:paraId="75F7E9D3">
                  <w:pPr>
                    <w:spacing w:line="240" w:lineRule="auto"/>
                    <w:ind w:firstLine="0" w:firstLineChars="0"/>
                    <w:jc w:val="center"/>
                    <w:rPr>
                      <w:rFonts w:hint="eastAsia" w:ascii="Times New Roman" w:hAnsi="Times New Roman" w:eastAsia="宋体" w:cs="Times New Roman"/>
                      <w:color w:val="auto"/>
                      <w:kern w:val="0"/>
                      <w:sz w:val="21"/>
                      <w:szCs w:val="21"/>
                      <w:u w:val="none" w:color="auto"/>
                    </w:rPr>
                  </w:pPr>
                </w:p>
              </w:tc>
              <w:tc>
                <w:tcPr>
                  <w:tcW w:w="345" w:type="pct"/>
                  <w:vMerge w:val="continue"/>
                  <w:tcBorders>
                    <w:bottom w:val="single" w:color="000000" w:sz="6" w:space="0"/>
                    <w:tl2br w:val="nil"/>
                    <w:tr2bl w:val="nil"/>
                  </w:tcBorders>
                  <w:noWrap/>
                  <w:vAlign w:val="center"/>
                </w:tcPr>
                <w:p w14:paraId="37E3B8D2">
                  <w:pPr>
                    <w:spacing w:line="240" w:lineRule="auto"/>
                    <w:ind w:firstLine="0" w:firstLineChars="0"/>
                    <w:jc w:val="center"/>
                    <w:rPr>
                      <w:rFonts w:hint="eastAsia" w:ascii="Times New Roman" w:hAnsi="Times New Roman" w:eastAsia="宋体" w:cs="Times New Roman"/>
                      <w:color w:val="auto"/>
                      <w:kern w:val="0"/>
                      <w:sz w:val="21"/>
                      <w:szCs w:val="21"/>
                      <w:u w:val="none" w:color="auto"/>
                    </w:rPr>
                  </w:pPr>
                </w:p>
              </w:tc>
              <w:tc>
                <w:tcPr>
                  <w:tcW w:w="563" w:type="pct"/>
                  <w:tcBorders>
                    <w:bottom w:val="single" w:color="000000" w:sz="6" w:space="0"/>
                    <w:tl2br w:val="nil"/>
                    <w:tr2bl w:val="nil"/>
                  </w:tcBorders>
                  <w:noWrap/>
                  <w:vAlign w:val="center"/>
                </w:tcPr>
                <w:p w14:paraId="685FAB68">
                  <w:pPr>
                    <w:spacing w:line="240" w:lineRule="auto"/>
                    <w:ind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70</w:t>
                  </w:r>
                </w:p>
              </w:tc>
              <w:tc>
                <w:tcPr>
                  <w:tcW w:w="481" w:type="pct"/>
                  <w:vMerge w:val="continue"/>
                  <w:tcBorders>
                    <w:bottom w:val="single" w:color="000000" w:sz="6" w:space="0"/>
                    <w:tl2br w:val="nil"/>
                    <w:tr2bl w:val="nil"/>
                  </w:tcBorders>
                  <w:noWrap/>
                  <w:vAlign w:val="center"/>
                </w:tcPr>
                <w:p w14:paraId="70BEB04B">
                  <w:pPr>
                    <w:spacing w:line="240" w:lineRule="auto"/>
                    <w:ind w:firstLine="0" w:firstLineChars="0"/>
                    <w:jc w:val="center"/>
                    <w:rPr>
                      <w:rFonts w:hint="eastAsia" w:ascii="Times New Roman" w:hAnsi="Times New Roman" w:eastAsia="宋体" w:cs="Times New Roman"/>
                      <w:color w:val="auto"/>
                      <w:kern w:val="0"/>
                      <w:sz w:val="21"/>
                      <w:szCs w:val="21"/>
                      <w:u w:val="none" w:color="auto"/>
                    </w:rPr>
                  </w:pPr>
                </w:p>
              </w:tc>
            </w:tr>
          </w:tbl>
          <w:p w14:paraId="13D4E7D8">
            <w:pPr>
              <w:bidi w:val="0"/>
              <w:rPr>
                <w:rFonts w:hint="default" w:eastAsia="宋体"/>
                <w:color w:val="auto"/>
                <w:u w:val="none" w:color="auto"/>
                <w:lang w:val="en-US" w:eastAsia="zh-CN"/>
              </w:rPr>
            </w:pPr>
            <w:r>
              <w:rPr>
                <w:rFonts w:hint="eastAsia"/>
                <w:color w:val="auto"/>
                <w:u w:val="none" w:color="auto"/>
                <w:lang w:val="en-US" w:eastAsia="zh-CN"/>
              </w:rPr>
              <w:t>本项目生产废水经化学混凝沉淀后排放，员工食宿生活污水依托园区化粪池处理后排放，废水经园区市政污水管网排入新田县污水处理厂，属于间接排放，其治理工艺为可行技术。</w:t>
            </w:r>
          </w:p>
          <w:p w14:paraId="428C0CD8">
            <w:pPr>
              <w:spacing w:line="240" w:lineRule="auto"/>
              <w:ind w:firstLine="422"/>
              <w:jc w:val="center"/>
              <w:rPr>
                <w:rFonts w:hint="eastAsia"/>
                <w:b/>
                <w:color w:val="auto"/>
                <w:kern w:val="21"/>
                <w:sz w:val="21"/>
                <w:szCs w:val="21"/>
                <w:u w:val="none" w:color="auto"/>
              </w:rPr>
            </w:pPr>
            <w:r>
              <w:rPr>
                <w:rFonts w:hint="eastAsia"/>
                <w:b/>
                <w:color w:val="auto"/>
                <w:kern w:val="21"/>
                <w:sz w:val="21"/>
                <w:szCs w:val="21"/>
                <w:u w:val="none" w:color="auto"/>
              </w:rPr>
              <w:t>表4-</w:t>
            </w:r>
            <w:r>
              <w:rPr>
                <w:rFonts w:hint="eastAsia"/>
                <w:b/>
                <w:color w:val="auto"/>
                <w:kern w:val="21"/>
                <w:sz w:val="21"/>
                <w:szCs w:val="21"/>
                <w:u w:val="none" w:color="auto"/>
                <w:lang w:val="en-US" w:eastAsia="zh-CN"/>
              </w:rPr>
              <w:t>7</w:t>
            </w:r>
            <w:r>
              <w:rPr>
                <w:rFonts w:hint="eastAsia"/>
                <w:b/>
                <w:color w:val="auto"/>
                <w:kern w:val="21"/>
                <w:sz w:val="21"/>
                <w:szCs w:val="21"/>
                <w:u w:val="none" w:color="auto"/>
              </w:rPr>
              <w:t>废水间接排放口基本情况表</w:t>
            </w:r>
          </w:p>
          <w:tbl>
            <w:tblPr>
              <w:tblStyle w:val="28"/>
              <w:tblW w:w="8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901"/>
              <w:gridCol w:w="990"/>
              <w:gridCol w:w="704"/>
              <w:gridCol w:w="779"/>
              <w:gridCol w:w="1067"/>
              <w:gridCol w:w="803"/>
              <w:gridCol w:w="2145"/>
            </w:tblGrid>
            <w:tr w14:paraId="0A6AE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548" w:type="pct"/>
                  <w:noWrap w:val="0"/>
                  <w:vAlign w:val="center"/>
                </w:tcPr>
                <w:p w14:paraId="490CF61A">
                  <w:pPr>
                    <w:spacing w:line="240" w:lineRule="auto"/>
                    <w:ind w:firstLine="0" w:firstLineChars="0"/>
                    <w:jc w:val="center"/>
                    <w:rPr>
                      <w:rFonts w:hint="eastAsia"/>
                      <w:color w:val="auto"/>
                      <w:kern w:val="0"/>
                      <w:sz w:val="21"/>
                      <w:szCs w:val="21"/>
                      <w:u w:val="none" w:color="auto"/>
                    </w:rPr>
                  </w:pPr>
                  <w:r>
                    <w:rPr>
                      <w:rFonts w:hint="eastAsia"/>
                      <w:color w:val="auto"/>
                      <w:kern w:val="0"/>
                      <w:sz w:val="21"/>
                      <w:szCs w:val="21"/>
                      <w:u w:val="none" w:color="auto"/>
                    </w:rPr>
                    <w:t>排放口编号</w:t>
                  </w:r>
                </w:p>
              </w:tc>
              <w:tc>
                <w:tcPr>
                  <w:tcW w:w="542" w:type="pct"/>
                  <w:noWrap w:val="0"/>
                  <w:vAlign w:val="center"/>
                </w:tcPr>
                <w:p w14:paraId="7FA195C2">
                  <w:pPr>
                    <w:spacing w:line="240" w:lineRule="auto"/>
                    <w:ind w:firstLine="0" w:firstLineChars="0"/>
                    <w:jc w:val="center"/>
                    <w:rPr>
                      <w:rFonts w:hint="eastAsia"/>
                      <w:color w:val="auto"/>
                      <w:kern w:val="0"/>
                      <w:sz w:val="21"/>
                      <w:szCs w:val="21"/>
                      <w:u w:val="none" w:color="auto"/>
                    </w:rPr>
                  </w:pPr>
                  <w:r>
                    <w:rPr>
                      <w:rFonts w:hint="eastAsia"/>
                      <w:color w:val="auto"/>
                      <w:kern w:val="0"/>
                      <w:sz w:val="21"/>
                      <w:szCs w:val="21"/>
                      <w:u w:val="none" w:color="auto"/>
                    </w:rPr>
                    <w:t>排放口名称</w:t>
                  </w:r>
                </w:p>
              </w:tc>
              <w:tc>
                <w:tcPr>
                  <w:tcW w:w="596" w:type="pct"/>
                  <w:noWrap w:val="0"/>
                  <w:vAlign w:val="center"/>
                </w:tcPr>
                <w:p w14:paraId="3196F21B">
                  <w:pPr>
                    <w:spacing w:line="240" w:lineRule="auto"/>
                    <w:ind w:firstLine="0" w:firstLineChars="0"/>
                    <w:jc w:val="center"/>
                    <w:rPr>
                      <w:rFonts w:hint="eastAsia"/>
                      <w:color w:val="auto"/>
                      <w:kern w:val="0"/>
                      <w:sz w:val="21"/>
                      <w:szCs w:val="21"/>
                      <w:u w:val="none" w:color="auto"/>
                    </w:rPr>
                  </w:pPr>
                  <w:r>
                    <w:rPr>
                      <w:rFonts w:hint="eastAsia"/>
                      <w:color w:val="auto"/>
                      <w:kern w:val="0"/>
                      <w:sz w:val="21"/>
                      <w:szCs w:val="21"/>
                      <w:u w:val="none" w:color="auto"/>
                    </w:rPr>
                    <w:t>地理坐标</w:t>
                  </w:r>
                </w:p>
              </w:tc>
              <w:tc>
                <w:tcPr>
                  <w:tcW w:w="424" w:type="pct"/>
                  <w:noWrap w:val="0"/>
                  <w:vAlign w:val="center"/>
                </w:tcPr>
                <w:p w14:paraId="459B2D47">
                  <w:pPr>
                    <w:spacing w:line="240" w:lineRule="auto"/>
                    <w:ind w:firstLine="0" w:firstLineChars="0"/>
                    <w:jc w:val="center"/>
                    <w:rPr>
                      <w:rFonts w:hint="eastAsia"/>
                      <w:color w:val="auto"/>
                      <w:kern w:val="0"/>
                      <w:sz w:val="21"/>
                      <w:szCs w:val="21"/>
                      <w:u w:val="none" w:color="auto"/>
                    </w:rPr>
                  </w:pPr>
                  <w:r>
                    <w:rPr>
                      <w:rFonts w:hint="eastAsia"/>
                      <w:color w:val="auto"/>
                      <w:kern w:val="0"/>
                      <w:sz w:val="21"/>
                      <w:szCs w:val="21"/>
                      <w:u w:val="none" w:color="auto"/>
                    </w:rPr>
                    <w:t>排放方式</w:t>
                  </w:r>
                </w:p>
              </w:tc>
              <w:tc>
                <w:tcPr>
                  <w:tcW w:w="469" w:type="pct"/>
                  <w:noWrap w:val="0"/>
                  <w:vAlign w:val="center"/>
                </w:tcPr>
                <w:p w14:paraId="00D2EEA0">
                  <w:pPr>
                    <w:spacing w:line="240" w:lineRule="auto"/>
                    <w:ind w:firstLine="0" w:firstLineChars="0"/>
                    <w:jc w:val="center"/>
                    <w:rPr>
                      <w:rFonts w:hint="eastAsia"/>
                      <w:color w:val="auto"/>
                      <w:kern w:val="0"/>
                      <w:sz w:val="21"/>
                      <w:szCs w:val="21"/>
                      <w:u w:val="none" w:color="auto"/>
                    </w:rPr>
                  </w:pPr>
                  <w:r>
                    <w:rPr>
                      <w:rFonts w:hint="eastAsia"/>
                      <w:color w:val="auto"/>
                      <w:kern w:val="0"/>
                      <w:sz w:val="21"/>
                      <w:szCs w:val="21"/>
                      <w:u w:val="none" w:color="auto"/>
                    </w:rPr>
                    <w:t>排放规律</w:t>
                  </w:r>
                </w:p>
              </w:tc>
              <w:tc>
                <w:tcPr>
                  <w:tcW w:w="642" w:type="pct"/>
                  <w:noWrap w:val="0"/>
                  <w:vAlign w:val="center"/>
                </w:tcPr>
                <w:p w14:paraId="3B0CF92F">
                  <w:pPr>
                    <w:spacing w:line="240" w:lineRule="auto"/>
                    <w:ind w:firstLine="0" w:firstLineChars="0"/>
                    <w:jc w:val="center"/>
                    <w:rPr>
                      <w:rFonts w:hint="eastAsia"/>
                      <w:color w:val="auto"/>
                      <w:kern w:val="0"/>
                      <w:sz w:val="21"/>
                      <w:szCs w:val="21"/>
                      <w:u w:val="none" w:color="auto"/>
                    </w:rPr>
                  </w:pPr>
                  <w:r>
                    <w:rPr>
                      <w:rFonts w:hint="eastAsia"/>
                      <w:color w:val="auto"/>
                      <w:kern w:val="0"/>
                      <w:sz w:val="21"/>
                      <w:szCs w:val="21"/>
                      <w:u w:val="none" w:color="auto"/>
                    </w:rPr>
                    <w:t>排放去向</w:t>
                  </w:r>
                </w:p>
              </w:tc>
              <w:tc>
                <w:tcPr>
                  <w:tcW w:w="484" w:type="pct"/>
                  <w:noWrap w:val="0"/>
                  <w:vAlign w:val="center"/>
                </w:tcPr>
                <w:p w14:paraId="1F489368">
                  <w:pPr>
                    <w:spacing w:line="240" w:lineRule="auto"/>
                    <w:ind w:firstLine="0" w:firstLineChars="0"/>
                    <w:jc w:val="center"/>
                    <w:rPr>
                      <w:rFonts w:hint="eastAsia"/>
                      <w:color w:val="auto"/>
                      <w:kern w:val="0"/>
                      <w:sz w:val="21"/>
                      <w:szCs w:val="21"/>
                      <w:u w:val="none" w:color="auto"/>
                    </w:rPr>
                  </w:pPr>
                  <w:r>
                    <w:rPr>
                      <w:rFonts w:hint="eastAsia"/>
                      <w:color w:val="auto"/>
                      <w:kern w:val="0"/>
                      <w:sz w:val="21"/>
                      <w:szCs w:val="21"/>
                      <w:u w:val="none" w:color="auto"/>
                    </w:rPr>
                    <w:t>排放口类型</w:t>
                  </w:r>
                </w:p>
              </w:tc>
              <w:tc>
                <w:tcPr>
                  <w:tcW w:w="1291" w:type="pct"/>
                  <w:noWrap w:val="0"/>
                  <w:vAlign w:val="center"/>
                </w:tcPr>
                <w:p w14:paraId="5451B2A8">
                  <w:pPr>
                    <w:spacing w:line="240" w:lineRule="auto"/>
                    <w:ind w:firstLine="0" w:firstLineChars="0"/>
                    <w:jc w:val="center"/>
                    <w:rPr>
                      <w:rFonts w:hint="eastAsia"/>
                      <w:color w:val="auto"/>
                      <w:kern w:val="0"/>
                      <w:sz w:val="21"/>
                      <w:szCs w:val="21"/>
                      <w:u w:val="none" w:color="auto"/>
                    </w:rPr>
                  </w:pPr>
                  <w:r>
                    <w:rPr>
                      <w:rFonts w:hint="eastAsia"/>
                      <w:color w:val="auto"/>
                      <w:kern w:val="0"/>
                      <w:sz w:val="21"/>
                      <w:szCs w:val="21"/>
                      <w:u w:val="none" w:color="auto"/>
                    </w:rPr>
                    <w:t>排放标准</w:t>
                  </w:r>
                </w:p>
              </w:tc>
            </w:tr>
            <w:tr w14:paraId="4B720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4" w:hRule="atLeast"/>
                <w:jc w:val="center"/>
              </w:trPr>
              <w:tc>
                <w:tcPr>
                  <w:tcW w:w="548" w:type="pct"/>
                  <w:noWrap w:val="0"/>
                  <w:vAlign w:val="center"/>
                </w:tcPr>
                <w:p w14:paraId="2B10BE24">
                  <w:pPr>
                    <w:spacing w:line="240" w:lineRule="auto"/>
                    <w:ind w:firstLine="0" w:firstLineChars="0"/>
                    <w:jc w:val="center"/>
                    <w:rPr>
                      <w:rFonts w:hint="eastAsia"/>
                      <w:color w:val="auto"/>
                      <w:kern w:val="0"/>
                      <w:sz w:val="21"/>
                      <w:szCs w:val="21"/>
                      <w:u w:val="none" w:color="auto"/>
                    </w:rPr>
                  </w:pPr>
                  <w:r>
                    <w:rPr>
                      <w:rFonts w:hint="eastAsia"/>
                      <w:color w:val="auto"/>
                      <w:kern w:val="0"/>
                      <w:sz w:val="21"/>
                      <w:szCs w:val="21"/>
                      <w:u w:val="none" w:color="auto"/>
                    </w:rPr>
                    <w:t>DW001</w:t>
                  </w:r>
                </w:p>
              </w:tc>
              <w:tc>
                <w:tcPr>
                  <w:tcW w:w="542" w:type="pct"/>
                  <w:noWrap w:val="0"/>
                  <w:vAlign w:val="center"/>
                </w:tcPr>
                <w:p w14:paraId="5129DAD5">
                  <w:pPr>
                    <w:spacing w:line="240" w:lineRule="auto"/>
                    <w:ind w:firstLine="0" w:firstLineChars="0"/>
                    <w:jc w:val="center"/>
                    <w:rPr>
                      <w:rFonts w:hint="eastAsia"/>
                      <w:color w:val="auto"/>
                      <w:kern w:val="0"/>
                      <w:sz w:val="21"/>
                      <w:szCs w:val="21"/>
                      <w:u w:val="none" w:color="auto"/>
                    </w:rPr>
                  </w:pPr>
                  <w:r>
                    <w:rPr>
                      <w:rFonts w:hint="eastAsia"/>
                      <w:color w:val="auto"/>
                      <w:kern w:val="0"/>
                      <w:sz w:val="21"/>
                      <w:szCs w:val="21"/>
                      <w:u w:val="none" w:color="auto"/>
                    </w:rPr>
                    <w:t>厂区总排口</w:t>
                  </w:r>
                </w:p>
              </w:tc>
              <w:tc>
                <w:tcPr>
                  <w:tcW w:w="596" w:type="pct"/>
                  <w:noWrap w:val="0"/>
                  <w:vAlign w:val="center"/>
                </w:tcPr>
                <w:p w14:paraId="3F2CFB65">
                  <w:pPr>
                    <w:spacing w:line="240" w:lineRule="auto"/>
                    <w:ind w:firstLine="0" w:firstLineChars="0"/>
                    <w:jc w:val="center"/>
                    <w:rPr>
                      <w:rFonts w:hint="default" w:eastAsia="宋体"/>
                      <w:color w:val="auto"/>
                      <w:kern w:val="0"/>
                      <w:sz w:val="21"/>
                      <w:szCs w:val="21"/>
                      <w:u w:val="none" w:color="auto"/>
                      <w:lang w:val="en-US" w:eastAsia="zh-CN"/>
                    </w:rPr>
                  </w:pPr>
                  <w:r>
                    <w:rPr>
                      <w:rFonts w:hint="eastAsia"/>
                      <w:color w:val="auto"/>
                      <w:kern w:val="0"/>
                      <w:sz w:val="21"/>
                      <w:szCs w:val="21"/>
                      <w:u w:val="none" w:color="auto"/>
                    </w:rPr>
                    <w:t>E111.</w:t>
                  </w:r>
                  <w:r>
                    <w:rPr>
                      <w:rFonts w:hint="eastAsia"/>
                      <w:color w:val="auto"/>
                      <w:kern w:val="0"/>
                      <w:sz w:val="21"/>
                      <w:szCs w:val="21"/>
                      <w:u w:val="none" w:color="auto"/>
                      <w:lang w:val="en-US" w:eastAsia="zh-CN"/>
                    </w:rPr>
                    <w:t>199869,</w:t>
                  </w:r>
                  <w:r>
                    <w:rPr>
                      <w:rFonts w:hint="eastAsia"/>
                      <w:color w:val="auto"/>
                      <w:kern w:val="0"/>
                      <w:sz w:val="21"/>
                      <w:szCs w:val="21"/>
                      <w:u w:val="none" w:color="auto"/>
                    </w:rPr>
                    <w:t>N2</w:t>
                  </w:r>
                  <w:r>
                    <w:rPr>
                      <w:rFonts w:hint="eastAsia"/>
                      <w:color w:val="auto"/>
                      <w:kern w:val="0"/>
                      <w:sz w:val="21"/>
                      <w:szCs w:val="21"/>
                      <w:u w:val="none" w:color="auto"/>
                      <w:lang w:val="en-US" w:eastAsia="zh-CN"/>
                    </w:rPr>
                    <w:t>5.890698</w:t>
                  </w:r>
                </w:p>
              </w:tc>
              <w:tc>
                <w:tcPr>
                  <w:tcW w:w="424" w:type="pct"/>
                  <w:noWrap w:val="0"/>
                  <w:vAlign w:val="center"/>
                </w:tcPr>
                <w:p w14:paraId="1BBB9C72">
                  <w:pPr>
                    <w:spacing w:line="240" w:lineRule="auto"/>
                    <w:ind w:firstLine="0" w:firstLineChars="0"/>
                    <w:jc w:val="center"/>
                    <w:rPr>
                      <w:rFonts w:hint="eastAsia"/>
                      <w:color w:val="auto"/>
                      <w:kern w:val="0"/>
                      <w:sz w:val="21"/>
                      <w:szCs w:val="21"/>
                      <w:u w:val="none" w:color="auto"/>
                    </w:rPr>
                  </w:pPr>
                  <w:r>
                    <w:rPr>
                      <w:rFonts w:hint="eastAsia"/>
                      <w:color w:val="auto"/>
                      <w:kern w:val="0"/>
                      <w:sz w:val="21"/>
                      <w:szCs w:val="21"/>
                      <w:u w:val="none" w:color="auto"/>
                    </w:rPr>
                    <w:t>间接排放</w:t>
                  </w:r>
                </w:p>
              </w:tc>
              <w:tc>
                <w:tcPr>
                  <w:tcW w:w="469" w:type="pct"/>
                  <w:noWrap w:val="0"/>
                  <w:vAlign w:val="center"/>
                </w:tcPr>
                <w:p w14:paraId="5A9E76C4">
                  <w:pPr>
                    <w:spacing w:line="240" w:lineRule="auto"/>
                    <w:ind w:firstLine="0" w:firstLineChars="0"/>
                    <w:jc w:val="center"/>
                    <w:rPr>
                      <w:rFonts w:hint="eastAsia"/>
                      <w:color w:val="auto"/>
                      <w:kern w:val="0"/>
                      <w:sz w:val="21"/>
                      <w:szCs w:val="21"/>
                      <w:u w:val="none" w:color="auto"/>
                    </w:rPr>
                  </w:pPr>
                  <w:r>
                    <w:rPr>
                      <w:rFonts w:hint="eastAsia"/>
                      <w:color w:val="auto"/>
                      <w:kern w:val="0"/>
                      <w:sz w:val="21"/>
                      <w:szCs w:val="21"/>
                      <w:u w:val="none" w:color="auto"/>
                    </w:rPr>
                    <w:t>连续排放，流量稳定</w:t>
                  </w:r>
                </w:p>
              </w:tc>
              <w:tc>
                <w:tcPr>
                  <w:tcW w:w="642" w:type="pct"/>
                  <w:noWrap w:val="0"/>
                  <w:vAlign w:val="center"/>
                </w:tcPr>
                <w:p w14:paraId="706DA7D4">
                  <w:pPr>
                    <w:spacing w:line="240" w:lineRule="auto"/>
                    <w:ind w:firstLine="0" w:firstLineChars="0"/>
                    <w:jc w:val="center"/>
                    <w:rPr>
                      <w:rFonts w:hint="eastAsia" w:eastAsia="宋体"/>
                      <w:color w:val="auto"/>
                      <w:kern w:val="0"/>
                      <w:sz w:val="21"/>
                      <w:szCs w:val="21"/>
                      <w:u w:val="none" w:color="auto"/>
                      <w:lang w:eastAsia="zh-CN"/>
                    </w:rPr>
                  </w:pPr>
                  <w:r>
                    <w:rPr>
                      <w:rFonts w:hint="eastAsia"/>
                      <w:color w:val="auto"/>
                      <w:kern w:val="0"/>
                      <w:sz w:val="21"/>
                      <w:szCs w:val="21"/>
                      <w:u w:val="none" w:color="auto"/>
                      <w:lang w:eastAsia="zh-CN"/>
                    </w:rPr>
                    <w:t>近期新田县污水处理厂</w:t>
                  </w:r>
                </w:p>
              </w:tc>
              <w:tc>
                <w:tcPr>
                  <w:tcW w:w="484" w:type="pct"/>
                  <w:noWrap w:val="0"/>
                  <w:vAlign w:val="center"/>
                </w:tcPr>
                <w:p w14:paraId="5686E4AF">
                  <w:pPr>
                    <w:spacing w:line="240" w:lineRule="auto"/>
                    <w:ind w:firstLine="0" w:firstLineChars="0"/>
                    <w:jc w:val="center"/>
                    <w:rPr>
                      <w:rFonts w:hint="eastAsia"/>
                      <w:color w:val="auto"/>
                      <w:kern w:val="0"/>
                      <w:sz w:val="21"/>
                      <w:szCs w:val="21"/>
                      <w:u w:val="none" w:color="auto"/>
                    </w:rPr>
                  </w:pPr>
                  <w:r>
                    <w:rPr>
                      <w:rFonts w:hint="eastAsia"/>
                      <w:color w:val="auto"/>
                      <w:kern w:val="0"/>
                      <w:sz w:val="21"/>
                      <w:szCs w:val="21"/>
                      <w:u w:val="none" w:color="auto"/>
                    </w:rPr>
                    <w:t>一般排放口</w:t>
                  </w:r>
                </w:p>
              </w:tc>
              <w:tc>
                <w:tcPr>
                  <w:tcW w:w="1291" w:type="pct"/>
                  <w:noWrap w:val="0"/>
                  <w:vAlign w:val="center"/>
                </w:tcPr>
                <w:p w14:paraId="47605D7B">
                  <w:pPr>
                    <w:spacing w:line="240" w:lineRule="auto"/>
                    <w:ind w:firstLine="0" w:firstLineChars="0"/>
                    <w:jc w:val="center"/>
                    <w:rPr>
                      <w:rFonts w:hint="eastAsia"/>
                      <w:color w:val="auto"/>
                      <w:kern w:val="0"/>
                      <w:sz w:val="21"/>
                      <w:szCs w:val="21"/>
                      <w:u w:val="none" w:color="auto"/>
                    </w:rPr>
                  </w:pPr>
                  <w:r>
                    <w:rPr>
                      <w:rFonts w:hint="eastAsia"/>
                      <w:color w:val="auto"/>
                      <w:kern w:val="0"/>
                      <w:sz w:val="21"/>
                      <w:szCs w:val="21"/>
                      <w:u w:val="none" w:color="auto"/>
                    </w:rPr>
                    <w:t>《电池工业污染物排放标准》中“表2中新建企业水污染物排放限值，且需满足污水处理厂的进水水质要求</w:t>
                  </w:r>
                </w:p>
              </w:tc>
            </w:tr>
          </w:tbl>
          <w:p w14:paraId="5CC96781">
            <w:pPr>
              <w:ind w:firstLine="480"/>
              <w:rPr>
                <w:rFonts w:hint="eastAsia"/>
                <w:color w:val="auto"/>
                <w:u w:val="none" w:color="auto"/>
              </w:rPr>
            </w:pPr>
            <w:r>
              <w:rPr>
                <w:rFonts w:hint="eastAsia"/>
                <w:color w:val="auto"/>
                <w:u w:val="none" w:color="auto"/>
              </w:rPr>
              <w:t>2、本项目基准排水量</w:t>
            </w:r>
          </w:p>
          <w:p w14:paraId="17C74CBB">
            <w:pPr>
              <w:tabs>
                <w:tab w:val="center" w:pos="4758"/>
              </w:tabs>
              <w:ind w:firstLine="480"/>
              <w:rPr>
                <w:b/>
                <w:color w:val="auto"/>
                <w:u w:val="none" w:color="auto"/>
              </w:rPr>
            </w:pPr>
            <w:r>
              <w:rPr>
                <w:rStyle w:val="34"/>
                <w:rFonts w:hint="eastAsia"/>
                <w:color w:val="auto"/>
                <w:kern w:val="0"/>
                <w:sz w:val="24"/>
                <w:u w:val="none" w:color="auto"/>
              </w:rPr>
              <w:t>根据</w:t>
            </w:r>
            <w:r>
              <w:rPr>
                <w:rFonts w:hint="eastAsia"/>
                <w:color w:val="auto"/>
                <w:kern w:val="0"/>
                <w:u w:val="none" w:color="auto"/>
              </w:rPr>
              <w:t>《电池工业污染物排放标准》（GB30484-2013）</w:t>
            </w:r>
            <w:r>
              <w:rPr>
                <w:rStyle w:val="34"/>
                <w:rFonts w:hint="eastAsia"/>
                <w:color w:val="auto"/>
                <w:kern w:val="0"/>
                <w:sz w:val="24"/>
                <w:u w:val="none" w:color="auto"/>
              </w:rPr>
              <w:t>中表2单位产品基准排水量，</w:t>
            </w:r>
            <w:r>
              <w:rPr>
                <w:rFonts w:hint="eastAsia"/>
                <w:color w:val="auto"/>
                <w:u w:val="none" w:color="auto"/>
              </w:rPr>
              <w:t>本项目为</w:t>
            </w:r>
            <w:r>
              <w:rPr>
                <w:rFonts w:hint="eastAsia" w:ascii="Calibri" w:hAnsi="Calibri"/>
                <w:color w:val="auto"/>
                <w:kern w:val="0"/>
                <w:u w:val="none" w:color="auto"/>
              </w:rPr>
              <w:t>锂</w:t>
            </w:r>
            <w:r>
              <w:rPr>
                <w:rFonts w:hint="eastAsia"/>
                <w:color w:val="auto"/>
                <w:u w:val="none" w:color="auto"/>
              </w:rPr>
              <w:t>离子</w:t>
            </w:r>
            <w:r>
              <w:rPr>
                <w:rFonts w:hint="eastAsia" w:ascii="Calibri" w:hAnsi="Calibri"/>
                <w:color w:val="auto"/>
                <w:kern w:val="0"/>
                <w:u w:val="none" w:color="auto"/>
              </w:rPr>
              <w:t>电池制造，单位产品基准排水量为</w:t>
            </w:r>
            <w:r>
              <w:rPr>
                <w:color w:val="auto"/>
                <w:kern w:val="0"/>
                <w:u w:val="none" w:color="auto"/>
              </w:rPr>
              <w:t>0.</w:t>
            </w:r>
            <w:r>
              <w:rPr>
                <w:rFonts w:hint="eastAsia"/>
                <w:color w:val="auto"/>
                <w:kern w:val="0"/>
                <w:u w:val="none" w:color="auto"/>
              </w:rPr>
              <w:t>8</w:t>
            </w:r>
            <w:r>
              <w:rPr>
                <w:color w:val="auto"/>
                <w:kern w:val="0"/>
                <w:u w:val="none" w:color="auto"/>
              </w:rPr>
              <w:t>m</w:t>
            </w:r>
            <w:r>
              <w:rPr>
                <w:color w:val="auto"/>
                <w:kern w:val="0"/>
                <w:u w:val="none" w:color="auto"/>
                <w:vertAlign w:val="superscript"/>
              </w:rPr>
              <w:t>3</w:t>
            </w:r>
            <w:r>
              <w:rPr>
                <w:color w:val="auto"/>
                <w:kern w:val="0"/>
                <w:u w:val="none" w:color="auto"/>
              </w:rPr>
              <w:t>/</w:t>
            </w:r>
            <w:r>
              <w:rPr>
                <w:rFonts w:hint="eastAsia" w:ascii="Calibri" w:hAnsi="Calibri"/>
                <w:color w:val="auto"/>
                <w:kern w:val="0"/>
                <w:u w:val="none" w:color="auto"/>
              </w:rPr>
              <w:t>万只，</w:t>
            </w:r>
            <w:r>
              <w:rPr>
                <w:rFonts w:hint="eastAsia" w:ascii="Calibri" w:hAnsi="Calibri"/>
                <w:color w:val="auto"/>
                <w:kern w:val="0"/>
                <w:u w:val="none" w:color="auto"/>
                <w:lang w:eastAsia="zh-CN"/>
              </w:rPr>
              <w:t>单位产品基准排水量指用于核定水污染物排放浓度而规定的单位电池产品的废水排放量上限值，因此</w:t>
            </w:r>
            <w:r>
              <w:rPr>
                <w:rFonts w:hint="eastAsia" w:ascii="Calibri" w:hAnsi="Calibri" w:eastAsia="宋体" w:cs="Times New Roman"/>
                <w:color w:val="auto"/>
                <w:kern w:val="0"/>
                <w:u w:val="none" w:color="auto"/>
                <w:lang w:eastAsia="zh-CN"/>
              </w:rPr>
              <w:t>单位产品基准排水量不包含制</w:t>
            </w:r>
            <w:r>
              <w:rPr>
                <w:rFonts w:hint="eastAsia" w:ascii="Calibri" w:hAnsi="Calibri"/>
                <w:color w:val="auto"/>
                <w:kern w:val="0"/>
                <w:u w:val="none" w:color="auto"/>
                <w:lang w:eastAsia="zh-CN"/>
              </w:rPr>
              <w:t>纯水浓水及循环冷却水定期</w:t>
            </w:r>
            <w:r>
              <w:rPr>
                <w:rFonts w:hint="eastAsia" w:ascii="Calibri" w:hAnsi="Calibri" w:eastAsia="宋体" w:cs="Times New Roman"/>
                <w:color w:val="auto"/>
                <w:kern w:val="0"/>
                <w:u w:val="none" w:color="auto"/>
                <w:lang w:eastAsia="zh-CN"/>
              </w:rPr>
              <w:t>排水等清净下水；</w:t>
            </w:r>
            <w:r>
              <w:rPr>
                <w:rFonts w:hint="eastAsia" w:ascii="Calibri" w:hAnsi="Calibri"/>
                <w:color w:val="auto"/>
                <w:kern w:val="0"/>
                <w:u w:val="none" w:color="auto"/>
              </w:rPr>
              <w:t>本项目产品方案为年产</w:t>
            </w:r>
            <w:r>
              <w:rPr>
                <w:rFonts w:hint="eastAsia"/>
                <w:color w:val="auto"/>
                <w:kern w:val="0"/>
                <w:u w:val="none" w:color="auto"/>
                <w:lang w:val="en-US" w:eastAsia="zh-CN" w:bidi="ar"/>
              </w:rPr>
              <w:t>2700</w:t>
            </w:r>
            <w:r>
              <w:rPr>
                <w:rFonts w:hint="eastAsia"/>
                <w:color w:val="auto"/>
                <w:kern w:val="0"/>
                <w:u w:val="none" w:color="auto"/>
                <w:lang w:bidi="ar"/>
              </w:rPr>
              <w:t>万只锂离子电池，经计算基准排水量为</w:t>
            </w:r>
            <w:r>
              <w:rPr>
                <w:rFonts w:hint="eastAsia"/>
                <w:color w:val="auto"/>
                <w:kern w:val="0"/>
                <w:u w:val="none" w:color="auto"/>
                <w:lang w:val="en-US" w:eastAsia="zh-CN" w:bidi="ar"/>
              </w:rPr>
              <w:t>2160</w:t>
            </w:r>
            <w:r>
              <w:rPr>
                <w:color w:val="auto"/>
                <w:kern w:val="0"/>
                <w:u w:val="none" w:color="auto"/>
              </w:rPr>
              <w:t>m</w:t>
            </w:r>
            <w:r>
              <w:rPr>
                <w:color w:val="auto"/>
                <w:kern w:val="0"/>
                <w:u w:val="none" w:color="auto"/>
                <w:vertAlign w:val="superscript"/>
              </w:rPr>
              <w:t>3</w:t>
            </w:r>
            <w:r>
              <w:rPr>
                <w:rFonts w:hint="eastAsia"/>
                <w:color w:val="auto"/>
                <w:kern w:val="0"/>
                <w:u w:val="none" w:color="auto"/>
              </w:rPr>
              <w:t>。根据工程分析</w:t>
            </w:r>
            <w:r>
              <w:rPr>
                <w:rFonts w:hint="eastAsia"/>
                <w:color w:val="auto"/>
                <w:kern w:val="0"/>
                <w:u w:val="none" w:color="auto"/>
                <w:lang w:eastAsia="zh-CN"/>
              </w:rPr>
              <w:t>，</w:t>
            </w:r>
            <w:r>
              <w:rPr>
                <w:rFonts w:hint="eastAsia"/>
                <w:color w:val="auto"/>
                <w:kern w:val="0"/>
                <w:u w:val="none" w:color="auto"/>
                <w:lang w:val="en-US" w:eastAsia="zh-CN"/>
              </w:rPr>
              <w:t>项目员工食宿依托园区</w:t>
            </w:r>
            <w:r>
              <w:rPr>
                <w:rFonts w:hint="eastAsia" w:hAnsi="宋体"/>
                <w:color w:val="auto"/>
                <w:u w:val="none" w:color="auto"/>
                <w:lang w:val="en-US" w:eastAsia="zh-CN"/>
              </w:rPr>
              <w:t>食堂宿舍，其生活用水不再计入本项目内，</w:t>
            </w:r>
            <w:r>
              <w:rPr>
                <w:rFonts w:hint="eastAsia" w:hAnsi="宋体"/>
                <w:color w:val="auto"/>
                <w:u w:val="none" w:color="auto"/>
              </w:rPr>
              <w:t>项目</w:t>
            </w:r>
            <w:r>
              <w:rPr>
                <w:rFonts w:hint="eastAsia" w:hAnsi="宋体"/>
                <w:color w:val="auto"/>
                <w:u w:val="none" w:color="auto"/>
                <w:lang w:val="en-US" w:eastAsia="zh-CN"/>
              </w:rPr>
              <w:t>外排废水</w:t>
            </w:r>
            <w:r>
              <w:rPr>
                <w:rFonts w:hint="eastAsia" w:hAnsi="宋体"/>
                <w:color w:val="auto"/>
                <w:u w:val="none" w:color="auto"/>
              </w:rPr>
              <w:t>主要为</w:t>
            </w:r>
            <w:r>
              <w:rPr>
                <w:rFonts w:hint="eastAsia" w:hAnsi="宋体"/>
                <w:color w:val="auto"/>
                <w:u w:val="none" w:color="auto"/>
                <w:lang w:val="en-US" w:eastAsia="zh-CN"/>
              </w:rPr>
              <w:t>制纯水排浓水、NMP冷却水定期排水、拖把清洗排水</w:t>
            </w:r>
            <w:r>
              <w:rPr>
                <w:rFonts w:hint="eastAsia" w:hAnsi="宋体"/>
                <w:color w:val="auto"/>
                <w:u w:val="none" w:color="auto"/>
                <w:lang w:eastAsia="zh-CN"/>
              </w:rPr>
              <w:t>，电池外壳清洗排水，总</w:t>
            </w:r>
            <w:r>
              <w:rPr>
                <w:rFonts w:hint="eastAsia" w:hAnsi="宋体"/>
                <w:color w:val="auto"/>
                <w:u w:val="none" w:color="auto"/>
              </w:rPr>
              <w:t>排水量为</w:t>
            </w:r>
            <w:r>
              <w:rPr>
                <w:rFonts w:hint="eastAsia"/>
                <w:color w:val="auto"/>
                <w:u w:val="none" w:color="auto"/>
                <w:lang w:val="en-US" w:eastAsia="zh-CN"/>
              </w:rPr>
              <w:t>331.8</w:t>
            </w:r>
            <w:r>
              <w:rPr>
                <w:color w:val="auto"/>
                <w:kern w:val="0"/>
                <w:u w:val="none" w:color="auto"/>
              </w:rPr>
              <w:t>m</w:t>
            </w:r>
            <w:r>
              <w:rPr>
                <w:color w:val="auto"/>
                <w:kern w:val="0"/>
                <w:u w:val="none" w:color="auto"/>
                <w:vertAlign w:val="superscript"/>
              </w:rPr>
              <w:t>3</w:t>
            </w:r>
            <w:r>
              <w:rPr>
                <w:color w:val="auto"/>
                <w:kern w:val="0"/>
                <w:u w:val="none" w:color="auto"/>
              </w:rPr>
              <w:t>/</w:t>
            </w:r>
            <w:r>
              <w:rPr>
                <w:rFonts w:hint="eastAsia"/>
                <w:color w:val="auto"/>
                <w:kern w:val="0"/>
                <w:u w:val="none" w:color="auto"/>
              </w:rPr>
              <w:t>a，则厂区实际</w:t>
            </w:r>
            <w:r>
              <w:rPr>
                <w:rFonts w:hint="eastAsia" w:ascii="Calibri" w:hAnsi="Calibri"/>
                <w:color w:val="auto"/>
                <w:kern w:val="0"/>
                <w:u w:val="none" w:color="auto"/>
              </w:rPr>
              <w:t>单位产品</w:t>
            </w:r>
            <w:r>
              <w:rPr>
                <w:rFonts w:hint="eastAsia"/>
                <w:color w:val="auto"/>
                <w:kern w:val="0"/>
                <w:u w:val="none" w:color="auto"/>
              </w:rPr>
              <w:t>排水量为</w:t>
            </w:r>
            <w:r>
              <w:rPr>
                <w:rFonts w:hint="eastAsia"/>
                <w:color w:val="auto"/>
                <w:kern w:val="0"/>
                <w:u w:val="none" w:color="auto"/>
                <w:lang w:val="en-US" w:eastAsia="zh-CN"/>
              </w:rPr>
              <w:t>0.123</w:t>
            </w:r>
            <w:r>
              <w:rPr>
                <w:color w:val="auto"/>
                <w:kern w:val="0"/>
                <w:u w:val="none" w:color="auto"/>
              </w:rPr>
              <w:t>m</w:t>
            </w:r>
            <w:r>
              <w:rPr>
                <w:color w:val="auto"/>
                <w:kern w:val="0"/>
                <w:u w:val="none" w:color="auto"/>
                <w:vertAlign w:val="superscript"/>
              </w:rPr>
              <w:t>3</w:t>
            </w:r>
            <w:r>
              <w:rPr>
                <w:rFonts w:hint="eastAsia"/>
                <w:color w:val="auto"/>
                <w:kern w:val="0"/>
                <w:u w:val="none" w:color="auto"/>
              </w:rPr>
              <w:t>/</w:t>
            </w:r>
            <w:r>
              <w:rPr>
                <w:rFonts w:hint="eastAsia" w:ascii="Calibri" w:hAnsi="Calibri"/>
                <w:color w:val="auto"/>
                <w:kern w:val="0"/>
                <w:u w:val="none" w:color="auto"/>
              </w:rPr>
              <w:t>万只</w:t>
            </w:r>
            <w:r>
              <w:rPr>
                <w:rFonts w:hint="eastAsia"/>
                <w:color w:val="auto"/>
                <w:kern w:val="0"/>
                <w:u w:val="none" w:color="auto"/>
              </w:rPr>
              <w:t>＜</w:t>
            </w:r>
            <w:r>
              <w:rPr>
                <w:rFonts w:hint="eastAsia"/>
                <w:color w:val="auto"/>
                <w:kern w:val="0"/>
                <w:u w:val="none" w:color="auto"/>
                <w:lang w:bidi="ar"/>
              </w:rPr>
              <w:t>基准排水量</w:t>
            </w:r>
            <w:r>
              <w:rPr>
                <w:color w:val="auto"/>
                <w:kern w:val="0"/>
                <w:u w:val="none" w:color="auto"/>
              </w:rPr>
              <w:t>0.</w:t>
            </w:r>
            <w:r>
              <w:rPr>
                <w:rFonts w:hint="eastAsia"/>
                <w:color w:val="auto"/>
                <w:kern w:val="0"/>
                <w:u w:val="none" w:color="auto"/>
              </w:rPr>
              <w:t>8</w:t>
            </w:r>
            <w:r>
              <w:rPr>
                <w:color w:val="auto"/>
                <w:kern w:val="0"/>
                <w:u w:val="none" w:color="auto"/>
              </w:rPr>
              <w:t>m</w:t>
            </w:r>
            <w:r>
              <w:rPr>
                <w:color w:val="auto"/>
                <w:kern w:val="0"/>
                <w:u w:val="none" w:color="auto"/>
                <w:vertAlign w:val="superscript"/>
              </w:rPr>
              <w:t>3</w:t>
            </w:r>
            <w:r>
              <w:rPr>
                <w:color w:val="auto"/>
                <w:kern w:val="0"/>
                <w:u w:val="none" w:color="auto"/>
              </w:rPr>
              <w:t>/</w:t>
            </w:r>
            <w:r>
              <w:rPr>
                <w:rFonts w:hint="eastAsia" w:ascii="Calibri" w:hAnsi="Calibri"/>
                <w:color w:val="auto"/>
                <w:kern w:val="0"/>
                <w:u w:val="none" w:color="auto"/>
              </w:rPr>
              <w:t>万只</w:t>
            </w:r>
            <w:r>
              <w:rPr>
                <w:rFonts w:hint="eastAsia"/>
                <w:color w:val="auto"/>
                <w:kern w:val="0"/>
                <w:u w:val="none" w:color="auto"/>
              </w:rPr>
              <w:t>，因此本项目满足基准排水量的要求。</w:t>
            </w:r>
          </w:p>
          <w:p w14:paraId="2C0AD21E">
            <w:pPr>
              <w:bidi w:val="0"/>
              <w:rPr>
                <w:rFonts w:hint="eastAsia"/>
                <w:color w:val="auto"/>
                <w:u w:val="none" w:color="auto"/>
              </w:rPr>
            </w:pPr>
            <w:r>
              <w:rPr>
                <w:rFonts w:hint="eastAsia"/>
                <w:color w:val="auto"/>
                <w:u w:val="none" w:color="auto"/>
              </w:rPr>
              <w:t>3、本项目污水进入污水处理厂可行性</w:t>
            </w:r>
          </w:p>
          <w:p w14:paraId="79955E59">
            <w:pPr>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新田产业开发区污水处理厂正在建设中，待建成运行后，本项且</w:t>
            </w:r>
            <w:r>
              <w:rPr>
                <w:rFonts w:hint="eastAsia" w:cs="Times New Roman"/>
                <w:color w:val="auto"/>
                <w:kern w:val="2"/>
                <w:sz w:val="24"/>
                <w:szCs w:val="24"/>
                <w:highlight w:val="none"/>
                <w:u w:val="none" w:color="auto"/>
                <w:lang w:val="en-US" w:eastAsia="zh-CN" w:bidi="ar-SA"/>
              </w:rPr>
              <w:t>废水</w:t>
            </w:r>
            <w:r>
              <w:rPr>
                <w:rFonts w:hint="default" w:ascii="Times New Roman" w:hAnsi="Times New Roman" w:eastAsia="宋体" w:cs="Times New Roman"/>
                <w:color w:val="auto"/>
                <w:kern w:val="2"/>
                <w:sz w:val="24"/>
                <w:szCs w:val="24"/>
                <w:highlight w:val="none"/>
                <w:u w:val="none" w:color="auto"/>
                <w:lang w:val="en-US" w:eastAsia="zh-CN" w:bidi="ar-SA"/>
              </w:rPr>
              <w:t>经园区管道排入新田产业开发区污水处理厂可得到有效处置，</w:t>
            </w:r>
            <w:r>
              <w:rPr>
                <w:rFonts w:hint="eastAsia" w:cs="Times New Roman"/>
                <w:color w:val="auto"/>
                <w:kern w:val="2"/>
                <w:sz w:val="24"/>
                <w:szCs w:val="24"/>
                <w:highlight w:val="none"/>
                <w:u w:val="none" w:color="auto"/>
                <w:lang w:val="en-US" w:eastAsia="zh-CN" w:bidi="ar-SA"/>
              </w:rPr>
              <w:t>并达标排放</w:t>
            </w:r>
            <w:r>
              <w:rPr>
                <w:rFonts w:hint="default" w:ascii="Times New Roman" w:hAnsi="Times New Roman" w:eastAsia="宋体" w:cs="Times New Roman"/>
                <w:color w:val="auto"/>
                <w:kern w:val="2"/>
                <w:sz w:val="24"/>
                <w:szCs w:val="24"/>
                <w:highlight w:val="none"/>
                <w:u w:val="none" w:color="auto"/>
                <w:lang w:val="en-US" w:eastAsia="zh-CN" w:bidi="ar-SA"/>
              </w:rPr>
              <w:t>。</w:t>
            </w:r>
          </w:p>
          <w:p w14:paraId="34C8D887">
            <w:pPr>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ascii="Times New Roman" w:hAnsi="Times New Roman" w:eastAsia="宋体" w:cs="Times New Roman"/>
                <w:color w:val="auto"/>
                <w:kern w:val="0"/>
                <w:sz w:val="24"/>
                <w:szCs w:val="24"/>
                <w:highlight w:val="none"/>
                <w:u w:val="none" w:color="auto"/>
                <w:lang w:val="en-US" w:eastAsia="zh-CN" w:bidi="ar-SA"/>
              </w:rPr>
            </w:pPr>
            <w:r>
              <w:rPr>
                <w:rFonts w:hint="eastAsia" w:cs="Times New Roman"/>
                <w:color w:val="auto"/>
                <w:kern w:val="2"/>
                <w:sz w:val="24"/>
                <w:szCs w:val="24"/>
                <w:highlight w:val="none"/>
                <w:u w:val="none" w:color="auto"/>
                <w:lang w:val="en-US" w:eastAsia="zh-CN" w:bidi="ar-SA"/>
              </w:rPr>
              <w:t>目前产业园区废水进入</w:t>
            </w:r>
            <w:r>
              <w:rPr>
                <w:rFonts w:hint="default" w:ascii="Times New Roman" w:hAnsi="Times New Roman" w:eastAsia="宋体" w:cs="Times New Roman"/>
                <w:color w:val="auto"/>
                <w:kern w:val="2"/>
                <w:sz w:val="24"/>
                <w:szCs w:val="24"/>
                <w:highlight w:val="none"/>
                <w:u w:val="none" w:color="auto"/>
                <w:lang w:val="en-US" w:eastAsia="zh-CN" w:bidi="ar-SA"/>
              </w:rPr>
              <w:t>新田县污水处理厂</w:t>
            </w:r>
            <w:r>
              <w:rPr>
                <w:rFonts w:hint="eastAsia" w:cs="Times New Roman"/>
                <w:color w:val="auto"/>
                <w:kern w:val="2"/>
                <w:sz w:val="24"/>
                <w:szCs w:val="24"/>
                <w:highlight w:val="none"/>
                <w:u w:val="none" w:color="auto"/>
                <w:lang w:val="en-US" w:eastAsia="zh-CN" w:bidi="ar-SA"/>
              </w:rPr>
              <w:t>处理后排放，</w:t>
            </w:r>
            <w:r>
              <w:rPr>
                <w:rFonts w:hint="default" w:ascii="Times New Roman" w:hAnsi="Times New Roman" w:eastAsia="宋体" w:cs="Times New Roman"/>
                <w:color w:val="auto"/>
                <w:kern w:val="2"/>
                <w:sz w:val="24"/>
                <w:szCs w:val="24"/>
                <w:highlight w:val="none"/>
                <w:u w:val="none" w:color="auto"/>
                <w:lang w:val="en-US" w:eastAsia="zh-CN" w:bidi="ar-SA"/>
              </w:rPr>
              <w:t>新田县污水处理厂中心位于新田县龙泉镇木山塘村，厂址总占</w:t>
            </w:r>
            <w:r>
              <w:rPr>
                <w:rFonts w:hint="eastAsia" w:ascii="Times New Roman" w:hAnsi="Times New Roman" w:eastAsia="宋体" w:cs="Times New Roman"/>
                <w:color w:val="auto"/>
                <w:kern w:val="2"/>
                <w:sz w:val="24"/>
                <w:szCs w:val="24"/>
                <w:highlight w:val="none"/>
                <w:u w:val="none" w:color="auto"/>
                <w:lang w:val="en-US" w:eastAsia="zh-CN" w:bidi="ar-SA"/>
              </w:rPr>
              <w:t>23400m</w:t>
            </w:r>
            <w:r>
              <w:rPr>
                <w:rFonts w:hint="eastAsia" w:ascii="Times New Roman" w:hAnsi="Times New Roman" w:eastAsia="宋体" w:cs="Times New Roman"/>
                <w:color w:val="auto"/>
                <w:kern w:val="2"/>
                <w:sz w:val="24"/>
                <w:szCs w:val="24"/>
                <w:highlight w:val="none"/>
                <w:u w:val="none" w:color="auto"/>
                <w:vertAlign w:val="superscript"/>
                <w:lang w:val="en-US" w:eastAsia="zh-CN" w:bidi="ar-SA"/>
              </w:rPr>
              <w:t>2</w:t>
            </w:r>
            <w:r>
              <w:rPr>
                <w:rFonts w:hint="default" w:ascii="Times New Roman" w:hAnsi="Times New Roman" w:eastAsia="宋体" w:cs="Times New Roman"/>
                <w:color w:val="auto"/>
                <w:kern w:val="2"/>
                <w:sz w:val="24"/>
                <w:szCs w:val="24"/>
                <w:highlight w:val="none"/>
                <w:u w:val="none" w:color="auto"/>
                <w:lang w:val="en-US" w:eastAsia="zh-CN" w:bidi="ar-SA"/>
              </w:rPr>
              <w:t>，提标改造工程利用现状厂区预留空地，不另行征地</w:t>
            </w:r>
            <w:r>
              <w:rPr>
                <w:rFonts w:hint="eastAsia" w:ascii="Times New Roman" w:hAnsi="Times New Roman" w:eastAsia="宋体" w:cs="Times New Roman"/>
                <w:color w:val="auto"/>
                <w:kern w:val="2"/>
                <w:sz w:val="24"/>
                <w:szCs w:val="24"/>
                <w:highlight w:val="none"/>
                <w:u w:val="none" w:color="auto"/>
                <w:lang w:val="en-US" w:eastAsia="zh-CN" w:bidi="ar-SA"/>
              </w:rPr>
              <w:t>。</w:t>
            </w:r>
            <w:r>
              <w:rPr>
                <w:rFonts w:ascii="Times New Roman" w:hAnsi="Times New Roman" w:eastAsia="宋体" w:cs="Times New Roman"/>
                <w:color w:val="auto"/>
                <w:kern w:val="2"/>
                <w:sz w:val="24"/>
                <w:szCs w:val="24"/>
                <w:highlight w:val="none"/>
                <w:u w:val="none" w:color="auto"/>
                <w:lang w:val="en-US" w:eastAsia="zh-CN" w:bidi="ar-SA"/>
              </w:rPr>
              <w:t>工程内容主要包括：新建</w:t>
            </w:r>
            <w:r>
              <w:rPr>
                <w:rFonts w:hint="eastAsia" w:ascii="Times New Roman" w:hAnsi="Times New Roman" w:eastAsia="宋体" w:cs="Times New Roman"/>
                <w:color w:val="auto"/>
                <w:kern w:val="2"/>
                <w:sz w:val="24"/>
                <w:szCs w:val="24"/>
                <w:highlight w:val="none"/>
                <w:u w:val="none" w:color="auto"/>
                <w:lang w:val="en-US" w:eastAsia="zh-CN" w:bidi="ar-SA"/>
              </w:rPr>
              <w:t>中间提升泵站</w:t>
            </w:r>
            <w:r>
              <w:rPr>
                <w:rFonts w:ascii="Times New Roman" w:hAnsi="Times New Roman" w:eastAsia="宋体" w:cs="Times New Roman"/>
                <w:color w:val="auto"/>
                <w:kern w:val="2"/>
                <w:sz w:val="24"/>
                <w:szCs w:val="24"/>
                <w:highlight w:val="none"/>
                <w:u w:val="none" w:color="auto"/>
                <w:lang w:val="en-US" w:eastAsia="zh-CN" w:bidi="ar-SA"/>
              </w:rPr>
              <w:t>1座（</w:t>
            </w:r>
            <w:r>
              <w:rPr>
                <w:rFonts w:hint="eastAsia" w:ascii="Times New Roman" w:hAnsi="Times New Roman" w:eastAsia="宋体" w:cs="Times New Roman"/>
                <w:color w:val="auto"/>
                <w:kern w:val="2"/>
                <w:sz w:val="24"/>
                <w:szCs w:val="24"/>
                <w:highlight w:val="none"/>
                <w:u w:val="none" w:color="auto"/>
                <w:lang w:val="en-US" w:eastAsia="zh-CN" w:bidi="ar-SA"/>
              </w:rPr>
              <w:t>2万</w:t>
            </w:r>
            <w:r>
              <w:rPr>
                <w:rFonts w:ascii="Times New Roman" w:hAnsi="Times New Roman" w:eastAsia="宋体" w:cs="Times New Roman"/>
                <w:color w:val="auto"/>
                <w:kern w:val="2"/>
                <w:sz w:val="24"/>
                <w:szCs w:val="24"/>
                <w:highlight w:val="none"/>
                <w:u w:val="none" w:color="auto"/>
                <w:lang w:val="en-US" w:eastAsia="zh-CN" w:bidi="ar-SA"/>
              </w:rPr>
              <w:t>m</w:t>
            </w:r>
            <w:r>
              <w:rPr>
                <w:rFonts w:ascii="Times New Roman" w:hAnsi="Times New Roman" w:eastAsia="宋体" w:cs="Times New Roman"/>
                <w:color w:val="auto"/>
                <w:kern w:val="2"/>
                <w:sz w:val="24"/>
                <w:szCs w:val="24"/>
                <w:highlight w:val="none"/>
                <w:u w:val="none" w:color="auto"/>
                <w:vertAlign w:val="superscript"/>
                <w:lang w:val="en-US" w:eastAsia="zh-CN" w:bidi="ar-SA"/>
              </w:rPr>
              <w:t>3</w:t>
            </w:r>
            <w:r>
              <w:rPr>
                <w:rFonts w:ascii="Times New Roman" w:hAnsi="Times New Roman" w:eastAsia="宋体" w:cs="Times New Roman"/>
                <w:color w:val="auto"/>
                <w:kern w:val="2"/>
                <w:sz w:val="24"/>
                <w:szCs w:val="24"/>
                <w:highlight w:val="none"/>
                <w:u w:val="none" w:color="auto"/>
                <w:lang w:val="en-US" w:eastAsia="zh-CN" w:bidi="ar-SA"/>
              </w:rPr>
              <w:t>/d）、</w:t>
            </w:r>
            <w:r>
              <w:rPr>
                <w:rFonts w:hint="eastAsia" w:ascii="Times New Roman" w:hAnsi="Times New Roman" w:eastAsia="宋体" w:cs="Times New Roman"/>
                <w:color w:val="auto"/>
                <w:kern w:val="2"/>
                <w:sz w:val="24"/>
                <w:szCs w:val="24"/>
                <w:highlight w:val="none"/>
                <w:u w:val="none" w:color="auto"/>
                <w:lang w:val="en-US" w:eastAsia="zh-CN" w:bidi="ar-SA"/>
              </w:rPr>
              <w:t>高效沉淀池</w:t>
            </w:r>
            <w:r>
              <w:rPr>
                <w:rFonts w:ascii="Times New Roman" w:hAnsi="Times New Roman" w:eastAsia="宋体" w:cs="Times New Roman"/>
                <w:color w:val="auto"/>
                <w:kern w:val="2"/>
                <w:sz w:val="24"/>
                <w:szCs w:val="24"/>
                <w:highlight w:val="none"/>
                <w:u w:val="none" w:color="auto"/>
                <w:lang w:val="en-US" w:eastAsia="zh-CN" w:bidi="ar-SA"/>
              </w:rPr>
              <w:t>1座（</w:t>
            </w:r>
            <w:r>
              <w:rPr>
                <w:rFonts w:hint="eastAsia" w:ascii="Times New Roman" w:hAnsi="Times New Roman" w:eastAsia="宋体" w:cs="Times New Roman"/>
                <w:color w:val="auto"/>
                <w:kern w:val="2"/>
                <w:sz w:val="24"/>
                <w:szCs w:val="24"/>
                <w:highlight w:val="none"/>
                <w:u w:val="none" w:color="auto"/>
                <w:lang w:val="en-US" w:eastAsia="zh-CN" w:bidi="ar-SA"/>
              </w:rPr>
              <w:t>2万</w:t>
            </w:r>
            <w:r>
              <w:rPr>
                <w:rFonts w:ascii="Times New Roman" w:hAnsi="Times New Roman" w:eastAsia="宋体" w:cs="Times New Roman"/>
                <w:color w:val="auto"/>
                <w:kern w:val="2"/>
                <w:sz w:val="24"/>
                <w:szCs w:val="24"/>
                <w:highlight w:val="none"/>
                <w:u w:val="none" w:color="auto"/>
                <w:lang w:val="en-US" w:eastAsia="zh-CN" w:bidi="ar-SA"/>
              </w:rPr>
              <w:t>m</w:t>
            </w:r>
            <w:r>
              <w:rPr>
                <w:rFonts w:ascii="Times New Roman" w:hAnsi="Times New Roman" w:eastAsia="宋体" w:cs="Times New Roman"/>
                <w:color w:val="auto"/>
                <w:kern w:val="2"/>
                <w:sz w:val="24"/>
                <w:szCs w:val="24"/>
                <w:highlight w:val="none"/>
                <w:u w:val="none" w:color="auto"/>
                <w:vertAlign w:val="superscript"/>
                <w:lang w:val="en-US" w:eastAsia="zh-CN" w:bidi="ar-SA"/>
              </w:rPr>
              <w:t>3</w:t>
            </w:r>
            <w:r>
              <w:rPr>
                <w:rFonts w:ascii="Times New Roman" w:hAnsi="Times New Roman" w:eastAsia="宋体" w:cs="Times New Roman"/>
                <w:color w:val="auto"/>
                <w:kern w:val="2"/>
                <w:sz w:val="24"/>
                <w:szCs w:val="24"/>
                <w:highlight w:val="none"/>
                <w:u w:val="none" w:color="auto"/>
                <w:lang w:val="en-US" w:eastAsia="zh-CN" w:bidi="ar-SA"/>
              </w:rPr>
              <w:t>/d）、紫外光消毒池1座（</w:t>
            </w:r>
            <w:r>
              <w:rPr>
                <w:rFonts w:hint="eastAsia" w:ascii="Times New Roman" w:hAnsi="Times New Roman" w:eastAsia="宋体" w:cs="Times New Roman"/>
                <w:color w:val="auto"/>
                <w:kern w:val="2"/>
                <w:sz w:val="24"/>
                <w:szCs w:val="24"/>
                <w:highlight w:val="none"/>
                <w:u w:val="none" w:color="auto"/>
                <w:lang w:val="en-US" w:eastAsia="zh-CN" w:bidi="ar-SA"/>
              </w:rPr>
              <w:t>2万</w:t>
            </w:r>
            <w:r>
              <w:rPr>
                <w:rFonts w:ascii="Times New Roman" w:hAnsi="Times New Roman" w:eastAsia="宋体" w:cs="Times New Roman"/>
                <w:color w:val="auto"/>
                <w:kern w:val="2"/>
                <w:sz w:val="24"/>
                <w:szCs w:val="24"/>
                <w:highlight w:val="none"/>
                <w:u w:val="none" w:color="auto"/>
                <w:lang w:val="en-US" w:eastAsia="zh-CN" w:bidi="ar-SA"/>
              </w:rPr>
              <w:t>m</w:t>
            </w:r>
            <w:r>
              <w:rPr>
                <w:rFonts w:ascii="Times New Roman" w:hAnsi="Times New Roman" w:eastAsia="宋体" w:cs="Times New Roman"/>
                <w:color w:val="auto"/>
                <w:kern w:val="2"/>
                <w:sz w:val="24"/>
                <w:szCs w:val="24"/>
                <w:highlight w:val="none"/>
                <w:u w:val="none" w:color="auto"/>
                <w:vertAlign w:val="superscript"/>
                <w:lang w:val="en-US" w:eastAsia="zh-CN" w:bidi="ar-SA"/>
              </w:rPr>
              <w:t>3</w:t>
            </w:r>
            <w:r>
              <w:rPr>
                <w:rFonts w:ascii="Times New Roman" w:hAnsi="Times New Roman" w:eastAsia="宋体" w:cs="Times New Roman"/>
                <w:color w:val="auto"/>
                <w:kern w:val="2"/>
                <w:sz w:val="24"/>
                <w:szCs w:val="24"/>
                <w:highlight w:val="none"/>
                <w:u w:val="none" w:color="auto"/>
                <w:lang w:val="en-US" w:eastAsia="zh-CN" w:bidi="ar-SA"/>
              </w:rPr>
              <w:t>/d）</w:t>
            </w:r>
            <w:r>
              <w:rPr>
                <w:rFonts w:hint="eastAsia" w:ascii="Times New Roman" w:hAnsi="Times New Roman" w:eastAsia="宋体" w:cs="Times New Roman"/>
                <w:color w:val="auto"/>
                <w:kern w:val="2"/>
                <w:sz w:val="24"/>
                <w:szCs w:val="24"/>
                <w:highlight w:val="none"/>
                <w:u w:val="none" w:color="auto"/>
                <w:lang w:val="en-US" w:eastAsia="zh-CN" w:bidi="ar-SA"/>
              </w:rPr>
              <w:t>，预留纤维转盘滤池位置</w:t>
            </w:r>
            <w:r>
              <w:rPr>
                <w:rFonts w:ascii="Times New Roman" w:hAnsi="Times New Roman" w:eastAsia="宋体" w:cs="Times New Roman"/>
                <w:color w:val="auto"/>
                <w:kern w:val="2"/>
                <w:sz w:val="24"/>
                <w:szCs w:val="24"/>
                <w:highlight w:val="none"/>
                <w:u w:val="none" w:color="auto"/>
                <w:lang w:val="en-US" w:eastAsia="zh-CN" w:bidi="ar-SA"/>
              </w:rPr>
              <w:t>（</w:t>
            </w:r>
            <w:r>
              <w:rPr>
                <w:rFonts w:hint="eastAsia" w:ascii="Times New Roman" w:hAnsi="Times New Roman" w:eastAsia="宋体" w:cs="Times New Roman"/>
                <w:color w:val="auto"/>
                <w:kern w:val="2"/>
                <w:sz w:val="24"/>
                <w:szCs w:val="24"/>
                <w:highlight w:val="none"/>
                <w:u w:val="none" w:color="auto"/>
                <w:lang w:val="en-US" w:eastAsia="zh-CN" w:bidi="ar-SA"/>
              </w:rPr>
              <w:t>2万</w:t>
            </w:r>
            <w:r>
              <w:rPr>
                <w:rFonts w:ascii="Times New Roman" w:hAnsi="Times New Roman" w:eastAsia="宋体" w:cs="Times New Roman"/>
                <w:color w:val="auto"/>
                <w:kern w:val="2"/>
                <w:sz w:val="24"/>
                <w:szCs w:val="24"/>
                <w:highlight w:val="none"/>
                <w:u w:val="none" w:color="auto"/>
                <w:lang w:val="en-US" w:eastAsia="zh-CN" w:bidi="ar-SA"/>
              </w:rPr>
              <w:t>m</w:t>
            </w:r>
            <w:r>
              <w:rPr>
                <w:rFonts w:ascii="Times New Roman" w:hAnsi="Times New Roman" w:eastAsia="宋体" w:cs="Times New Roman"/>
                <w:color w:val="auto"/>
                <w:kern w:val="2"/>
                <w:sz w:val="24"/>
                <w:szCs w:val="24"/>
                <w:highlight w:val="none"/>
                <w:u w:val="none" w:color="auto"/>
                <w:vertAlign w:val="superscript"/>
                <w:lang w:val="en-US" w:eastAsia="zh-CN" w:bidi="ar-SA"/>
              </w:rPr>
              <w:t>3</w:t>
            </w:r>
            <w:r>
              <w:rPr>
                <w:rFonts w:ascii="Times New Roman" w:hAnsi="Times New Roman" w:eastAsia="宋体" w:cs="Times New Roman"/>
                <w:color w:val="auto"/>
                <w:kern w:val="2"/>
                <w:sz w:val="24"/>
                <w:szCs w:val="24"/>
                <w:highlight w:val="none"/>
                <w:u w:val="none" w:color="auto"/>
                <w:lang w:val="en-US" w:eastAsia="zh-CN" w:bidi="ar-SA"/>
              </w:rPr>
              <w:t>/d）</w:t>
            </w:r>
            <w:r>
              <w:rPr>
                <w:rFonts w:hint="eastAsia" w:ascii="Times New Roman" w:hAnsi="Times New Roman" w:eastAsia="宋体" w:cs="Times New Roman"/>
                <w:color w:val="auto"/>
                <w:kern w:val="2"/>
                <w:sz w:val="24"/>
                <w:szCs w:val="24"/>
                <w:highlight w:val="none"/>
                <w:u w:val="none" w:color="auto"/>
                <w:lang w:val="en-US" w:eastAsia="zh-CN" w:bidi="ar-SA"/>
              </w:rPr>
              <w:t>，改造现有污泥脱水加药间，废除现有接触消毒池（保留做备用消毒设施）</w:t>
            </w:r>
            <w:r>
              <w:rPr>
                <w:rFonts w:ascii="Times New Roman" w:hAnsi="Times New Roman" w:eastAsia="宋体" w:cs="Times New Roman"/>
                <w:color w:val="auto"/>
                <w:kern w:val="2"/>
                <w:sz w:val="24"/>
                <w:szCs w:val="24"/>
                <w:highlight w:val="none"/>
                <w:u w:val="none" w:color="auto"/>
                <w:lang w:val="en-US" w:eastAsia="zh-CN" w:bidi="ar-SA"/>
              </w:rPr>
              <w:t>。其他现有工程均保持不变。</w:t>
            </w:r>
            <w:r>
              <w:rPr>
                <w:rFonts w:hint="default" w:ascii="Times New Roman" w:hAnsi="Times New Roman" w:eastAsia="宋体" w:cs="Times New Roman"/>
                <w:color w:val="auto"/>
                <w:kern w:val="2"/>
                <w:sz w:val="24"/>
                <w:szCs w:val="24"/>
                <w:highlight w:val="none"/>
                <w:u w:val="none" w:color="auto"/>
                <w:lang w:val="en-US" w:eastAsia="zh-CN" w:bidi="ar-SA"/>
              </w:rPr>
              <w:t>设计污水处理规模为2万t/d，实际污水处理规模为</w:t>
            </w:r>
            <w:r>
              <w:rPr>
                <w:rFonts w:hint="eastAsia" w:ascii="Times New Roman" w:hAnsi="Times New Roman" w:eastAsia="宋体" w:cs="Times New Roman"/>
                <w:color w:val="auto"/>
                <w:kern w:val="2"/>
                <w:sz w:val="24"/>
                <w:szCs w:val="24"/>
                <w:highlight w:val="none"/>
                <w:u w:val="none" w:color="auto"/>
                <w:lang w:val="en-US" w:eastAsia="zh-CN" w:bidi="ar-SA"/>
              </w:rPr>
              <w:t>2</w:t>
            </w:r>
            <w:r>
              <w:rPr>
                <w:rFonts w:hint="default" w:ascii="Times New Roman" w:hAnsi="Times New Roman" w:eastAsia="宋体" w:cs="Times New Roman"/>
                <w:color w:val="auto"/>
                <w:kern w:val="2"/>
                <w:sz w:val="24"/>
                <w:szCs w:val="24"/>
                <w:highlight w:val="none"/>
                <w:u w:val="none" w:color="auto"/>
                <w:lang w:val="en-US" w:eastAsia="zh-CN" w:bidi="ar-SA"/>
              </w:rPr>
              <w:t>万t/d，污水处理工艺为：粗格栅及提升泵站+细格栅及旋流沉砂池+CASS池+高效沉淀池+紫外光消毒池</w:t>
            </w:r>
            <w:r>
              <w:rPr>
                <w:rFonts w:hint="eastAsia" w:ascii="Times New Roman" w:hAnsi="Times New Roman" w:eastAsia="宋体" w:cs="Times New Roman"/>
                <w:color w:val="auto"/>
                <w:kern w:val="2"/>
                <w:sz w:val="24"/>
                <w:szCs w:val="24"/>
                <w:highlight w:val="none"/>
                <w:u w:val="none" w:color="auto"/>
                <w:lang w:val="en-US" w:eastAsia="zh-CN" w:bidi="ar-SA"/>
              </w:rPr>
              <w:t>，</w:t>
            </w:r>
            <w:r>
              <w:rPr>
                <w:rFonts w:ascii="Times New Roman" w:hAnsi="Times New Roman" w:eastAsia="宋体" w:cs="Times New Roman"/>
                <w:color w:val="auto"/>
                <w:sz w:val="24"/>
                <w:szCs w:val="24"/>
                <w:highlight w:val="none"/>
                <w:u w:val="none" w:color="auto"/>
              </w:rPr>
              <w:t>污水处理达到《城镇污水处理厂污染物排放标准》(GB18918-2002</w:t>
            </w:r>
            <w:r>
              <w:rPr>
                <w:rFonts w:hint="eastAsia" w:eastAsia="宋体" w:cs="Times New Roman"/>
                <w:color w:val="auto"/>
                <w:sz w:val="24"/>
                <w:szCs w:val="24"/>
                <w:highlight w:val="none"/>
                <w:u w:val="none" w:color="auto"/>
                <w:lang w:eastAsia="zh-CN"/>
              </w:rPr>
              <w:t>）</w:t>
            </w:r>
            <w:r>
              <w:rPr>
                <w:rFonts w:ascii="Times New Roman" w:hAnsi="Times New Roman" w:eastAsia="宋体" w:cs="Times New Roman"/>
                <w:color w:val="auto"/>
                <w:sz w:val="24"/>
                <w:szCs w:val="24"/>
                <w:highlight w:val="none"/>
                <w:u w:val="none" w:color="auto"/>
              </w:rPr>
              <w:t>一级A标准后排入新田河。</w:t>
            </w:r>
            <w:r>
              <w:rPr>
                <w:rFonts w:ascii="Times New Roman" w:hAnsi="Times New Roman" w:eastAsia="宋体" w:cs="Times New Roman"/>
                <w:color w:val="auto"/>
                <w:kern w:val="2"/>
                <w:sz w:val="24"/>
                <w:szCs w:val="24"/>
                <w:highlight w:val="none"/>
                <w:u w:val="none" w:color="auto"/>
                <w:lang w:val="en-US" w:eastAsia="zh-CN" w:bidi="ar-SA"/>
              </w:rPr>
              <w:t>根据</w:t>
            </w:r>
            <w:r>
              <w:rPr>
                <w:rFonts w:hint="eastAsia" w:ascii="Times New Roman" w:hAnsi="Times New Roman" w:eastAsia="宋体" w:cs="Times New Roman"/>
                <w:color w:val="auto"/>
                <w:kern w:val="2"/>
                <w:sz w:val="24"/>
                <w:szCs w:val="24"/>
                <w:highlight w:val="none"/>
                <w:u w:val="none" w:color="auto"/>
                <w:lang w:val="en-US" w:eastAsia="zh-CN" w:bidi="ar-SA"/>
              </w:rPr>
              <w:t>新田县工业园管理委员会</w:t>
            </w:r>
            <w:r>
              <w:rPr>
                <w:rFonts w:ascii="Times New Roman" w:hAnsi="Times New Roman" w:eastAsia="宋体" w:cs="Times New Roman"/>
                <w:color w:val="auto"/>
                <w:kern w:val="2"/>
                <w:sz w:val="24"/>
                <w:szCs w:val="24"/>
                <w:highlight w:val="none"/>
                <w:u w:val="none" w:color="auto"/>
                <w:lang w:val="en-US" w:eastAsia="zh-CN" w:bidi="ar-SA"/>
              </w:rPr>
              <w:t>介绍，目前本项目所在工业园已完成污水管网铺设，项目</w:t>
            </w:r>
            <w:r>
              <w:rPr>
                <w:rFonts w:hint="eastAsia" w:cs="Times New Roman"/>
                <w:color w:val="auto"/>
                <w:kern w:val="2"/>
                <w:sz w:val="24"/>
                <w:szCs w:val="24"/>
                <w:highlight w:val="none"/>
                <w:u w:val="none" w:color="auto"/>
                <w:lang w:val="en-US" w:eastAsia="zh-CN" w:bidi="ar-SA"/>
              </w:rPr>
              <w:t>所在地</w:t>
            </w:r>
            <w:r>
              <w:rPr>
                <w:rFonts w:ascii="Times New Roman" w:hAnsi="Times New Roman" w:eastAsia="宋体" w:cs="Times New Roman"/>
                <w:color w:val="auto"/>
                <w:kern w:val="2"/>
                <w:sz w:val="24"/>
                <w:szCs w:val="24"/>
                <w:highlight w:val="none"/>
                <w:u w:val="none" w:color="auto"/>
                <w:lang w:val="en-US" w:eastAsia="zh-CN" w:bidi="ar-SA"/>
              </w:rPr>
              <w:t>污水能进入新田县污水处理厂。</w:t>
            </w:r>
          </w:p>
          <w:p w14:paraId="15A1E31D">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bCs/>
                <w:color w:val="auto"/>
                <w:szCs w:val="24"/>
                <w:highlight w:val="none"/>
                <w:u w:val="none" w:color="auto"/>
                <w:lang w:val="en-US" w:eastAsia="zh-CN"/>
              </w:rPr>
            </w:pPr>
            <w:r>
              <w:rPr>
                <w:rFonts w:ascii="Times New Roman" w:hAnsi="Times New Roman" w:eastAsia="宋体" w:cs="Times New Roman"/>
                <w:color w:val="auto"/>
                <w:sz w:val="24"/>
                <w:szCs w:val="24"/>
                <w:highlight w:val="none"/>
                <w:u w:val="none" w:color="auto"/>
              </w:rPr>
              <w:t>本项目</w:t>
            </w:r>
            <w:r>
              <w:rPr>
                <w:rFonts w:hint="eastAsia" w:cs="Times New Roman"/>
                <w:color w:val="auto"/>
                <w:sz w:val="24"/>
                <w:szCs w:val="24"/>
                <w:highlight w:val="none"/>
                <w:u w:val="none" w:color="auto"/>
                <w:lang w:eastAsia="zh-CN"/>
              </w:rPr>
              <w:t>生产</w:t>
            </w:r>
            <w:r>
              <w:rPr>
                <w:rFonts w:hint="eastAsia" w:ascii="Times New Roman" w:hAnsi="Times New Roman" w:eastAsia="宋体" w:cs="Times New Roman"/>
                <w:i w:val="0"/>
                <w:iCs w:val="0"/>
                <w:color w:val="auto"/>
                <w:sz w:val="24"/>
                <w:szCs w:val="24"/>
                <w:highlight w:val="none"/>
                <w:u w:val="none" w:color="auto"/>
                <w:lang w:val="en-US" w:eastAsia="zh-CN"/>
              </w:rPr>
              <w:t>废水</w:t>
            </w:r>
            <w:r>
              <w:rPr>
                <w:rFonts w:hint="eastAsia" w:cs="Times New Roman"/>
                <w:i w:val="0"/>
                <w:iCs w:val="0"/>
                <w:color w:val="auto"/>
                <w:sz w:val="24"/>
                <w:szCs w:val="24"/>
                <w:highlight w:val="none"/>
                <w:u w:val="none" w:color="auto"/>
                <w:lang w:val="en-US" w:eastAsia="zh-CN"/>
              </w:rPr>
              <w:t>及生活污水</w:t>
            </w:r>
            <w:r>
              <w:rPr>
                <w:rFonts w:ascii="Times New Roman" w:hAnsi="Times New Roman" w:eastAsia="宋体" w:cs="Times New Roman"/>
                <w:i w:val="0"/>
                <w:iCs w:val="0"/>
                <w:color w:val="auto"/>
                <w:sz w:val="24"/>
                <w:szCs w:val="24"/>
                <w:highlight w:val="none"/>
                <w:u w:val="none" w:color="auto"/>
              </w:rPr>
              <w:t>排放量</w:t>
            </w:r>
            <w:r>
              <w:rPr>
                <w:rFonts w:hint="eastAsia" w:cs="Times New Roman"/>
                <w:i w:val="0"/>
                <w:iCs w:val="0"/>
                <w:color w:val="auto"/>
                <w:sz w:val="24"/>
                <w:szCs w:val="24"/>
                <w:highlight w:val="none"/>
                <w:u w:val="none" w:color="auto"/>
                <w:lang w:eastAsia="zh-CN"/>
              </w:rPr>
              <w:t>约</w:t>
            </w:r>
            <w:r>
              <w:rPr>
                <w:rFonts w:ascii="Times New Roman" w:hAnsi="Times New Roman" w:eastAsia="宋体" w:cs="Times New Roman"/>
                <w:i w:val="0"/>
                <w:iCs w:val="0"/>
                <w:color w:val="auto"/>
                <w:sz w:val="24"/>
                <w:szCs w:val="24"/>
                <w:highlight w:val="none"/>
                <w:u w:val="none" w:color="auto"/>
              </w:rPr>
              <w:t>为</w:t>
            </w:r>
            <w:r>
              <w:rPr>
                <w:rFonts w:hint="eastAsia" w:cs="Times New Roman"/>
                <w:i w:val="0"/>
                <w:iCs w:val="0"/>
                <w:color w:val="auto"/>
                <w:sz w:val="24"/>
                <w:szCs w:val="24"/>
                <w:highlight w:val="none"/>
                <w:u w:val="none" w:color="auto"/>
                <w:lang w:val="en-US" w:eastAsia="zh-CN"/>
              </w:rPr>
              <w:t>331.8m</w:t>
            </w:r>
            <w:r>
              <w:rPr>
                <w:rFonts w:hint="eastAsia" w:cs="Times New Roman"/>
                <w:i w:val="0"/>
                <w:iCs w:val="0"/>
                <w:color w:val="auto"/>
                <w:sz w:val="24"/>
                <w:szCs w:val="24"/>
                <w:highlight w:val="none"/>
                <w:u w:val="none" w:color="auto"/>
                <w:vertAlign w:val="superscript"/>
                <w:lang w:val="en-US" w:eastAsia="zh-CN"/>
              </w:rPr>
              <w:t>3</w:t>
            </w:r>
            <w:r>
              <w:rPr>
                <w:rFonts w:ascii="Times New Roman" w:hAnsi="Times New Roman" w:eastAsia="宋体" w:cs="Times New Roman"/>
                <w:i w:val="0"/>
                <w:iCs w:val="0"/>
                <w:color w:val="auto"/>
                <w:sz w:val="24"/>
                <w:szCs w:val="24"/>
                <w:highlight w:val="none"/>
                <w:u w:val="none" w:color="auto"/>
              </w:rPr>
              <w:t>/a，根据新田县</w:t>
            </w:r>
            <w:r>
              <w:rPr>
                <w:rFonts w:ascii="Times New Roman" w:hAnsi="Times New Roman" w:eastAsia="宋体" w:cs="Times New Roman"/>
                <w:color w:val="auto"/>
                <w:sz w:val="24"/>
                <w:szCs w:val="24"/>
                <w:highlight w:val="none"/>
                <w:u w:val="none" w:color="auto"/>
              </w:rPr>
              <w:t>污水处理厂纳污范围，本项目污水全部纳入污水处理厂处理。由于该项目污水排放量较小，对新田县污水处理厂不会产生较大的处理负荷。</w:t>
            </w:r>
          </w:p>
          <w:p w14:paraId="77A038EE">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bCs/>
                <w:color w:val="auto"/>
                <w:szCs w:val="24"/>
                <w:highlight w:val="none"/>
                <w:u w:val="none" w:color="auto"/>
                <w:lang w:val="en-US" w:eastAsia="zh-CN"/>
              </w:rPr>
            </w:pPr>
            <w:r>
              <w:rPr>
                <w:rFonts w:hint="eastAsia" w:ascii="Times New Roman" w:hAnsi="Times New Roman" w:eastAsia="宋体" w:cs="Times New Roman"/>
                <w:bCs/>
                <w:color w:val="auto"/>
                <w:szCs w:val="24"/>
                <w:highlight w:val="none"/>
                <w:u w:val="none" w:color="auto"/>
                <w:lang w:val="en-US" w:eastAsia="zh-CN"/>
              </w:rPr>
              <w:t>污水处理厂工艺流程图如下：</w:t>
            </w:r>
          </w:p>
          <w:p w14:paraId="55D416A7">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eastAsiaTheme="minorEastAsia"/>
                <w:color w:val="auto"/>
                <w:sz w:val="24"/>
                <w:highlight w:val="none"/>
                <w:u w:val="none" w:color="auto"/>
                <w:lang w:val="en-US" w:eastAsia="zh-CN"/>
              </w:rPr>
              <w:object>
                <v:shape id="_x0000_i1025" o:spt="75" type="#_x0000_t75" style="height:132pt;width:414.4pt;" o:ole="t" filled="f" o:preferrelative="t" stroked="f" coordsize="21600,21600">
                  <v:path/>
                  <v:fill on="f" focussize="0,0"/>
                  <v:stroke on="f"/>
                  <v:imagedata r:id="rId17" o:title=""/>
                  <o:lock v:ext="edit" aspectratio="t"/>
                  <w10:wrap type="none"/>
                  <w10:anchorlock/>
                </v:shape>
                <o:OLEObject Type="Embed" ProgID="Visio.Drawing.11" ShapeID="_x0000_i1025" DrawAspect="Content" ObjectID="_1468075725" r:id="rId16">
                  <o:LockedField>false</o:LockedField>
                </o:OLEObject>
              </w:object>
            </w:r>
            <w:r>
              <w:rPr>
                <w:rFonts w:hint="eastAsia" w:ascii="Times New Roman" w:hAnsi="Times New Roman" w:eastAsia="宋体" w:cs="Times New Roman"/>
                <w:b/>
                <w:bCs/>
                <w:snapToGrid w:val="0"/>
                <w:color w:val="auto"/>
                <w:kern w:val="2"/>
                <w:sz w:val="21"/>
                <w:szCs w:val="21"/>
                <w:highlight w:val="none"/>
                <w:u w:val="none" w:color="auto"/>
                <w:lang w:val="en-US" w:eastAsia="zh-CN" w:bidi="ar-SA"/>
              </w:rPr>
              <w:t>图4-</w:t>
            </w:r>
            <w:r>
              <w:rPr>
                <w:rFonts w:hint="eastAsia" w:cs="Times New Roman"/>
                <w:b/>
                <w:bCs/>
                <w:snapToGrid w:val="0"/>
                <w:color w:val="auto"/>
                <w:kern w:val="2"/>
                <w:sz w:val="21"/>
                <w:szCs w:val="21"/>
                <w:highlight w:val="none"/>
                <w:u w:val="none" w:color="auto"/>
                <w:lang w:val="en-US" w:eastAsia="zh-CN" w:bidi="ar-SA"/>
              </w:rPr>
              <w:t>3</w:t>
            </w:r>
            <w:r>
              <w:rPr>
                <w:rFonts w:hint="eastAsia" w:ascii="Times New Roman" w:hAnsi="Times New Roman" w:eastAsia="宋体" w:cs="Times New Roman"/>
                <w:b/>
                <w:bCs/>
                <w:snapToGrid w:val="0"/>
                <w:color w:val="auto"/>
                <w:kern w:val="2"/>
                <w:sz w:val="21"/>
                <w:szCs w:val="21"/>
                <w:highlight w:val="none"/>
                <w:u w:val="none" w:color="auto"/>
                <w:lang w:val="en-US" w:eastAsia="zh-CN" w:bidi="ar-SA"/>
              </w:rPr>
              <w:t xml:space="preserve"> </w:t>
            </w:r>
            <w:r>
              <w:rPr>
                <w:rFonts w:hint="eastAsia" w:cs="Times New Roman"/>
                <w:b/>
                <w:bCs/>
                <w:snapToGrid w:val="0"/>
                <w:color w:val="auto"/>
                <w:kern w:val="2"/>
                <w:sz w:val="21"/>
                <w:szCs w:val="21"/>
                <w:highlight w:val="none"/>
                <w:u w:val="none" w:color="auto"/>
                <w:lang w:val="en-US" w:eastAsia="zh-CN" w:bidi="ar-SA"/>
              </w:rPr>
              <w:t xml:space="preserve"> </w:t>
            </w:r>
            <w:r>
              <w:rPr>
                <w:rFonts w:hint="eastAsia" w:ascii="Times New Roman" w:hAnsi="Times New Roman" w:eastAsia="宋体" w:cs="Times New Roman"/>
                <w:b/>
                <w:bCs/>
                <w:snapToGrid w:val="0"/>
                <w:color w:val="auto"/>
                <w:kern w:val="2"/>
                <w:sz w:val="21"/>
                <w:szCs w:val="21"/>
                <w:highlight w:val="none"/>
                <w:u w:val="none" w:color="auto"/>
                <w:lang w:val="en-US" w:eastAsia="zh-CN" w:bidi="ar-SA"/>
              </w:rPr>
              <w:t>新田县污水处理厂工艺流程图</w:t>
            </w:r>
          </w:p>
          <w:p w14:paraId="7D403F85">
            <w:pPr>
              <w:bidi w:val="0"/>
              <w:rPr>
                <w:rFonts w:hint="eastAsia"/>
                <w:color w:val="auto"/>
                <w:u w:val="none" w:color="auto"/>
                <w:lang w:eastAsia="zh-CN"/>
              </w:rPr>
            </w:pPr>
            <w:r>
              <w:rPr>
                <w:rFonts w:hint="eastAsia"/>
                <w:color w:val="auto"/>
                <w:u w:val="none" w:color="auto"/>
              </w:rPr>
              <w:t>综上，项目水污染控制和水环境影响减缓措施有效可行，地表水环境影响评价</w:t>
            </w:r>
            <w:r>
              <w:rPr>
                <w:rFonts w:hint="eastAsia"/>
                <w:color w:val="auto"/>
                <w:u w:val="none" w:color="auto"/>
                <w:lang w:eastAsia="zh-CN"/>
              </w:rPr>
              <w:t>为可接受。</w:t>
            </w:r>
          </w:p>
          <w:p w14:paraId="310E0AAC">
            <w:pPr>
              <w:ind w:firstLine="482"/>
              <w:rPr>
                <w:rFonts w:hint="eastAsia"/>
                <w:b/>
                <w:bCs/>
                <w:color w:val="auto"/>
                <w:u w:val="none" w:color="auto"/>
              </w:rPr>
            </w:pPr>
            <w:r>
              <w:rPr>
                <w:rFonts w:hint="eastAsia"/>
                <w:b/>
                <w:bCs/>
                <w:color w:val="auto"/>
                <w:u w:val="none" w:color="auto"/>
              </w:rPr>
              <w:t>（三）运营期声环境影响和保护措施</w:t>
            </w:r>
          </w:p>
          <w:p w14:paraId="2C0053C2">
            <w:pPr>
              <w:bidi w:val="0"/>
              <w:rPr>
                <w:color w:val="auto"/>
                <w:u w:val="none" w:color="auto"/>
              </w:rPr>
            </w:pPr>
            <w:r>
              <w:rPr>
                <w:rFonts w:hint="eastAsia"/>
                <w:color w:val="auto"/>
                <w:u w:val="none" w:color="auto"/>
              </w:rPr>
              <w:t>本</w:t>
            </w:r>
            <w:r>
              <w:rPr>
                <w:color w:val="auto"/>
                <w:u w:val="none" w:color="auto"/>
              </w:rPr>
              <w:t>项目</w:t>
            </w:r>
            <w:r>
              <w:rPr>
                <w:rFonts w:hint="eastAsia"/>
                <w:color w:val="auto"/>
                <w:u w:val="none" w:color="auto"/>
              </w:rPr>
              <w:t>营运期</w:t>
            </w:r>
            <w:r>
              <w:rPr>
                <w:color w:val="auto"/>
                <w:u w:val="none" w:color="auto"/>
              </w:rPr>
              <w:t>主要噪声源为</w:t>
            </w:r>
            <w:r>
              <w:rPr>
                <w:rFonts w:hint="eastAsia"/>
                <w:color w:val="auto"/>
                <w:u w:val="none" w:color="auto"/>
              </w:rPr>
              <w:t>搅拌机、涂布机、对辊机、风机、空压机</w:t>
            </w:r>
            <w:r>
              <w:rPr>
                <w:color w:val="auto"/>
                <w:u w:val="none" w:color="auto"/>
              </w:rPr>
              <w:t>等设备运行噪声</w:t>
            </w:r>
            <w:r>
              <w:rPr>
                <w:rFonts w:hint="eastAsia"/>
                <w:color w:val="auto"/>
                <w:u w:val="none" w:color="auto"/>
              </w:rPr>
              <w:t>、原材料和产品装卸噪声及运输车辆噪声</w:t>
            </w:r>
            <w:r>
              <w:rPr>
                <w:color w:val="auto"/>
                <w:u w:val="none" w:color="auto"/>
              </w:rPr>
              <w:t>，通过类比分析可知，其噪声源强约为75-</w:t>
            </w:r>
            <w:r>
              <w:rPr>
                <w:rFonts w:hint="eastAsia"/>
                <w:color w:val="auto"/>
                <w:u w:val="none" w:color="auto"/>
              </w:rPr>
              <w:t>9</w:t>
            </w:r>
            <w:r>
              <w:rPr>
                <w:rFonts w:hint="eastAsia"/>
                <w:color w:val="auto"/>
                <w:u w:val="none" w:color="auto"/>
                <w:lang w:val="en-US" w:eastAsia="zh-CN"/>
              </w:rPr>
              <w:t>0</w:t>
            </w:r>
            <w:r>
              <w:rPr>
                <w:color w:val="auto"/>
                <w:u w:val="none" w:color="auto"/>
              </w:rPr>
              <w:t>dB(A)</w:t>
            </w:r>
            <w:r>
              <w:rPr>
                <w:rFonts w:hint="eastAsia"/>
                <w:color w:val="auto"/>
                <w:u w:val="none" w:color="auto"/>
              </w:rPr>
              <w:t>，具体见表4-</w:t>
            </w:r>
            <w:r>
              <w:rPr>
                <w:rFonts w:hint="eastAsia"/>
                <w:color w:val="auto"/>
                <w:u w:val="none" w:color="auto"/>
                <w:lang w:val="en-US" w:eastAsia="zh-CN"/>
              </w:rPr>
              <w:t>9</w:t>
            </w:r>
            <w:r>
              <w:rPr>
                <w:rFonts w:hint="eastAsia"/>
                <w:color w:val="auto"/>
                <w:u w:val="none" w:color="auto"/>
              </w:rPr>
              <w:t>。</w:t>
            </w:r>
          </w:p>
          <w:p w14:paraId="76576FCE">
            <w:pPr>
              <w:spacing w:line="240" w:lineRule="auto"/>
              <w:ind w:firstLine="422"/>
              <w:jc w:val="center"/>
              <w:rPr>
                <w:rFonts w:hint="eastAsia"/>
                <w:b/>
                <w:color w:val="auto"/>
                <w:kern w:val="21"/>
                <w:sz w:val="21"/>
                <w:szCs w:val="21"/>
                <w:u w:val="none" w:color="auto"/>
              </w:rPr>
            </w:pPr>
            <w:r>
              <w:rPr>
                <w:rFonts w:hint="eastAsia"/>
                <w:b/>
                <w:color w:val="auto"/>
                <w:kern w:val="21"/>
                <w:sz w:val="21"/>
                <w:szCs w:val="21"/>
                <w:u w:val="none" w:color="auto"/>
              </w:rPr>
              <w:t>表4-</w:t>
            </w:r>
            <w:r>
              <w:rPr>
                <w:rFonts w:hint="eastAsia"/>
                <w:b/>
                <w:color w:val="auto"/>
                <w:kern w:val="21"/>
                <w:sz w:val="21"/>
                <w:szCs w:val="21"/>
                <w:u w:val="none" w:color="auto"/>
                <w:lang w:val="en-US" w:eastAsia="zh-CN"/>
              </w:rPr>
              <w:t>9</w:t>
            </w:r>
            <w:r>
              <w:rPr>
                <w:rFonts w:hint="eastAsia" w:ascii="Times New Roman" w:hAnsi="Times New Roman" w:eastAsia="宋体" w:cs="Times New Roman"/>
                <w:b/>
                <w:color w:val="auto"/>
                <w:kern w:val="21"/>
                <w:sz w:val="21"/>
                <w:szCs w:val="21"/>
                <w:u w:val="none" w:color="auto"/>
              </w:rPr>
              <w:t>工业企业噪声源强调查清单（室内声源）</w:t>
            </w:r>
          </w:p>
          <w:tbl>
            <w:tblPr>
              <w:tblStyle w:val="28"/>
              <w:tblW w:w="4995" w:type="pct"/>
              <w:tblInd w:w="0" w:type="dxa"/>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556"/>
              <w:gridCol w:w="493"/>
              <w:gridCol w:w="440"/>
              <w:gridCol w:w="600"/>
              <w:gridCol w:w="479"/>
              <w:gridCol w:w="519"/>
              <w:gridCol w:w="465"/>
              <w:gridCol w:w="465"/>
              <w:gridCol w:w="628"/>
              <w:gridCol w:w="769"/>
              <w:gridCol w:w="522"/>
              <w:gridCol w:w="817"/>
              <w:gridCol w:w="752"/>
              <w:gridCol w:w="752"/>
            </w:tblGrid>
            <w:tr w14:paraId="33692532">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336" w:type="pct"/>
                  <w:vMerge w:val="restart"/>
                  <w:tcBorders>
                    <w:tl2br w:val="nil"/>
                    <w:tr2bl w:val="nil"/>
                  </w:tcBorders>
                  <w:shd w:val="clear" w:color="auto" w:fill="auto"/>
                  <w:noWrap/>
                  <w:vAlign w:val="center"/>
                </w:tcPr>
                <w:p w14:paraId="52997F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建筑物</w:t>
                  </w:r>
                  <w:r>
                    <w:rPr>
                      <w:rFonts w:hint="eastAsia" w:ascii="Times New Roman" w:hAnsi="Times New Roman" w:cs="Times New Roman"/>
                      <w:color w:val="auto"/>
                      <w:sz w:val="18"/>
                      <w:szCs w:val="18"/>
                      <w:highlight w:val="none"/>
                      <w:u w:val="none" w:color="auto"/>
                      <w:lang w:val="en-US" w:eastAsia="zh-CN"/>
                    </w:rPr>
                    <w:t>名称</w:t>
                  </w:r>
                </w:p>
              </w:tc>
              <w:tc>
                <w:tcPr>
                  <w:tcW w:w="298" w:type="pct"/>
                  <w:vMerge w:val="restart"/>
                  <w:tcBorders>
                    <w:tl2br w:val="nil"/>
                    <w:tr2bl w:val="nil"/>
                  </w:tcBorders>
                  <w:shd w:val="clear" w:color="auto" w:fill="auto"/>
                  <w:noWrap/>
                  <w:vAlign w:val="center"/>
                </w:tcPr>
                <w:p w14:paraId="1C2358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default" w:ascii="Times New Roman" w:hAnsi="Times New Roman" w:eastAsia="宋体" w:cs="Times New Roman"/>
                      <w:color w:val="auto"/>
                      <w:sz w:val="18"/>
                      <w:szCs w:val="18"/>
                      <w:highlight w:val="none"/>
                      <w:u w:val="none" w:color="auto"/>
                      <w:lang w:val="en-US" w:eastAsia="zh-CN"/>
                    </w:rPr>
                    <w:t>声源</w:t>
                  </w:r>
                  <w:r>
                    <w:rPr>
                      <w:rFonts w:hint="eastAsia" w:cs="Times New Roman"/>
                      <w:color w:val="auto"/>
                      <w:sz w:val="18"/>
                      <w:szCs w:val="18"/>
                      <w:highlight w:val="none"/>
                      <w:u w:val="none" w:color="auto"/>
                      <w:lang w:val="en-US" w:eastAsia="zh-CN"/>
                    </w:rPr>
                    <w:t>名称</w:t>
                  </w:r>
                </w:p>
              </w:tc>
              <w:tc>
                <w:tcPr>
                  <w:tcW w:w="266" w:type="pct"/>
                  <w:vMerge w:val="restart"/>
                  <w:tcBorders>
                    <w:tl2br w:val="nil"/>
                    <w:tr2bl w:val="nil"/>
                  </w:tcBorders>
                  <w:shd w:val="clear" w:color="auto" w:fill="auto"/>
                  <w:noWrap/>
                  <w:vAlign w:val="center"/>
                </w:tcPr>
                <w:p w14:paraId="730089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型号</w:t>
                  </w:r>
                </w:p>
              </w:tc>
              <w:tc>
                <w:tcPr>
                  <w:tcW w:w="363" w:type="pct"/>
                  <w:vMerge w:val="restart"/>
                  <w:tcBorders>
                    <w:tl2br w:val="nil"/>
                    <w:tr2bl w:val="nil"/>
                  </w:tcBorders>
                  <w:shd w:val="clear" w:color="auto" w:fill="auto"/>
                  <w:noWrap/>
                  <w:vAlign w:val="center"/>
                </w:tcPr>
                <w:p w14:paraId="186B34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default" w:ascii="Times New Roman" w:hAnsi="Times New Roman" w:eastAsia="宋体" w:cs="Times New Roman"/>
                      <w:color w:val="auto"/>
                      <w:sz w:val="18"/>
                      <w:szCs w:val="18"/>
                      <w:highlight w:val="none"/>
                      <w:u w:val="none" w:color="auto"/>
                      <w:lang w:val="en-US" w:eastAsia="zh-CN"/>
                    </w:rPr>
                    <w:t>声功率级dB(A)</w:t>
                  </w:r>
                </w:p>
              </w:tc>
              <w:tc>
                <w:tcPr>
                  <w:tcW w:w="290" w:type="pct"/>
                  <w:vMerge w:val="restart"/>
                  <w:tcBorders>
                    <w:tl2br w:val="nil"/>
                    <w:tr2bl w:val="nil"/>
                  </w:tcBorders>
                  <w:shd w:val="clear" w:color="auto" w:fill="auto"/>
                  <w:noWrap/>
                  <w:vAlign w:val="center"/>
                </w:tcPr>
                <w:p w14:paraId="08BF03E6">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18"/>
                      <w:szCs w:val="18"/>
                      <w:highlight w:val="none"/>
                      <w:u w:val="none" w:color="auto"/>
                      <w:lang w:val="en-US" w:eastAsia="zh-CN" w:bidi="ar-SA"/>
                    </w:rPr>
                  </w:pPr>
                  <w:r>
                    <w:rPr>
                      <w:rFonts w:hint="default" w:ascii="Times New Roman" w:hAnsi="Times New Roman" w:eastAsia="宋体" w:cs="Times New Roman"/>
                      <w:caps w:val="0"/>
                      <w:smallCaps w:val="0"/>
                      <w:color w:val="auto"/>
                      <w:spacing w:val="28"/>
                      <w:kern w:val="0"/>
                      <w:sz w:val="18"/>
                      <w:szCs w:val="18"/>
                      <w:highlight w:val="none"/>
                      <w:u w:val="none" w:color="auto"/>
                    </w:rPr>
                    <w:t>声源控制措施</w:t>
                  </w:r>
                </w:p>
              </w:tc>
              <w:tc>
                <w:tcPr>
                  <w:tcW w:w="877" w:type="pct"/>
                  <w:gridSpan w:val="3"/>
                  <w:tcBorders>
                    <w:bottom w:val="single" w:color="000000" w:sz="6" w:space="0"/>
                    <w:tl2br w:val="nil"/>
                    <w:tr2bl w:val="nil"/>
                  </w:tcBorders>
                  <w:shd w:val="clear" w:color="auto" w:fill="auto"/>
                  <w:noWrap/>
                  <w:vAlign w:val="center"/>
                </w:tcPr>
                <w:p w14:paraId="061F30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eastAsia" w:ascii="Times New Roman" w:hAnsi="Times New Roman" w:eastAsia="宋体" w:cs="Times New Roman"/>
                      <w:color w:val="auto"/>
                      <w:sz w:val="18"/>
                      <w:szCs w:val="18"/>
                      <w:highlight w:val="none"/>
                      <w:u w:val="none" w:color="auto"/>
                      <w:lang w:val="en-US" w:eastAsia="zh-CN"/>
                    </w:rPr>
                    <w:t>空间相对位置</w:t>
                  </w:r>
                  <w:r>
                    <w:rPr>
                      <w:rFonts w:hint="default" w:ascii="Times New Roman" w:hAnsi="Times New Roman" w:eastAsia="宋体" w:cs="Times New Roman"/>
                      <w:color w:val="auto"/>
                      <w:sz w:val="18"/>
                      <w:szCs w:val="18"/>
                      <w:highlight w:val="none"/>
                      <w:u w:val="none" w:color="auto"/>
                      <w:lang w:val="en-US" w:eastAsia="zh-CN"/>
                    </w:rPr>
                    <w:t>/m</w:t>
                  </w:r>
                </w:p>
              </w:tc>
              <w:tc>
                <w:tcPr>
                  <w:tcW w:w="380" w:type="pct"/>
                  <w:vMerge w:val="restart"/>
                  <w:tcBorders>
                    <w:tl2br w:val="nil"/>
                    <w:tr2bl w:val="nil"/>
                  </w:tcBorders>
                  <w:shd w:val="clear" w:color="auto" w:fill="auto"/>
                  <w:noWrap/>
                  <w:vAlign w:val="center"/>
                </w:tcPr>
                <w:p w14:paraId="593012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default" w:ascii="Times New Roman" w:hAnsi="Times New Roman" w:eastAsia="宋体" w:cs="Times New Roman"/>
                      <w:color w:val="auto"/>
                      <w:sz w:val="18"/>
                      <w:szCs w:val="18"/>
                      <w:highlight w:val="none"/>
                      <w:u w:val="none" w:color="auto"/>
                      <w:lang w:val="en-US" w:eastAsia="zh-CN"/>
                    </w:rPr>
                    <w:t>距室内边界距</w:t>
                  </w:r>
                </w:p>
                <w:p w14:paraId="4B1C9A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default" w:ascii="Times New Roman" w:hAnsi="Times New Roman" w:eastAsia="宋体" w:cs="Times New Roman"/>
                      <w:color w:val="auto"/>
                      <w:sz w:val="18"/>
                      <w:szCs w:val="18"/>
                      <w:highlight w:val="none"/>
                      <w:u w:val="none" w:color="auto"/>
                      <w:lang w:val="en-US" w:eastAsia="zh-CN"/>
                    </w:rPr>
                    <w:t>离m</w:t>
                  </w:r>
                </w:p>
              </w:tc>
              <w:tc>
                <w:tcPr>
                  <w:tcW w:w="465" w:type="pct"/>
                  <w:vMerge w:val="restart"/>
                  <w:tcBorders>
                    <w:tl2br w:val="nil"/>
                    <w:tr2bl w:val="nil"/>
                  </w:tcBorders>
                  <w:shd w:val="clear" w:color="auto" w:fill="auto"/>
                  <w:noWrap/>
                  <w:vAlign w:val="center"/>
                </w:tcPr>
                <w:p w14:paraId="297ADC16">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18"/>
                      <w:szCs w:val="18"/>
                      <w:highlight w:val="none"/>
                      <w:u w:val="none" w:color="auto"/>
                    </w:rPr>
                  </w:pPr>
                  <w:r>
                    <w:rPr>
                      <w:rFonts w:hint="default" w:ascii="Times New Roman" w:hAnsi="Times New Roman" w:eastAsia="宋体" w:cs="Times New Roman"/>
                      <w:caps w:val="0"/>
                      <w:smallCaps w:val="0"/>
                      <w:color w:val="auto"/>
                      <w:spacing w:val="28"/>
                      <w:kern w:val="0"/>
                      <w:sz w:val="18"/>
                      <w:szCs w:val="18"/>
                      <w:highlight w:val="none"/>
                      <w:u w:val="none" w:color="auto"/>
                    </w:rPr>
                    <w:t>室内边界声级</w:t>
                  </w:r>
                </w:p>
                <w:p w14:paraId="00401F95">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18"/>
                      <w:szCs w:val="18"/>
                      <w:highlight w:val="none"/>
                      <w:u w:val="none" w:color="auto"/>
                      <w:lang w:val="en-US" w:eastAsia="zh-CN" w:bidi="ar-SA"/>
                    </w:rPr>
                  </w:pPr>
                  <w:r>
                    <w:rPr>
                      <w:rFonts w:hint="default" w:ascii="Times New Roman" w:hAnsi="Times New Roman" w:eastAsia="宋体" w:cs="Times New Roman"/>
                      <w:color w:val="auto"/>
                      <w:sz w:val="18"/>
                      <w:szCs w:val="18"/>
                      <w:highlight w:val="none"/>
                      <w:u w:val="none" w:color="auto"/>
                      <w:lang w:val="en-US" w:eastAsia="zh-CN"/>
                    </w:rPr>
                    <w:t>dB(A)</w:t>
                  </w:r>
                </w:p>
              </w:tc>
              <w:tc>
                <w:tcPr>
                  <w:tcW w:w="316" w:type="pct"/>
                  <w:vMerge w:val="restart"/>
                  <w:tcBorders>
                    <w:tl2br w:val="nil"/>
                    <w:tr2bl w:val="nil"/>
                  </w:tcBorders>
                  <w:shd w:val="clear" w:color="auto" w:fill="auto"/>
                  <w:noWrap/>
                  <w:vAlign w:val="center"/>
                </w:tcPr>
                <w:p w14:paraId="02AB0F1A">
                  <w:pPr>
                    <w:autoSpaceDE w:val="0"/>
                    <w:autoSpaceDN w:val="0"/>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28"/>
                      <w:kern w:val="0"/>
                      <w:sz w:val="18"/>
                      <w:szCs w:val="18"/>
                      <w:highlight w:val="none"/>
                      <w:u w:val="none" w:color="auto"/>
                      <w:lang w:eastAsia="zh-CN"/>
                    </w:rPr>
                  </w:pPr>
                  <w:r>
                    <w:rPr>
                      <w:rFonts w:hint="eastAsia" w:cs="Times New Roman"/>
                      <w:caps w:val="0"/>
                      <w:smallCaps w:val="0"/>
                      <w:color w:val="auto"/>
                      <w:spacing w:val="28"/>
                      <w:kern w:val="0"/>
                      <w:sz w:val="18"/>
                      <w:szCs w:val="18"/>
                      <w:highlight w:val="none"/>
                      <w:u w:val="none" w:color="auto"/>
                      <w:lang w:eastAsia="zh-CN"/>
                    </w:rPr>
                    <w:t>运行时段</w:t>
                  </w:r>
                </w:p>
              </w:tc>
              <w:tc>
                <w:tcPr>
                  <w:tcW w:w="494" w:type="pct"/>
                  <w:vMerge w:val="restart"/>
                  <w:tcBorders>
                    <w:tl2br w:val="nil"/>
                    <w:tr2bl w:val="nil"/>
                  </w:tcBorders>
                  <w:shd w:val="clear" w:color="auto" w:fill="auto"/>
                  <w:noWrap/>
                  <w:vAlign w:val="center"/>
                </w:tcPr>
                <w:p w14:paraId="182A7D06">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18"/>
                      <w:szCs w:val="18"/>
                      <w:highlight w:val="none"/>
                      <w:u w:val="none" w:color="auto"/>
                      <w:lang w:val="en-US" w:eastAsia="zh-CN" w:bidi="ar-SA"/>
                    </w:rPr>
                  </w:pPr>
                  <w:r>
                    <w:rPr>
                      <w:rFonts w:hint="default" w:ascii="Times New Roman" w:hAnsi="Times New Roman" w:eastAsia="宋体" w:cs="Times New Roman"/>
                      <w:caps w:val="0"/>
                      <w:smallCaps w:val="0"/>
                      <w:color w:val="auto"/>
                      <w:spacing w:val="28"/>
                      <w:kern w:val="0"/>
                      <w:sz w:val="18"/>
                      <w:szCs w:val="18"/>
                      <w:highlight w:val="none"/>
                      <w:u w:val="none" w:color="auto"/>
                    </w:rPr>
                    <w:t>建筑物插入损失</w:t>
                  </w:r>
                  <w:r>
                    <w:rPr>
                      <w:rFonts w:hint="default" w:ascii="Times New Roman" w:hAnsi="Times New Roman" w:eastAsia="宋体" w:cs="Times New Roman"/>
                      <w:color w:val="auto"/>
                      <w:sz w:val="18"/>
                      <w:szCs w:val="18"/>
                      <w:highlight w:val="none"/>
                      <w:u w:val="none" w:color="auto"/>
                      <w:lang w:val="en-US" w:eastAsia="zh-CN"/>
                    </w:rPr>
                    <w:t>dB(A)</w:t>
                  </w:r>
                </w:p>
              </w:tc>
              <w:tc>
                <w:tcPr>
                  <w:tcW w:w="910" w:type="pct"/>
                  <w:gridSpan w:val="2"/>
                  <w:tcBorders>
                    <w:tl2br w:val="nil"/>
                    <w:tr2bl w:val="nil"/>
                  </w:tcBorders>
                  <w:shd w:val="clear" w:color="auto" w:fill="auto"/>
                  <w:noWrap/>
                  <w:vAlign w:val="center"/>
                </w:tcPr>
                <w:p w14:paraId="1C4B14EC">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18"/>
                      <w:szCs w:val="18"/>
                      <w:highlight w:val="none"/>
                      <w:u w:val="none" w:color="auto"/>
                      <w:lang w:val="en-US" w:eastAsia="zh-CN" w:bidi="ar-SA"/>
                    </w:rPr>
                  </w:pPr>
                  <w:r>
                    <w:rPr>
                      <w:rFonts w:hint="default" w:ascii="Times New Roman" w:hAnsi="Times New Roman" w:eastAsia="宋体" w:cs="Times New Roman"/>
                      <w:caps w:val="0"/>
                      <w:smallCaps w:val="0"/>
                      <w:color w:val="auto"/>
                      <w:spacing w:val="28"/>
                      <w:kern w:val="0"/>
                      <w:sz w:val="18"/>
                      <w:szCs w:val="18"/>
                      <w:highlight w:val="none"/>
                      <w:u w:val="none" w:color="auto"/>
                    </w:rPr>
                    <w:t>建筑物外噪声</w:t>
                  </w:r>
                </w:p>
              </w:tc>
            </w:tr>
            <w:tr w14:paraId="1414EC9F">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336" w:type="pct"/>
                  <w:vMerge w:val="continue"/>
                  <w:tcBorders>
                    <w:tl2br w:val="nil"/>
                    <w:tr2bl w:val="nil"/>
                  </w:tcBorders>
                  <w:shd w:val="clear" w:color="auto" w:fill="auto"/>
                  <w:noWrap/>
                  <w:vAlign w:val="center"/>
                </w:tcPr>
                <w:p w14:paraId="338E0A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p>
              </w:tc>
              <w:tc>
                <w:tcPr>
                  <w:tcW w:w="298" w:type="pct"/>
                  <w:vMerge w:val="continue"/>
                  <w:tcBorders>
                    <w:tl2br w:val="nil"/>
                    <w:tr2bl w:val="nil"/>
                  </w:tcBorders>
                  <w:shd w:val="clear" w:color="auto" w:fill="auto"/>
                  <w:noWrap/>
                  <w:vAlign w:val="center"/>
                </w:tcPr>
                <w:p w14:paraId="51117F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p>
              </w:tc>
              <w:tc>
                <w:tcPr>
                  <w:tcW w:w="266" w:type="pct"/>
                  <w:vMerge w:val="continue"/>
                  <w:tcBorders>
                    <w:tl2br w:val="nil"/>
                    <w:tr2bl w:val="nil"/>
                  </w:tcBorders>
                  <w:shd w:val="clear" w:color="auto" w:fill="auto"/>
                  <w:noWrap/>
                  <w:vAlign w:val="center"/>
                </w:tcPr>
                <w:p w14:paraId="19F76F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highlight w:val="none"/>
                      <w:u w:val="none" w:color="auto"/>
                      <w:lang w:val="en-US" w:eastAsia="zh-CN"/>
                    </w:rPr>
                  </w:pPr>
                </w:p>
              </w:tc>
              <w:tc>
                <w:tcPr>
                  <w:tcW w:w="363" w:type="pct"/>
                  <w:vMerge w:val="continue"/>
                  <w:tcBorders>
                    <w:tl2br w:val="nil"/>
                    <w:tr2bl w:val="nil"/>
                  </w:tcBorders>
                  <w:shd w:val="clear" w:color="auto" w:fill="auto"/>
                  <w:noWrap/>
                  <w:vAlign w:val="center"/>
                </w:tcPr>
                <w:p w14:paraId="2F8103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p>
              </w:tc>
              <w:tc>
                <w:tcPr>
                  <w:tcW w:w="290" w:type="pct"/>
                  <w:vMerge w:val="continue"/>
                  <w:tcBorders>
                    <w:tl2br w:val="nil"/>
                    <w:tr2bl w:val="nil"/>
                  </w:tcBorders>
                  <w:shd w:val="clear" w:color="auto" w:fill="auto"/>
                  <w:noWrap/>
                  <w:vAlign w:val="center"/>
                </w:tcPr>
                <w:p w14:paraId="0A6AF19C">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18"/>
                      <w:szCs w:val="18"/>
                      <w:highlight w:val="none"/>
                      <w:u w:val="none" w:color="auto"/>
                    </w:rPr>
                  </w:pPr>
                </w:p>
              </w:tc>
              <w:tc>
                <w:tcPr>
                  <w:tcW w:w="314" w:type="pct"/>
                  <w:tcBorders>
                    <w:top w:val="single" w:color="000000" w:sz="6" w:space="0"/>
                    <w:bottom w:val="single" w:color="000000" w:sz="6" w:space="0"/>
                    <w:right w:val="single" w:color="000000" w:sz="6" w:space="0"/>
                    <w:tl2br w:val="nil"/>
                    <w:tr2bl w:val="nil"/>
                  </w:tcBorders>
                  <w:shd w:val="clear" w:color="auto" w:fill="auto"/>
                  <w:noWrap/>
                  <w:vAlign w:val="center"/>
                </w:tcPr>
                <w:p w14:paraId="310388AC">
                  <w:pPr>
                    <w:autoSpaceDE w:val="0"/>
                    <w:autoSpaceDN w:val="0"/>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28"/>
                      <w:kern w:val="0"/>
                      <w:sz w:val="18"/>
                      <w:szCs w:val="18"/>
                      <w:highlight w:val="none"/>
                      <w:u w:val="none" w:color="auto"/>
                      <w:lang w:val="en-US" w:eastAsia="zh-CN"/>
                    </w:rPr>
                  </w:pPr>
                  <w:r>
                    <w:rPr>
                      <w:rFonts w:hint="eastAsia" w:cs="Times New Roman"/>
                      <w:caps w:val="0"/>
                      <w:smallCaps w:val="0"/>
                      <w:color w:val="auto"/>
                      <w:spacing w:val="28"/>
                      <w:kern w:val="0"/>
                      <w:sz w:val="18"/>
                      <w:szCs w:val="18"/>
                      <w:highlight w:val="none"/>
                      <w:u w:val="none" w:color="auto"/>
                      <w:lang w:val="en-US" w:eastAsia="zh-CN"/>
                    </w:rPr>
                    <w:t>X</w:t>
                  </w:r>
                </w:p>
              </w:tc>
              <w:tc>
                <w:tcPr>
                  <w:tcW w:w="281" w:type="pct"/>
                  <w:tcBorders>
                    <w:top w:val="single" w:color="000000" w:sz="6" w:space="0"/>
                    <w:left w:val="single" w:color="000000" w:sz="6" w:space="0"/>
                    <w:bottom w:val="single" w:color="000000" w:sz="6" w:space="0"/>
                    <w:right w:val="single" w:color="000000" w:sz="6" w:space="0"/>
                    <w:tl2br w:val="nil"/>
                    <w:tr2bl w:val="nil"/>
                  </w:tcBorders>
                  <w:shd w:val="clear" w:color="auto" w:fill="auto"/>
                  <w:noWrap/>
                  <w:vAlign w:val="center"/>
                </w:tcPr>
                <w:p w14:paraId="5FCCB8EC">
                  <w:pPr>
                    <w:autoSpaceDE w:val="0"/>
                    <w:autoSpaceDN w:val="0"/>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28"/>
                      <w:kern w:val="0"/>
                      <w:sz w:val="18"/>
                      <w:szCs w:val="18"/>
                      <w:highlight w:val="none"/>
                      <w:u w:val="none" w:color="auto"/>
                      <w:lang w:val="en-US" w:eastAsia="zh-CN"/>
                    </w:rPr>
                  </w:pPr>
                  <w:r>
                    <w:rPr>
                      <w:rFonts w:hint="eastAsia" w:cs="Times New Roman"/>
                      <w:caps w:val="0"/>
                      <w:smallCaps w:val="0"/>
                      <w:color w:val="auto"/>
                      <w:spacing w:val="28"/>
                      <w:kern w:val="0"/>
                      <w:sz w:val="18"/>
                      <w:szCs w:val="18"/>
                      <w:highlight w:val="none"/>
                      <w:u w:val="none" w:color="auto"/>
                      <w:lang w:val="en-US" w:eastAsia="zh-CN"/>
                    </w:rPr>
                    <w:t>Y</w:t>
                  </w:r>
                </w:p>
              </w:tc>
              <w:tc>
                <w:tcPr>
                  <w:tcW w:w="281" w:type="pct"/>
                  <w:tcBorders>
                    <w:top w:val="single" w:color="000000" w:sz="6" w:space="0"/>
                    <w:left w:val="single" w:color="000000" w:sz="6" w:space="0"/>
                    <w:bottom w:val="single" w:color="000000" w:sz="6" w:space="0"/>
                    <w:tl2br w:val="nil"/>
                    <w:tr2bl w:val="nil"/>
                  </w:tcBorders>
                  <w:shd w:val="clear" w:color="auto" w:fill="auto"/>
                  <w:noWrap/>
                  <w:vAlign w:val="center"/>
                </w:tcPr>
                <w:p w14:paraId="6D3301DD">
                  <w:pPr>
                    <w:autoSpaceDE w:val="0"/>
                    <w:autoSpaceDN w:val="0"/>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28"/>
                      <w:kern w:val="0"/>
                      <w:sz w:val="18"/>
                      <w:szCs w:val="18"/>
                      <w:highlight w:val="none"/>
                      <w:u w:val="none" w:color="auto"/>
                      <w:lang w:val="en-US" w:eastAsia="zh-CN"/>
                    </w:rPr>
                  </w:pPr>
                  <w:r>
                    <w:rPr>
                      <w:rFonts w:hint="eastAsia" w:cs="Times New Roman"/>
                      <w:caps w:val="0"/>
                      <w:smallCaps w:val="0"/>
                      <w:color w:val="auto"/>
                      <w:spacing w:val="28"/>
                      <w:kern w:val="0"/>
                      <w:sz w:val="18"/>
                      <w:szCs w:val="18"/>
                      <w:highlight w:val="none"/>
                      <w:u w:val="none" w:color="auto"/>
                      <w:lang w:val="en-US" w:eastAsia="zh-CN"/>
                    </w:rPr>
                    <w:t>Z</w:t>
                  </w:r>
                </w:p>
              </w:tc>
              <w:tc>
                <w:tcPr>
                  <w:tcW w:w="380" w:type="pct"/>
                  <w:vMerge w:val="continue"/>
                  <w:tcBorders>
                    <w:tl2br w:val="nil"/>
                    <w:tr2bl w:val="nil"/>
                  </w:tcBorders>
                  <w:shd w:val="clear" w:color="auto" w:fill="auto"/>
                  <w:noWrap/>
                  <w:vAlign w:val="center"/>
                </w:tcPr>
                <w:p w14:paraId="436BAD19">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18"/>
                      <w:szCs w:val="18"/>
                      <w:highlight w:val="none"/>
                      <w:u w:val="none" w:color="auto"/>
                    </w:rPr>
                  </w:pPr>
                </w:p>
              </w:tc>
              <w:tc>
                <w:tcPr>
                  <w:tcW w:w="465" w:type="pct"/>
                  <w:vMerge w:val="continue"/>
                  <w:tcBorders>
                    <w:tl2br w:val="nil"/>
                    <w:tr2bl w:val="nil"/>
                  </w:tcBorders>
                  <w:shd w:val="clear" w:color="auto" w:fill="auto"/>
                  <w:noWrap/>
                  <w:vAlign w:val="center"/>
                </w:tcPr>
                <w:p w14:paraId="779D999F">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18"/>
                      <w:szCs w:val="18"/>
                      <w:highlight w:val="none"/>
                      <w:u w:val="none" w:color="auto"/>
                    </w:rPr>
                  </w:pPr>
                </w:p>
              </w:tc>
              <w:tc>
                <w:tcPr>
                  <w:tcW w:w="316" w:type="pct"/>
                  <w:vMerge w:val="continue"/>
                  <w:tcBorders>
                    <w:tl2br w:val="nil"/>
                    <w:tr2bl w:val="nil"/>
                  </w:tcBorders>
                  <w:shd w:val="clear" w:color="auto" w:fill="auto"/>
                  <w:noWrap/>
                  <w:vAlign w:val="center"/>
                </w:tcPr>
                <w:p w14:paraId="25AF3719">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18"/>
                      <w:szCs w:val="18"/>
                      <w:highlight w:val="none"/>
                      <w:u w:val="none" w:color="auto"/>
                    </w:rPr>
                  </w:pPr>
                </w:p>
              </w:tc>
              <w:tc>
                <w:tcPr>
                  <w:tcW w:w="494" w:type="pct"/>
                  <w:vMerge w:val="continue"/>
                  <w:tcBorders>
                    <w:tl2br w:val="nil"/>
                    <w:tr2bl w:val="nil"/>
                  </w:tcBorders>
                  <w:shd w:val="clear" w:color="auto" w:fill="auto"/>
                  <w:noWrap/>
                  <w:vAlign w:val="center"/>
                </w:tcPr>
                <w:p w14:paraId="43BAAE0F">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18"/>
                      <w:szCs w:val="18"/>
                      <w:highlight w:val="none"/>
                      <w:u w:val="none" w:color="auto"/>
                    </w:rPr>
                  </w:pPr>
                </w:p>
              </w:tc>
              <w:tc>
                <w:tcPr>
                  <w:tcW w:w="455" w:type="pct"/>
                  <w:tcBorders>
                    <w:tl2br w:val="nil"/>
                    <w:tr2bl w:val="nil"/>
                  </w:tcBorders>
                  <w:shd w:val="clear" w:color="auto" w:fill="auto"/>
                  <w:noWrap/>
                  <w:vAlign w:val="center"/>
                </w:tcPr>
                <w:p w14:paraId="091FCC5A">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18"/>
                      <w:szCs w:val="18"/>
                      <w:highlight w:val="none"/>
                      <w:u w:val="none" w:color="auto"/>
                      <w:lang w:val="en-US" w:eastAsia="zh-CN" w:bidi="ar-SA"/>
                    </w:rPr>
                  </w:pPr>
                  <w:r>
                    <w:rPr>
                      <w:rFonts w:hint="default" w:ascii="Times New Roman" w:hAnsi="Times New Roman" w:eastAsia="宋体" w:cs="Times New Roman"/>
                      <w:caps w:val="0"/>
                      <w:smallCaps w:val="0"/>
                      <w:color w:val="auto"/>
                      <w:spacing w:val="28"/>
                      <w:kern w:val="0"/>
                      <w:sz w:val="18"/>
                      <w:szCs w:val="18"/>
                      <w:highlight w:val="none"/>
                      <w:u w:val="none" w:color="auto"/>
                    </w:rPr>
                    <w:t>声压级</w:t>
                  </w:r>
                  <w:r>
                    <w:rPr>
                      <w:rFonts w:hint="default" w:ascii="Times New Roman" w:hAnsi="Times New Roman" w:eastAsia="宋体" w:cs="Times New Roman"/>
                      <w:color w:val="auto"/>
                      <w:sz w:val="18"/>
                      <w:szCs w:val="18"/>
                      <w:highlight w:val="none"/>
                      <w:u w:val="none" w:color="auto"/>
                      <w:lang w:val="en-US" w:eastAsia="zh-CN"/>
                    </w:rPr>
                    <w:t>dB(A)</w:t>
                  </w:r>
                </w:p>
              </w:tc>
              <w:tc>
                <w:tcPr>
                  <w:tcW w:w="455" w:type="pct"/>
                  <w:tcBorders>
                    <w:tl2br w:val="nil"/>
                    <w:tr2bl w:val="nil"/>
                  </w:tcBorders>
                  <w:shd w:val="clear" w:color="auto" w:fill="auto"/>
                  <w:noWrap/>
                  <w:vAlign w:val="center"/>
                </w:tcPr>
                <w:p w14:paraId="1EB3CDBF">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18"/>
                      <w:szCs w:val="18"/>
                      <w:highlight w:val="none"/>
                      <w:u w:val="none" w:color="auto"/>
                    </w:rPr>
                  </w:pPr>
                  <w:r>
                    <w:rPr>
                      <w:rFonts w:hint="default" w:ascii="Times New Roman" w:hAnsi="Times New Roman" w:eastAsia="宋体" w:cs="Times New Roman"/>
                      <w:caps w:val="0"/>
                      <w:smallCaps w:val="0"/>
                      <w:color w:val="auto"/>
                      <w:spacing w:val="28"/>
                      <w:kern w:val="0"/>
                      <w:sz w:val="18"/>
                      <w:szCs w:val="18"/>
                      <w:highlight w:val="none"/>
                      <w:u w:val="none" w:color="auto"/>
                    </w:rPr>
                    <w:t>建筑物外距离</w:t>
                  </w:r>
                </w:p>
                <w:p w14:paraId="3E7E0CC0">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0"/>
                      <w:sz w:val="18"/>
                      <w:szCs w:val="18"/>
                      <w:highlight w:val="none"/>
                      <w:u w:val="none" w:color="auto"/>
                      <w:lang w:val="en-US" w:eastAsia="zh-CN" w:bidi="ar-SA"/>
                    </w:rPr>
                  </w:pPr>
                  <w:r>
                    <w:rPr>
                      <w:rFonts w:hint="default" w:ascii="Times New Roman" w:hAnsi="Times New Roman" w:eastAsia="宋体" w:cs="Times New Roman"/>
                      <w:caps w:val="0"/>
                      <w:smallCaps w:val="0"/>
                      <w:color w:val="auto"/>
                      <w:spacing w:val="28"/>
                      <w:kern w:val="0"/>
                      <w:sz w:val="18"/>
                      <w:szCs w:val="18"/>
                      <w:highlight w:val="none"/>
                      <w:u w:val="none" w:color="auto"/>
                    </w:rPr>
                    <w:t>m</w:t>
                  </w:r>
                </w:p>
              </w:tc>
            </w:tr>
            <w:tr w14:paraId="083CEECE">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1" w:hRule="atLeast"/>
              </w:trPr>
              <w:tc>
                <w:tcPr>
                  <w:tcW w:w="336" w:type="pct"/>
                  <w:vMerge w:val="restart"/>
                  <w:tcBorders>
                    <w:tl2br w:val="nil"/>
                    <w:tr2bl w:val="nil"/>
                  </w:tcBorders>
                  <w:shd w:val="clear" w:color="auto" w:fill="auto"/>
                  <w:vAlign w:val="center"/>
                </w:tcPr>
                <w:p w14:paraId="2B458A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18"/>
                      <w:szCs w:val="18"/>
                      <w:highlight w:val="none"/>
                      <w:u w:val="none" w:color="auto"/>
                      <w:lang w:val="en-US" w:eastAsia="zh-CN" w:bidi="ar-SA"/>
                    </w:rPr>
                  </w:pPr>
                  <w:r>
                    <w:rPr>
                      <w:rFonts w:hint="default" w:ascii="Times New Roman" w:hAnsi="Times New Roman" w:eastAsia="宋体" w:cs="Times New Roman"/>
                      <w:color w:val="auto"/>
                      <w:sz w:val="18"/>
                      <w:szCs w:val="18"/>
                      <w:highlight w:val="none"/>
                      <w:u w:val="none" w:color="auto"/>
                      <w:lang w:val="en-US" w:eastAsia="zh-CN"/>
                    </w:rPr>
                    <w:t>配料</w:t>
                  </w:r>
                  <w:r>
                    <w:rPr>
                      <w:rFonts w:hint="eastAsia" w:cs="Times New Roman"/>
                      <w:color w:val="auto"/>
                      <w:sz w:val="18"/>
                      <w:szCs w:val="18"/>
                      <w:highlight w:val="none"/>
                      <w:u w:val="none" w:color="auto"/>
                      <w:lang w:val="en-US" w:eastAsia="zh-CN"/>
                    </w:rPr>
                    <w:t>车间</w:t>
                  </w:r>
                </w:p>
              </w:tc>
              <w:tc>
                <w:tcPr>
                  <w:tcW w:w="298" w:type="pct"/>
                  <w:tcBorders>
                    <w:bottom w:val="single" w:color="000000" w:sz="4" w:space="0"/>
                    <w:tl2br w:val="nil"/>
                    <w:tr2bl w:val="nil"/>
                  </w:tcBorders>
                  <w:shd w:val="clear" w:color="auto" w:fill="auto"/>
                  <w:vAlign w:val="center"/>
                </w:tcPr>
                <w:p w14:paraId="376FB0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18"/>
                      <w:szCs w:val="18"/>
                      <w:highlight w:val="none"/>
                      <w:u w:val="none" w:color="auto"/>
                      <w:lang w:val="en-US" w:eastAsia="zh-CN" w:bidi="ar-SA"/>
                    </w:rPr>
                  </w:pPr>
                  <w:r>
                    <w:rPr>
                      <w:rFonts w:hint="default" w:ascii="Times New Roman" w:hAnsi="Times New Roman" w:eastAsia="宋体" w:cs="Times New Roman"/>
                      <w:color w:val="auto"/>
                      <w:sz w:val="18"/>
                      <w:szCs w:val="18"/>
                      <w:highlight w:val="none"/>
                      <w:u w:val="none" w:color="auto"/>
                      <w:lang w:val="en-US" w:eastAsia="zh-CN"/>
                    </w:rPr>
                    <w:t>搅拌机</w:t>
                  </w:r>
                </w:p>
              </w:tc>
              <w:tc>
                <w:tcPr>
                  <w:tcW w:w="266" w:type="pct"/>
                  <w:tcBorders>
                    <w:tl2br w:val="nil"/>
                    <w:tr2bl w:val="nil"/>
                  </w:tcBorders>
                  <w:shd w:val="clear" w:color="auto" w:fill="auto"/>
                  <w:noWrap/>
                  <w:vAlign w:val="center"/>
                </w:tcPr>
                <w:p w14:paraId="4B89C2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18"/>
                      <w:szCs w:val="18"/>
                      <w:highlight w:val="none"/>
                      <w:u w:val="none" w:color="auto"/>
                      <w:lang w:val="en-US" w:eastAsia="zh-CN" w:bidi="ar-SA"/>
                    </w:rPr>
                  </w:pPr>
                  <w:r>
                    <w:rPr>
                      <w:rFonts w:hint="eastAsia" w:cs="Times New Roman"/>
                      <w:color w:val="auto"/>
                      <w:sz w:val="18"/>
                      <w:szCs w:val="18"/>
                      <w:highlight w:val="none"/>
                      <w:u w:val="none" w:color="auto"/>
                      <w:lang w:val="en-US" w:eastAsia="zh-CN"/>
                    </w:rPr>
                    <w:t>/</w:t>
                  </w:r>
                </w:p>
              </w:tc>
              <w:tc>
                <w:tcPr>
                  <w:tcW w:w="363" w:type="pct"/>
                  <w:tcBorders>
                    <w:bottom w:val="single" w:color="000000" w:sz="4" w:space="0"/>
                    <w:tl2br w:val="nil"/>
                    <w:tr2bl w:val="nil"/>
                  </w:tcBorders>
                  <w:shd w:val="clear" w:color="auto" w:fill="auto"/>
                  <w:noWrap/>
                  <w:vAlign w:val="center"/>
                </w:tcPr>
                <w:p w14:paraId="735818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default" w:ascii="Times New Roman" w:hAnsi="Times New Roman" w:eastAsia="宋体" w:cs="Times New Roman"/>
                      <w:color w:val="auto"/>
                      <w:sz w:val="18"/>
                      <w:szCs w:val="18"/>
                      <w:highlight w:val="none"/>
                      <w:u w:val="none" w:color="auto"/>
                      <w:lang w:val="en-US" w:eastAsia="zh-CN"/>
                    </w:rPr>
                    <w:t>75</w:t>
                  </w:r>
                </w:p>
              </w:tc>
              <w:tc>
                <w:tcPr>
                  <w:tcW w:w="290" w:type="pct"/>
                  <w:vMerge w:val="restart"/>
                  <w:tcBorders>
                    <w:tl2br w:val="nil"/>
                    <w:tr2bl w:val="nil"/>
                  </w:tcBorders>
                  <w:shd w:val="clear" w:color="auto" w:fill="auto"/>
                  <w:noWrap/>
                  <w:vAlign w:val="center"/>
                </w:tcPr>
                <w:p w14:paraId="73515E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减震、隔声</w:t>
                  </w:r>
                </w:p>
              </w:tc>
              <w:tc>
                <w:tcPr>
                  <w:tcW w:w="314" w:type="pct"/>
                  <w:tcBorders>
                    <w:top w:val="single" w:color="000000" w:sz="6" w:space="0"/>
                    <w:bottom w:val="single" w:color="000000" w:sz="4" w:space="0"/>
                    <w:right w:val="single" w:color="000000" w:sz="6" w:space="0"/>
                    <w:tl2br w:val="nil"/>
                    <w:tr2bl w:val="nil"/>
                  </w:tcBorders>
                  <w:shd w:val="clear" w:color="auto" w:fill="auto"/>
                  <w:noWrap/>
                  <w:vAlign w:val="center"/>
                </w:tcPr>
                <w:p w14:paraId="2BF0A0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20</w:t>
                  </w:r>
                </w:p>
              </w:tc>
              <w:tc>
                <w:tcPr>
                  <w:tcW w:w="281" w:type="pct"/>
                  <w:tcBorders>
                    <w:top w:val="single" w:color="000000" w:sz="6" w:space="0"/>
                    <w:left w:val="single" w:color="000000" w:sz="6" w:space="0"/>
                    <w:bottom w:val="single" w:color="000000" w:sz="4" w:space="0"/>
                    <w:right w:val="single" w:color="000000" w:sz="6" w:space="0"/>
                    <w:tl2br w:val="nil"/>
                    <w:tr2bl w:val="nil"/>
                  </w:tcBorders>
                  <w:shd w:val="clear" w:color="auto" w:fill="auto"/>
                  <w:noWrap/>
                  <w:vAlign w:val="center"/>
                </w:tcPr>
                <w:p w14:paraId="7043D8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10</w:t>
                  </w:r>
                </w:p>
              </w:tc>
              <w:tc>
                <w:tcPr>
                  <w:tcW w:w="281" w:type="pct"/>
                  <w:tcBorders>
                    <w:top w:val="single" w:color="000000" w:sz="6" w:space="0"/>
                    <w:left w:val="single" w:color="000000" w:sz="6" w:space="0"/>
                    <w:bottom w:val="single" w:color="000000" w:sz="4" w:space="0"/>
                    <w:tl2br w:val="nil"/>
                    <w:tr2bl w:val="nil"/>
                  </w:tcBorders>
                  <w:shd w:val="clear" w:color="auto" w:fill="auto"/>
                  <w:noWrap/>
                  <w:vAlign w:val="center"/>
                </w:tcPr>
                <w:p w14:paraId="2C6D95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1</w:t>
                  </w:r>
                </w:p>
              </w:tc>
              <w:tc>
                <w:tcPr>
                  <w:tcW w:w="380" w:type="pct"/>
                  <w:tcBorders>
                    <w:tl2br w:val="nil"/>
                    <w:tr2bl w:val="nil"/>
                  </w:tcBorders>
                  <w:shd w:val="clear" w:color="auto" w:fill="auto"/>
                  <w:noWrap/>
                  <w:vAlign w:val="center"/>
                </w:tcPr>
                <w:p w14:paraId="7EAC3F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18"/>
                      <w:szCs w:val="18"/>
                      <w:highlight w:val="none"/>
                      <w:u w:val="none" w:color="auto"/>
                      <w:lang w:val="en-US" w:eastAsia="zh-CN" w:bidi="ar-SA"/>
                    </w:rPr>
                  </w:pPr>
                  <w:r>
                    <w:rPr>
                      <w:rFonts w:hint="eastAsia" w:cs="Times New Roman"/>
                      <w:color w:val="auto"/>
                      <w:sz w:val="18"/>
                      <w:szCs w:val="18"/>
                      <w:highlight w:val="none"/>
                      <w:u w:val="none" w:color="auto"/>
                      <w:lang w:val="en-US" w:eastAsia="zh-CN"/>
                    </w:rPr>
                    <w:t>2</w:t>
                  </w:r>
                </w:p>
              </w:tc>
              <w:tc>
                <w:tcPr>
                  <w:tcW w:w="465" w:type="pct"/>
                  <w:tcBorders>
                    <w:tl2br w:val="nil"/>
                    <w:tr2bl w:val="nil"/>
                  </w:tcBorders>
                  <w:shd w:val="clear" w:color="auto" w:fill="auto"/>
                  <w:noWrap/>
                  <w:vAlign w:val="center"/>
                </w:tcPr>
                <w:p w14:paraId="325565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69</w:t>
                  </w:r>
                </w:p>
              </w:tc>
              <w:tc>
                <w:tcPr>
                  <w:tcW w:w="316" w:type="pct"/>
                  <w:vMerge w:val="restart"/>
                  <w:tcBorders>
                    <w:tl2br w:val="nil"/>
                    <w:tr2bl w:val="nil"/>
                  </w:tcBorders>
                  <w:shd w:val="clear" w:color="auto" w:fill="auto"/>
                  <w:noWrap/>
                  <w:vAlign w:val="center"/>
                </w:tcPr>
                <w:p w14:paraId="0E7A20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18"/>
                      <w:szCs w:val="18"/>
                      <w:highlight w:val="none"/>
                      <w:u w:val="none" w:color="auto"/>
                      <w:lang w:val="en-US" w:eastAsia="zh-CN"/>
                    </w:rPr>
                  </w:pPr>
                  <w:r>
                    <w:rPr>
                      <w:rFonts w:hint="eastAsia"/>
                      <w:color w:val="auto"/>
                      <w:sz w:val="18"/>
                      <w:szCs w:val="18"/>
                      <w:u w:val="none" w:color="auto"/>
                    </w:rPr>
                    <w:t>昼</w:t>
                  </w:r>
                  <w:r>
                    <w:rPr>
                      <w:rFonts w:hint="eastAsia"/>
                      <w:color w:val="auto"/>
                      <w:sz w:val="18"/>
                      <w:szCs w:val="18"/>
                      <w:u w:val="none" w:color="auto"/>
                      <w:lang w:val="en-US" w:eastAsia="zh-CN"/>
                    </w:rPr>
                    <w:t>夜</w:t>
                  </w:r>
                  <w:r>
                    <w:rPr>
                      <w:rFonts w:hint="eastAsia"/>
                      <w:color w:val="auto"/>
                      <w:sz w:val="18"/>
                      <w:szCs w:val="18"/>
                      <w:u w:val="none" w:color="auto"/>
                    </w:rPr>
                    <w:t>间</w:t>
                  </w:r>
                </w:p>
              </w:tc>
              <w:tc>
                <w:tcPr>
                  <w:tcW w:w="494" w:type="pct"/>
                  <w:tcBorders>
                    <w:tl2br w:val="nil"/>
                    <w:tr2bl w:val="nil"/>
                  </w:tcBorders>
                  <w:shd w:val="clear" w:color="auto" w:fill="auto"/>
                  <w:noWrap/>
                  <w:vAlign w:val="center"/>
                </w:tcPr>
                <w:p w14:paraId="34885E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18"/>
                      <w:szCs w:val="18"/>
                      <w:highlight w:val="none"/>
                      <w:u w:val="none" w:color="auto"/>
                      <w:lang w:val="en-US" w:eastAsia="zh-CN"/>
                    </w:rPr>
                  </w:pPr>
                  <w:r>
                    <w:rPr>
                      <w:rFonts w:hint="eastAsia" w:ascii="Times New Roman" w:hAnsi="Times New Roman" w:cs="Times New Roman"/>
                      <w:color w:val="auto"/>
                      <w:sz w:val="18"/>
                      <w:szCs w:val="18"/>
                      <w:highlight w:val="none"/>
                      <w:u w:val="none" w:color="auto"/>
                      <w:lang w:val="en-US" w:eastAsia="zh-CN"/>
                    </w:rPr>
                    <w:t>15</w:t>
                  </w:r>
                </w:p>
              </w:tc>
              <w:tc>
                <w:tcPr>
                  <w:tcW w:w="455" w:type="pct"/>
                  <w:tcBorders>
                    <w:tl2br w:val="nil"/>
                    <w:tr2bl w:val="nil"/>
                  </w:tcBorders>
                  <w:shd w:val="clear" w:color="auto" w:fill="auto"/>
                  <w:noWrap/>
                  <w:vAlign w:val="center"/>
                </w:tcPr>
                <w:p w14:paraId="424B09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54</w:t>
                  </w:r>
                </w:p>
              </w:tc>
              <w:tc>
                <w:tcPr>
                  <w:tcW w:w="455" w:type="pct"/>
                  <w:tcBorders>
                    <w:bottom w:val="single" w:color="000000" w:sz="4" w:space="0"/>
                    <w:tl2br w:val="nil"/>
                    <w:tr2bl w:val="nil"/>
                  </w:tcBorders>
                  <w:shd w:val="clear" w:color="auto" w:fill="auto"/>
                  <w:noWrap/>
                  <w:vAlign w:val="center"/>
                </w:tcPr>
                <w:p w14:paraId="12BE73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default" w:ascii="Times New Roman" w:hAnsi="Times New Roman" w:eastAsia="宋体" w:cs="Times New Roman"/>
                      <w:color w:val="auto"/>
                      <w:sz w:val="18"/>
                      <w:szCs w:val="18"/>
                      <w:highlight w:val="none"/>
                      <w:u w:val="none" w:color="auto"/>
                      <w:lang w:val="en-US" w:eastAsia="zh-CN"/>
                    </w:rPr>
                    <w:t>1</w:t>
                  </w:r>
                </w:p>
              </w:tc>
            </w:tr>
            <w:tr w14:paraId="1BABF31E">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7" w:hRule="atLeast"/>
              </w:trPr>
              <w:tc>
                <w:tcPr>
                  <w:tcW w:w="336" w:type="pct"/>
                  <w:vMerge w:val="continue"/>
                  <w:tcBorders>
                    <w:bottom w:val="single" w:color="000000" w:sz="6" w:space="0"/>
                    <w:tl2br w:val="nil"/>
                    <w:tr2bl w:val="nil"/>
                  </w:tcBorders>
                  <w:shd w:val="clear" w:color="auto" w:fill="auto"/>
                  <w:vAlign w:val="center"/>
                </w:tcPr>
                <w:p w14:paraId="48BA65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p>
              </w:tc>
              <w:tc>
                <w:tcPr>
                  <w:tcW w:w="298" w:type="pct"/>
                  <w:tcBorders>
                    <w:bottom w:val="single" w:color="000000" w:sz="6" w:space="0"/>
                    <w:tl2br w:val="nil"/>
                    <w:tr2bl w:val="nil"/>
                  </w:tcBorders>
                  <w:shd w:val="clear" w:color="auto" w:fill="auto"/>
                  <w:vAlign w:val="center"/>
                </w:tcPr>
                <w:p w14:paraId="56B0FD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打胶机</w:t>
                  </w:r>
                </w:p>
              </w:tc>
              <w:tc>
                <w:tcPr>
                  <w:tcW w:w="266" w:type="pct"/>
                  <w:tcBorders>
                    <w:tl2br w:val="nil"/>
                    <w:tr2bl w:val="nil"/>
                  </w:tcBorders>
                  <w:shd w:val="clear" w:color="auto" w:fill="auto"/>
                  <w:noWrap/>
                  <w:vAlign w:val="center"/>
                </w:tcPr>
                <w:p w14:paraId="099B37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w:t>
                  </w:r>
                </w:p>
              </w:tc>
              <w:tc>
                <w:tcPr>
                  <w:tcW w:w="363" w:type="pct"/>
                  <w:tcBorders>
                    <w:bottom w:val="single" w:color="000000" w:sz="6" w:space="0"/>
                    <w:tl2br w:val="nil"/>
                    <w:tr2bl w:val="nil"/>
                  </w:tcBorders>
                  <w:shd w:val="clear" w:color="auto" w:fill="auto"/>
                  <w:noWrap/>
                  <w:vAlign w:val="center"/>
                </w:tcPr>
                <w:p w14:paraId="68E759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75</w:t>
                  </w:r>
                </w:p>
              </w:tc>
              <w:tc>
                <w:tcPr>
                  <w:tcW w:w="290" w:type="pct"/>
                  <w:vMerge w:val="continue"/>
                  <w:tcBorders>
                    <w:tl2br w:val="nil"/>
                    <w:tr2bl w:val="nil"/>
                  </w:tcBorders>
                  <w:shd w:val="clear" w:color="auto" w:fill="auto"/>
                  <w:noWrap/>
                  <w:vAlign w:val="center"/>
                </w:tcPr>
                <w:p w14:paraId="1D02DF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18"/>
                      <w:szCs w:val="18"/>
                      <w:highlight w:val="none"/>
                      <w:u w:val="none" w:color="auto"/>
                      <w:lang w:val="en-US" w:eastAsia="zh-CN"/>
                    </w:rPr>
                  </w:pPr>
                </w:p>
              </w:tc>
              <w:tc>
                <w:tcPr>
                  <w:tcW w:w="314" w:type="pct"/>
                  <w:tcBorders>
                    <w:top w:val="single" w:color="000000" w:sz="4" w:space="0"/>
                    <w:bottom w:val="single" w:color="000000" w:sz="6" w:space="0"/>
                    <w:right w:val="single" w:color="000000" w:sz="6" w:space="0"/>
                    <w:tl2br w:val="nil"/>
                    <w:tr2bl w:val="nil"/>
                  </w:tcBorders>
                  <w:shd w:val="clear" w:color="auto" w:fill="auto"/>
                  <w:noWrap/>
                  <w:vAlign w:val="center"/>
                </w:tcPr>
                <w:p w14:paraId="6B019A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18"/>
                      <w:szCs w:val="18"/>
                      <w:highlight w:val="none"/>
                      <w:u w:val="none" w:color="auto"/>
                      <w:lang w:val="en-US" w:eastAsia="zh-CN" w:bidi="ar-SA"/>
                    </w:rPr>
                  </w:pPr>
                  <w:r>
                    <w:rPr>
                      <w:rFonts w:hint="eastAsia" w:cs="Times New Roman"/>
                      <w:color w:val="auto"/>
                      <w:sz w:val="18"/>
                      <w:szCs w:val="18"/>
                      <w:highlight w:val="none"/>
                      <w:u w:val="none" w:color="auto"/>
                      <w:lang w:val="en-US" w:eastAsia="zh-CN"/>
                    </w:rPr>
                    <w:t>-20</w:t>
                  </w:r>
                </w:p>
              </w:tc>
              <w:tc>
                <w:tcPr>
                  <w:tcW w:w="281" w:type="pct"/>
                  <w:tcBorders>
                    <w:top w:val="single" w:color="000000" w:sz="4" w:space="0"/>
                    <w:left w:val="single" w:color="000000" w:sz="6" w:space="0"/>
                    <w:right w:val="single" w:color="000000" w:sz="6" w:space="0"/>
                    <w:tl2br w:val="nil"/>
                    <w:tr2bl w:val="nil"/>
                  </w:tcBorders>
                  <w:shd w:val="clear" w:color="auto" w:fill="auto"/>
                  <w:noWrap/>
                  <w:vAlign w:val="center"/>
                </w:tcPr>
                <w:p w14:paraId="2EE13A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18"/>
                      <w:szCs w:val="18"/>
                      <w:highlight w:val="none"/>
                      <w:u w:val="none" w:color="auto"/>
                      <w:lang w:val="en-US" w:eastAsia="zh-CN" w:bidi="ar-SA"/>
                    </w:rPr>
                  </w:pPr>
                  <w:r>
                    <w:rPr>
                      <w:rFonts w:hint="eastAsia" w:cs="Times New Roman"/>
                      <w:color w:val="auto"/>
                      <w:sz w:val="18"/>
                      <w:szCs w:val="18"/>
                      <w:highlight w:val="none"/>
                      <w:u w:val="none" w:color="auto"/>
                      <w:lang w:val="en-US" w:eastAsia="zh-CN"/>
                    </w:rPr>
                    <w:t>1</w:t>
                  </w:r>
                </w:p>
              </w:tc>
              <w:tc>
                <w:tcPr>
                  <w:tcW w:w="281" w:type="pct"/>
                  <w:tcBorders>
                    <w:top w:val="single" w:color="000000" w:sz="4" w:space="0"/>
                    <w:left w:val="single" w:color="000000" w:sz="6" w:space="0"/>
                    <w:tl2br w:val="nil"/>
                    <w:tr2bl w:val="nil"/>
                  </w:tcBorders>
                  <w:shd w:val="clear" w:color="auto" w:fill="auto"/>
                  <w:noWrap/>
                  <w:vAlign w:val="center"/>
                </w:tcPr>
                <w:p w14:paraId="3E604C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cs="Times New Roman"/>
                      <w:color w:val="auto"/>
                      <w:sz w:val="18"/>
                      <w:szCs w:val="18"/>
                      <w:highlight w:val="none"/>
                      <w:u w:val="none" w:color="auto"/>
                      <w:lang w:val="en-US" w:eastAsia="zh-CN"/>
                    </w:rPr>
                    <w:t>1</w:t>
                  </w:r>
                </w:p>
              </w:tc>
              <w:tc>
                <w:tcPr>
                  <w:tcW w:w="380" w:type="pct"/>
                  <w:tcBorders>
                    <w:tl2br w:val="nil"/>
                    <w:tr2bl w:val="nil"/>
                  </w:tcBorders>
                  <w:shd w:val="clear" w:color="auto" w:fill="auto"/>
                  <w:noWrap/>
                  <w:vAlign w:val="center"/>
                </w:tcPr>
                <w:p w14:paraId="100AE6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w:t>
                  </w:r>
                </w:p>
              </w:tc>
              <w:tc>
                <w:tcPr>
                  <w:tcW w:w="465" w:type="pct"/>
                  <w:tcBorders>
                    <w:tl2br w:val="nil"/>
                    <w:tr2bl w:val="nil"/>
                  </w:tcBorders>
                  <w:shd w:val="clear" w:color="auto" w:fill="auto"/>
                  <w:noWrap/>
                  <w:vAlign w:val="center"/>
                </w:tcPr>
                <w:p w14:paraId="103CD2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69</w:t>
                  </w:r>
                </w:p>
              </w:tc>
              <w:tc>
                <w:tcPr>
                  <w:tcW w:w="316" w:type="pct"/>
                  <w:vMerge w:val="continue"/>
                  <w:tcBorders>
                    <w:tl2br w:val="nil"/>
                    <w:tr2bl w:val="nil"/>
                  </w:tcBorders>
                  <w:shd w:val="clear" w:color="auto" w:fill="auto"/>
                  <w:noWrap/>
                  <w:vAlign w:val="center"/>
                </w:tcPr>
                <w:p w14:paraId="63C925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18"/>
                      <w:szCs w:val="18"/>
                      <w:u w:val="none" w:color="auto"/>
                    </w:rPr>
                  </w:pPr>
                </w:p>
              </w:tc>
              <w:tc>
                <w:tcPr>
                  <w:tcW w:w="494" w:type="pct"/>
                  <w:tcBorders>
                    <w:tl2br w:val="nil"/>
                    <w:tr2bl w:val="nil"/>
                  </w:tcBorders>
                  <w:shd w:val="clear" w:color="auto" w:fill="auto"/>
                  <w:noWrap/>
                  <w:vAlign w:val="center"/>
                </w:tcPr>
                <w:p w14:paraId="51CDEB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18"/>
                      <w:szCs w:val="18"/>
                      <w:highlight w:val="none"/>
                      <w:u w:val="none" w:color="auto"/>
                      <w:lang w:val="en-US" w:eastAsia="zh-CN"/>
                    </w:rPr>
                  </w:pPr>
                  <w:r>
                    <w:rPr>
                      <w:rFonts w:hint="eastAsia" w:ascii="Times New Roman" w:hAnsi="Times New Roman" w:cs="Times New Roman"/>
                      <w:color w:val="auto"/>
                      <w:sz w:val="18"/>
                      <w:szCs w:val="18"/>
                      <w:highlight w:val="none"/>
                      <w:u w:val="none" w:color="auto"/>
                      <w:lang w:val="en-US" w:eastAsia="zh-CN"/>
                    </w:rPr>
                    <w:t>15</w:t>
                  </w:r>
                </w:p>
              </w:tc>
              <w:tc>
                <w:tcPr>
                  <w:tcW w:w="455" w:type="pct"/>
                  <w:tcBorders>
                    <w:tl2br w:val="nil"/>
                    <w:tr2bl w:val="nil"/>
                  </w:tcBorders>
                  <w:shd w:val="clear" w:color="auto" w:fill="auto"/>
                  <w:noWrap/>
                  <w:vAlign w:val="center"/>
                </w:tcPr>
                <w:p w14:paraId="3FD8C4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54</w:t>
                  </w:r>
                </w:p>
              </w:tc>
              <w:tc>
                <w:tcPr>
                  <w:tcW w:w="455" w:type="pct"/>
                  <w:tcBorders>
                    <w:bottom w:val="single" w:color="000000" w:sz="6" w:space="0"/>
                    <w:tl2br w:val="nil"/>
                    <w:tr2bl w:val="nil"/>
                  </w:tcBorders>
                  <w:shd w:val="clear" w:color="auto" w:fill="auto"/>
                  <w:noWrap/>
                  <w:vAlign w:val="center"/>
                </w:tcPr>
                <w:p w14:paraId="71ED00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default" w:ascii="Times New Roman" w:hAnsi="Times New Roman" w:eastAsia="宋体" w:cs="Times New Roman"/>
                      <w:color w:val="auto"/>
                      <w:sz w:val="18"/>
                      <w:szCs w:val="18"/>
                      <w:highlight w:val="none"/>
                      <w:u w:val="none" w:color="auto"/>
                      <w:lang w:val="en-US" w:eastAsia="zh-CN"/>
                    </w:rPr>
                    <w:t>1</w:t>
                  </w:r>
                </w:p>
              </w:tc>
            </w:tr>
            <w:tr w14:paraId="1C7FC2D9">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336" w:type="pct"/>
                  <w:tcBorders>
                    <w:bottom w:val="single" w:color="000000" w:sz="6" w:space="0"/>
                    <w:tl2br w:val="nil"/>
                    <w:tr2bl w:val="nil"/>
                  </w:tcBorders>
                  <w:shd w:val="clear" w:color="auto" w:fill="auto"/>
                  <w:noWrap/>
                  <w:vAlign w:val="center"/>
                </w:tcPr>
                <w:p w14:paraId="2D5D9B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18"/>
                      <w:szCs w:val="18"/>
                      <w:highlight w:val="none"/>
                      <w:u w:val="none" w:color="auto"/>
                      <w:lang w:val="en-US" w:eastAsia="zh-CN" w:bidi="ar-SA"/>
                    </w:rPr>
                  </w:pPr>
                  <w:r>
                    <w:rPr>
                      <w:rFonts w:hint="default" w:ascii="Times New Roman" w:hAnsi="Times New Roman" w:eastAsia="宋体" w:cs="Times New Roman"/>
                      <w:color w:val="auto"/>
                      <w:sz w:val="18"/>
                      <w:szCs w:val="18"/>
                      <w:highlight w:val="none"/>
                      <w:u w:val="none" w:color="auto"/>
                      <w:lang w:val="en-US" w:eastAsia="zh-CN"/>
                    </w:rPr>
                    <w:t>涂布</w:t>
                  </w:r>
                  <w:r>
                    <w:rPr>
                      <w:rFonts w:hint="eastAsia" w:cs="Times New Roman"/>
                      <w:color w:val="auto"/>
                      <w:sz w:val="18"/>
                      <w:szCs w:val="18"/>
                      <w:highlight w:val="none"/>
                      <w:u w:val="none" w:color="auto"/>
                      <w:lang w:val="en-US" w:eastAsia="zh-CN"/>
                    </w:rPr>
                    <w:t>车间</w:t>
                  </w:r>
                </w:p>
              </w:tc>
              <w:tc>
                <w:tcPr>
                  <w:tcW w:w="298" w:type="pct"/>
                  <w:tcBorders>
                    <w:bottom w:val="single" w:color="000000" w:sz="6" w:space="0"/>
                    <w:tl2br w:val="nil"/>
                    <w:tr2bl w:val="nil"/>
                  </w:tcBorders>
                  <w:shd w:val="clear" w:color="auto" w:fill="auto"/>
                  <w:noWrap/>
                  <w:vAlign w:val="center"/>
                </w:tcPr>
                <w:p w14:paraId="5B6E6B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18"/>
                      <w:szCs w:val="18"/>
                      <w:highlight w:val="none"/>
                      <w:u w:val="none" w:color="auto"/>
                      <w:lang w:val="en-US" w:eastAsia="zh-CN" w:bidi="ar-SA"/>
                    </w:rPr>
                  </w:pPr>
                  <w:r>
                    <w:rPr>
                      <w:rFonts w:hint="default" w:ascii="Times New Roman" w:hAnsi="Times New Roman" w:eastAsia="宋体" w:cs="Times New Roman"/>
                      <w:color w:val="auto"/>
                      <w:sz w:val="18"/>
                      <w:szCs w:val="18"/>
                      <w:highlight w:val="none"/>
                      <w:u w:val="none" w:color="auto"/>
                      <w:lang w:val="en-US" w:eastAsia="zh-CN"/>
                    </w:rPr>
                    <w:t>涂布机</w:t>
                  </w:r>
                </w:p>
              </w:tc>
              <w:tc>
                <w:tcPr>
                  <w:tcW w:w="266" w:type="pct"/>
                  <w:tcBorders>
                    <w:tl2br w:val="nil"/>
                    <w:tr2bl w:val="nil"/>
                  </w:tcBorders>
                  <w:shd w:val="clear" w:color="auto" w:fill="auto"/>
                  <w:noWrap/>
                  <w:vAlign w:val="center"/>
                </w:tcPr>
                <w:p w14:paraId="2F3F5E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18"/>
                      <w:szCs w:val="18"/>
                      <w:highlight w:val="none"/>
                      <w:u w:val="none" w:color="auto"/>
                      <w:lang w:val="en-US" w:eastAsia="zh-CN" w:bidi="ar-SA"/>
                    </w:rPr>
                  </w:pPr>
                  <w:r>
                    <w:rPr>
                      <w:rFonts w:hint="eastAsia" w:cs="Times New Roman"/>
                      <w:color w:val="auto"/>
                      <w:sz w:val="18"/>
                      <w:szCs w:val="18"/>
                      <w:highlight w:val="none"/>
                      <w:u w:val="none" w:color="auto"/>
                      <w:lang w:val="en-US" w:eastAsia="zh-CN"/>
                    </w:rPr>
                    <w:t>/</w:t>
                  </w:r>
                </w:p>
              </w:tc>
              <w:tc>
                <w:tcPr>
                  <w:tcW w:w="363" w:type="pct"/>
                  <w:tcBorders>
                    <w:top w:val="single" w:color="000000" w:sz="6" w:space="0"/>
                    <w:bottom w:val="single" w:color="000000" w:sz="6" w:space="0"/>
                    <w:tl2br w:val="nil"/>
                    <w:tr2bl w:val="nil"/>
                  </w:tcBorders>
                  <w:shd w:val="clear" w:color="auto" w:fill="auto"/>
                  <w:noWrap/>
                  <w:vAlign w:val="center"/>
                </w:tcPr>
                <w:p w14:paraId="3DDE0E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default" w:ascii="Times New Roman" w:hAnsi="Times New Roman" w:eastAsia="宋体" w:cs="Times New Roman"/>
                      <w:color w:val="auto"/>
                      <w:sz w:val="18"/>
                      <w:szCs w:val="18"/>
                      <w:highlight w:val="none"/>
                      <w:u w:val="none" w:color="auto"/>
                      <w:lang w:val="en-US" w:eastAsia="zh-CN"/>
                    </w:rPr>
                    <w:t>65</w:t>
                  </w:r>
                </w:p>
              </w:tc>
              <w:tc>
                <w:tcPr>
                  <w:tcW w:w="290" w:type="pct"/>
                  <w:vMerge w:val="continue"/>
                  <w:tcBorders>
                    <w:tl2br w:val="nil"/>
                    <w:tr2bl w:val="nil"/>
                  </w:tcBorders>
                  <w:shd w:val="clear" w:color="auto" w:fill="auto"/>
                  <w:noWrap/>
                  <w:vAlign w:val="center"/>
                </w:tcPr>
                <w:p w14:paraId="4ECC40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p>
              </w:tc>
              <w:tc>
                <w:tcPr>
                  <w:tcW w:w="314" w:type="pct"/>
                  <w:tcBorders>
                    <w:top w:val="single" w:color="000000" w:sz="6" w:space="0"/>
                    <w:right w:val="single" w:color="000000" w:sz="6" w:space="0"/>
                    <w:tl2br w:val="nil"/>
                    <w:tr2bl w:val="nil"/>
                  </w:tcBorders>
                  <w:shd w:val="clear" w:color="auto" w:fill="auto"/>
                  <w:noWrap/>
                  <w:vAlign w:val="center"/>
                </w:tcPr>
                <w:p w14:paraId="2EF7D3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0</w:t>
                  </w:r>
                </w:p>
              </w:tc>
              <w:tc>
                <w:tcPr>
                  <w:tcW w:w="281" w:type="pct"/>
                  <w:tcBorders>
                    <w:left w:val="single" w:color="000000" w:sz="6" w:space="0"/>
                    <w:right w:val="single" w:color="000000" w:sz="6" w:space="0"/>
                    <w:tl2br w:val="nil"/>
                    <w:tr2bl w:val="nil"/>
                  </w:tcBorders>
                  <w:shd w:val="clear" w:color="auto" w:fill="auto"/>
                  <w:noWrap/>
                  <w:vAlign w:val="center"/>
                </w:tcPr>
                <w:p w14:paraId="45653E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0</w:t>
                  </w:r>
                </w:p>
              </w:tc>
              <w:tc>
                <w:tcPr>
                  <w:tcW w:w="281" w:type="pct"/>
                  <w:tcBorders>
                    <w:left w:val="single" w:color="000000" w:sz="6" w:space="0"/>
                    <w:tl2br w:val="nil"/>
                    <w:tr2bl w:val="nil"/>
                  </w:tcBorders>
                  <w:shd w:val="clear" w:color="auto" w:fill="auto"/>
                  <w:noWrap/>
                  <w:vAlign w:val="center"/>
                </w:tcPr>
                <w:p w14:paraId="0C36D7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1</w:t>
                  </w:r>
                </w:p>
              </w:tc>
              <w:tc>
                <w:tcPr>
                  <w:tcW w:w="380" w:type="pct"/>
                  <w:tcBorders>
                    <w:tl2br w:val="nil"/>
                    <w:tr2bl w:val="nil"/>
                  </w:tcBorders>
                  <w:shd w:val="clear" w:color="auto" w:fill="auto"/>
                  <w:noWrap/>
                  <w:vAlign w:val="center"/>
                </w:tcPr>
                <w:p w14:paraId="7B0940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18"/>
                      <w:szCs w:val="18"/>
                      <w:highlight w:val="none"/>
                      <w:u w:val="none" w:color="auto"/>
                      <w:lang w:val="en-US" w:eastAsia="zh-CN" w:bidi="ar-SA"/>
                    </w:rPr>
                  </w:pPr>
                  <w:r>
                    <w:rPr>
                      <w:rFonts w:hint="eastAsia" w:cs="Times New Roman"/>
                      <w:color w:val="auto"/>
                      <w:sz w:val="18"/>
                      <w:szCs w:val="18"/>
                      <w:highlight w:val="none"/>
                      <w:u w:val="none" w:color="auto"/>
                      <w:lang w:val="en-US" w:eastAsia="zh-CN"/>
                    </w:rPr>
                    <w:t>2</w:t>
                  </w:r>
                </w:p>
              </w:tc>
              <w:tc>
                <w:tcPr>
                  <w:tcW w:w="465" w:type="pct"/>
                  <w:tcBorders>
                    <w:tl2br w:val="nil"/>
                    <w:tr2bl w:val="nil"/>
                  </w:tcBorders>
                  <w:shd w:val="clear" w:color="auto" w:fill="auto"/>
                  <w:noWrap/>
                  <w:vAlign w:val="center"/>
                </w:tcPr>
                <w:p w14:paraId="51D3A9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18"/>
                      <w:szCs w:val="18"/>
                      <w:highlight w:val="none"/>
                      <w:u w:val="none" w:color="auto"/>
                      <w:lang w:val="en-US" w:eastAsia="zh-CN"/>
                    </w:rPr>
                  </w:pPr>
                  <w:r>
                    <w:rPr>
                      <w:rFonts w:hint="eastAsia" w:ascii="Times New Roman" w:hAnsi="Times New Roman" w:cs="Times New Roman"/>
                      <w:color w:val="auto"/>
                      <w:sz w:val="18"/>
                      <w:szCs w:val="18"/>
                      <w:highlight w:val="none"/>
                      <w:u w:val="none" w:color="auto"/>
                      <w:lang w:val="en-US" w:eastAsia="zh-CN"/>
                    </w:rPr>
                    <w:t>5</w:t>
                  </w:r>
                  <w:r>
                    <w:rPr>
                      <w:rFonts w:hint="eastAsia" w:cs="Times New Roman"/>
                      <w:color w:val="auto"/>
                      <w:sz w:val="18"/>
                      <w:szCs w:val="18"/>
                      <w:highlight w:val="none"/>
                      <w:u w:val="none" w:color="auto"/>
                      <w:lang w:val="en-US" w:eastAsia="zh-CN"/>
                    </w:rPr>
                    <w:t>9</w:t>
                  </w:r>
                </w:p>
              </w:tc>
              <w:tc>
                <w:tcPr>
                  <w:tcW w:w="316" w:type="pct"/>
                  <w:vMerge w:val="continue"/>
                  <w:tcBorders>
                    <w:tl2br w:val="nil"/>
                    <w:tr2bl w:val="nil"/>
                  </w:tcBorders>
                  <w:shd w:val="clear" w:color="auto" w:fill="auto"/>
                  <w:noWrap/>
                  <w:vAlign w:val="center"/>
                </w:tcPr>
                <w:p w14:paraId="04610A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18"/>
                      <w:szCs w:val="18"/>
                      <w:highlight w:val="none"/>
                      <w:u w:val="none" w:color="auto"/>
                      <w:lang w:val="en-US" w:eastAsia="zh-CN"/>
                    </w:rPr>
                  </w:pPr>
                </w:p>
              </w:tc>
              <w:tc>
                <w:tcPr>
                  <w:tcW w:w="494" w:type="pct"/>
                  <w:tcBorders>
                    <w:tl2br w:val="nil"/>
                    <w:tr2bl w:val="nil"/>
                  </w:tcBorders>
                  <w:shd w:val="clear" w:color="auto" w:fill="auto"/>
                  <w:noWrap/>
                  <w:vAlign w:val="center"/>
                </w:tcPr>
                <w:p w14:paraId="5DECFE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18"/>
                      <w:szCs w:val="18"/>
                      <w:highlight w:val="none"/>
                      <w:u w:val="none" w:color="auto"/>
                      <w:lang w:val="en-US" w:eastAsia="zh-CN"/>
                    </w:rPr>
                  </w:pPr>
                  <w:r>
                    <w:rPr>
                      <w:rFonts w:hint="eastAsia" w:ascii="Times New Roman" w:hAnsi="Times New Roman" w:cs="Times New Roman"/>
                      <w:color w:val="auto"/>
                      <w:sz w:val="18"/>
                      <w:szCs w:val="18"/>
                      <w:highlight w:val="none"/>
                      <w:u w:val="none" w:color="auto"/>
                      <w:lang w:val="en-US" w:eastAsia="zh-CN"/>
                    </w:rPr>
                    <w:t>15</w:t>
                  </w:r>
                </w:p>
              </w:tc>
              <w:tc>
                <w:tcPr>
                  <w:tcW w:w="455" w:type="pct"/>
                  <w:tcBorders>
                    <w:tl2br w:val="nil"/>
                    <w:tr2bl w:val="nil"/>
                  </w:tcBorders>
                  <w:shd w:val="clear" w:color="auto" w:fill="auto"/>
                  <w:noWrap/>
                  <w:vAlign w:val="center"/>
                </w:tcPr>
                <w:p w14:paraId="442E79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44</w:t>
                  </w:r>
                </w:p>
              </w:tc>
              <w:tc>
                <w:tcPr>
                  <w:tcW w:w="455" w:type="pct"/>
                  <w:tcBorders>
                    <w:top w:val="single" w:color="000000" w:sz="6" w:space="0"/>
                    <w:bottom w:val="single" w:color="000000" w:sz="6" w:space="0"/>
                    <w:tl2br w:val="nil"/>
                    <w:tr2bl w:val="nil"/>
                  </w:tcBorders>
                  <w:shd w:val="clear" w:color="auto" w:fill="auto"/>
                  <w:noWrap/>
                  <w:vAlign w:val="center"/>
                </w:tcPr>
                <w:p w14:paraId="0EDB42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default" w:ascii="Times New Roman" w:hAnsi="Times New Roman" w:eastAsia="宋体" w:cs="Times New Roman"/>
                      <w:color w:val="auto"/>
                      <w:sz w:val="18"/>
                      <w:szCs w:val="18"/>
                      <w:highlight w:val="none"/>
                      <w:u w:val="none" w:color="auto"/>
                      <w:lang w:val="en-US" w:eastAsia="zh-CN"/>
                    </w:rPr>
                    <w:t>1</w:t>
                  </w:r>
                </w:p>
              </w:tc>
            </w:tr>
            <w:tr w14:paraId="0A099A61">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47" w:hRule="atLeast"/>
              </w:trPr>
              <w:tc>
                <w:tcPr>
                  <w:tcW w:w="336" w:type="pct"/>
                  <w:vMerge w:val="restart"/>
                  <w:tcBorders>
                    <w:tl2br w:val="nil"/>
                    <w:tr2bl w:val="nil"/>
                  </w:tcBorders>
                  <w:shd w:val="clear" w:color="auto" w:fill="auto"/>
                  <w:noWrap/>
                  <w:vAlign w:val="center"/>
                </w:tcPr>
                <w:p w14:paraId="5A0574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18"/>
                      <w:szCs w:val="18"/>
                      <w:highlight w:val="none"/>
                      <w:u w:val="none" w:color="auto"/>
                      <w:lang w:val="en-US" w:eastAsia="zh-CN" w:bidi="ar-SA"/>
                    </w:rPr>
                  </w:pPr>
                  <w:r>
                    <w:rPr>
                      <w:rFonts w:hint="default" w:ascii="Times New Roman" w:hAnsi="Times New Roman" w:eastAsia="宋体" w:cs="Times New Roman"/>
                      <w:color w:val="auto"/>
                      <w:sz w:val="18"/>
                      <w:szCs w:val="18"/>
                      <w:highlight w:val="none"/>
                      <w:u w:val="none" w:color="auto"/>
                      <w:lang w:val="en-US" w:eastAsia="zh-CN"/>
                    </w:rPr>
                    <w:t>制片</w:t>
                  </w:r>
                  <w:r>
                    <w:rPr>
                      <w:rFonts w:hint="eastAsia" w:cs="Times New Roman"/>
                      <w:color w:val="auto"/>
                      <w:sz w:val="18"/>
                      <w:szCs w:val="18"/>
                      <w:highlight w:val="none"/>
                      <w:u w:val="none" w:color="auto"/>
                      <w:lang w:val="en-US" w:eastAsia="zh-CN"/>
                    </w:rPr>
                    <w:t>车间</w:t>
                  </w:r>
                </w:p>
              </w:tc>
              <w:tc>
                <w:tcPr>
                  <w:tcW w:w="298" w:type="pct"/>
                  <w:tcBorders>
                    <w:tl2br w:val="nil"/>
                    <w:tr2bl w:val="nil"/>
                  </w:tcBorders>
                  <w:shd w:val="clear" w:color="auto" w:fill="auto"/>
                  <w:noWrap/>
                  <w:vAlign w:val="center"/>
                </w:tcPr>
                <w:p w14:paraId="6723B2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18"/>
                      <w:szCs w:val="18"/>
                      <w:highlight w:val="none"/>
                      <w:u w:val="none" w:color="auto"/>
                      <w:lang w:val="en-US" w:eastAsia="zh-CN" w:bidi="ar-SA"/>
                    </w:rPr>
                  </w:pPr>
                  <w:r>
                    <w:rPr>
                      <w:rFonts w:hint="default" w:ascii="Times New Roman" w:hAnsi="Times New Roman" w:eastAsia="宋体" w:cs="Times New Roman"/>
                      <w:color w:val="auto"/>
                      <w:sz w:val="18"/>
                      <w:szCs w:val="18"/>
                      <w:highlight w:val="none"/>
                      <w:u w:val="none" w:color="auto"/>
                      <w:lang w:val="en-US" w:eastAsia="zh-CN"/>
                    </w:rPr>
                    <w:t>对辊机</w:t>
                  </w:r>
                </w:p>
              </w:tc>
              <w:tc>
                <w:tcPr>
                  <w:tcW w:w="266" w:type="pct"/>
                  <w:tcBorders>
                    <w:tl2br w:val="nil"/>
                    <w:tr2bl w:val="nil"/>
                  </w:tcBorders>
                  <w:shd w:val="clear" w:color="auto" w:fill="auto"/>
                  <w:noWrap/>
                  <w:vAlign w:val="center"/>
                </w:tcPr>
                <w:p w14:paraId="6F54A9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18"/>
                      <w:szCs w:val="18"/>
                      <w:highlight w:val="none"/>
                      <w:u w:val="none" w:color="auto"/>
                      <w:lang w:val="en-US" w:eastAsia="zh-CN" w:bidi="ar-SA"/>
                    </w:rPr>
                  </w:pPr>
                  <w:r>
                    <w:rPr>
                      <w:rFonts w:hint="eastAsia" w:cs="Times New Roman"/>
                      <w:color w:val="auto"/>
                      <w:sz w:val="18"/>
                      <w:szCs w:val="18"/>
                      <w:highlight w:val="none"/>
                      <w:u w:val="none" w:color="auto"/>
                      <w:lang w:val="en-US" w:eastAsia="zh-CN"/>
                    </w:rPr>
                    <w:t>/</w:t>
                  </w:r>
                </w:p>
              </w:tc>
              <w:tc>
                <w:tcPr>
                  <w:tcW w:w="363" w:type="pct"/>
                  <w:tcBorders>
                    <w:top w:val="single" w:color="000000" w:sz="6" w:space="0"/>
                    <w:bottom w:val="single" w:color="000000" w:sz="4" w:space="0"/>
                    <w:tl2br w:val="nil"/>
                    <w:tr2bl w:val="nil"/>
                  </w:tcBorders>
                  <w:shd w:val="clear" w:color="auto" w:fill="auto"/>
                  <w:noWrap/>
                  <w:vAlign w:val="center"/>
                </w:tcPr>
                <w:p w14:paraId="446CC3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default" w:ascii="Times New Roman" w:hAnsi="Times New Roman" w:eastAsia="宋体" w:cs="Times New Roman"/>
                      <w:color w:val="auto"/>
                      <w:sz w:val="18"/>
                      <w:szCs w:val="18"/>
                      <w:highlight w:val="none"/>
                      <w:u w:val="none" w:color="auto"/>
                      <w:lang w:val="en-US" w:eastAsia="zh-CN"/>
                    </w:rPr>
                    <w:t>70</w:t>
                  </w:r>
                </w:p>
              </w:tc>
              <w:tc>
                <w:tcPr>
                  <w:tcW w:w="290" w:type="pct"/>
                  <w:vMerge w:val="continue"/>
                  <w:tcBorders>
                    <w:tl2br w:val="nil"/>
                    <w:tr2bl w:val="nil"/>
                  </w:tcBorders>
                  <w:shd w:val="clear" w:color="auto" w:fill="auto"/>
                  <w:noWrap/>
                  <w:vAlign w:val="center"/>
                </w:tcPr>
                <w:p w14:paraId="06B3D1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p>
              </w:tc>
              <w:tc>
                <w:tcPr>
                  <w:tcW w:w="314" w:type="pct"/>
                  <w:tcBorders>
                    <w:top w:val="single" w:color="000000" w:sz="6" w:space="0"/>
                    <w:bottom w:val="single" w:color="000000" w:sz="4" w:space="0"/>
                    <w:right w:val="single" w:color="000000" w:sz="6" w:space="0"/>
                    <w:tl2br w:val="nil"/>
                    <w:tr2bl w:val="nil"/>
                  </w:tcBorders>
                  <w:shd w:val="clear" w:color="auto" w:fill="auto"/>
                  <w:noWrap/>
                  <w:vAlign w:val="center"/>
                </w:tcPr>
                <w:p w14:paraId="4C72BB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-35</w:t>
                  </w:r>
                </w:p>
              </w:tc>
              <w:tc>
                <w:tcPr>
                  <w:tcW w:w="281" w:type="pct"/>
                  <w:tcBorders>
                    <w:left w:val="single" w:color="000000" w:sz="6" w:space="0"/>
                    <w:right w:val="single" w:color="000000" w:sz="6" w:space="0"/>
                    <w:tl2br w:val="nil"/>
                    <w:tr2bl w:val="nil"/>
                  </w:tcBorders>
                  <w:shd w:val="clear" w:color="auto" w:fill="auto"/>
                  <w:noWrap/>
                  <w:vAlign w:val="center"/>
                </w:tcPr>
                <w:p w14:paraId="334DC1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0</w:t>
                  </w:r>
                </w:p>
              </w:tc>
              <w:tc>
                <w:tcPr>
                  <w:tcW w:w="281" w:type="pct"/>
                  <w:tcBorders>
                    <w:left w:val="single" w:color="000000" w:sz="6" w:space="0"/>
                    <w:tl2br w:val="nil"/>
                    <w:tr2bl w:val="nil"/>
                  </w:tcBorders>
                  <w:shd w:val="clear" w:color="auto" w:fill="auto"/>
                  <w:noWrap/>
                  <w:vAlign w:val="center"/>
                </w:tcPr>
                <w:p w14:paraId="7DC000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1</w:t>
                  </w:r>
                </w:p>
              </w:tc>
              <w:tc>
                <w:tcPr>
                  <w:tcW w:w="380" w:type="pct"/>
                  <w:tcBorders>
                    <w:tl2br w:val="nil"/>
                    <w:tr2bl w:val="nil"/>
                  </w:tcBorders>
                  <w:shd w:val="clear" w:color="auto" w:fill="auto"/>
                  <w:noWrap/>
                  <w:vAlign w:val="center"/>
                </w:tcPr>
                <w:p w14:paraId="4258D6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18"/>
                      <w:szCs w:val="18"/>
                      <w:highlight w:val="none"/>
                      <w:u w:val="none" w:color="auto"/>
                      <w:lang w:val="en-US" w:eastAsia="zh-CN" w:bidi="ar-SA"/>
                    </w:rPr>
                  </w:pPr>
                  <w:r>
                    <w:rPr>
                      <w:rFonts w:hint="eastAsia" w:cs="Times New Roman"/>
                      <w:color w:val="auto"/>
                      <w:sz w:val="18"/>
                      <w:szCs w:val="18"/>
                      <w:highlight w:val="none"/>
                      <w:u w:val="none" w:color="auto"/>
                      <w:lang w:val="en-US" w:eastAsia="zh-CN"/>
                    </w:rPr>
                    <w:t>2</w:t>
                  </w:r>
                </w:p>
              </w:tc>
              <w:tc>
                <w:tcPr>
                  <w:tcW w:w="465" w:type="pct"/>
                  <w:tcBorders>
                    <w:tl2br w:val="nil"/>
                    <w:tr2bl w:val="nil"/>
                  </w:tcBorders>
                  <w:shd w:val="clear" w:color="auto" w:fill="auto"/>
                  <w:noWrap/>
                  <w:vAlign w:val="center"/>
                </w:tcPr>
                <w:p w14:paraId="44FB8F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18"/>
                      <w:szCs w:val="18"/>
                      <w:highlight w:val="none"/>
                      <w:u w:val="none" w:color="auto"/>
                      <w:lang w:val="en-US" w:eastAsia="zh-CN"/>
                    </w:rPr>
                  </w:pPr>
                  <w:r>
                    <w:rPr>
                      <w:rFonts w:hint="eastAsia" w:ascii="Times New Roman" w:hAnsi="Times New Roman" w:cs="Times New Roman"/>
                      <w:color w:val="auto"/>
                      <w:sz w:val="18"/>
                      <w:szCs w:val="18"/>
                      <w:highlight w:val="none"/>
                      <w:u w:val="none" w:color="auto"/>
                      <w:lang w:val="en-US" w:eastAsia="zh-CN"/>
                    </w:rPr>
                    <w:t>6</w:t>
                  </w:r>
                  <w:r>
                    <w:rPr>
                      <w:rFonts w:hint="eastAsia" w:cs="Times New Roman"/>
                      <w:color w:val="auto"/>
                      <w:sz w:val="18"/>
                      <w:szCs w:val="18"/>
                      <w:highlight w:val="none"/>
                      <w:u w:val="none" w:color="auto"/>
                      <w:lang w:val="en-US" w:eastAsia="zh-CN"/>
                    </w:rPr>
                    <w:t>4</w:t>
                  </w:r>
                </w:p>
              </w:tc>
              <w:tc>
                <w:tcPr>
                  <w:tcW w:w="316" w:type="pct"/>
                  <w:vMerge w:val="continue"/>
                  <w:tcBorders>
                    <w:tl2br w:val="nil"/>
                    <w:tr2bl w:val="nil"/>
                  </w:tcBorders>
                  <w:shd w:val="clear" w:color="auto" w:fill="auto"/>
                  <w:noWrap/>
                  <w:vAlign w:val="center"/>
                </w:tcPr>
                <w:p w14:paraId="38F7E8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18"/>
                      <w:szCs w:val="18"/>
                      <w:highlight w:val="none"/>
                      <w:u w:val="none" w:color="auto"/>
                      <w:lang w:val="en-US" w:eastAsia="zh-CN"/>
                    </w:rPr>
                  </w:pPr>
                </w:p>
              </w:tc>
              <w:tc>
                <w:tcPr>
                  <w:tcW w:w="494" w:type="pct"/>
                  <w:tcBorders>
                    <w:tl2br w:val="nil"/>
                    <w:tr2bl w:val="nil"/>
                  </w:tcBorders>
                  <w:shd w:val="clear" w:color="auto" w:fill="auto"/>
                  <w:noWrap/>
                  <w:vAlign w:val="center"/>
                </w:tcPr>
                <w:p w14:paraId="10E769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18"/>
                      <w:szCs w:val="18"/>
                      <w:highlight w:val="none"/>
                      <w:u w:val="none" w:color="auto"/>
                      <w:lang w:val="en-US" w:eastAsia="zh-CN"/>
                    </w:rPr>
                  </w:pPr>
                  <w:r>
                    <w:rPr>
                      <w:rFonts w:hint="eastAsia" w:ascii="Times New Roman" w:hAnsi="Times New Roman" w:cs="Times New Roman"/>
                      <w:color w:val="auto"/>
                      <w:sz w:val="18"/>
                      <w:szCs w:val="18"/>
                      <w:highlight w:val="none"/>
                      <w:u w:val="none" w:color="auto"/>
                      <w:lang w:val="en-US" w:eastAsia="zh-CN"/>
                    </w:rPr>
                    <w:t>15</w:t>
                  </w:r>
                </w:p>
              </w:tc>
              <w:tc>
                <w:tcPr>
                  <w:tcW w:w="455" w:type="pct"/>
                  <w:tcBorders>
                    <w:tl2br w:val="nil"/>
                    <w:tr2bl w:val="nil"/>
                  </w:tcBorders>
                  <w:shd w:val="clear" w:color="auto" w:fill="auto"/>
                  <w:noWrap/>
                  <w:vAlign w:val="center"/>
                </w:tcPr>
                <w:p w14:paraId="671ACF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49</w:t>
                  </w:r>
                </w:p>
              </w:tc>
              <w:tc>
                <w:tcPr>
                  <w:tcW w:w="455" w:type="pct"/>
                  <w:tcBorders>
                    <w:top w:val="single" w:color="000000" w:sz="6" w:space="0"/>
                    <w:bottom w:val="single" w:color="000000" w:sz="4" w:space="0"/>
                    <w:tl2br w:val="nil"/>
                    <w:tr2bl w:val="nil"/>
                  </w:tcBorders>
                  <w:shd w:val="clear" w:color="auto" w:fill="auto"/>
                  <w:noWrap/>
                  <w:vAlign w:val="center"/>
                </w:tcPr>
                <w:p w14:paraId="164A81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default" w:ascii="Times New Roman" w:hAnsi="Times New Roman" w:eastAsia="宋体" w:cs="Times New Roman"/>
                      <w:color w:val="auto"/>
                      <w:sz w:val="18"/>
                      <w:szCs w:val="18"/>
                      <w:highlight w:val="none"/>
                      <w:u w:val="none" w:color="auto"/>
                      <w:lang w:val="en-US" w:eastAsia="zh-CN"/>
                    </w:rPr>
                    <w:t>1</w:t>
                  </w:r>
                </w:p>
              </w:tc>
            </w:tr>
            <w:tr w14:paraId="4944ACB6">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6" w:hRule="atLeast"/>
              </w:trPr>
              <w:tc>
                <w:tcPr>
                  <w:tcW w:w="336" w:type="pct"/>
                  <w:vMerge w:val="continue"/>
                  <w:tcBorders>
                    <w:bottom w:val="single" w:color="000000" w:sz="6" w:space="0"/>
                    <w:tl2br w:val="nil"/>
                    <w:tr2bl w:val="nil"/>
                  </w:tcBorders>
                  <w:shd w:val="clear" w:color="auto" w:fill="auto"/>
                  <w:noWrap/>
                  <w:vAlign w:val="center"/>
                </w:tcPr>
                <w:p w14:paraId="575B62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p>
              </w:tc>
              <w:tc>
                <w:tcPr>
                  <w:tcW w:w="298" w:type="pct"/>
                  <w:tcBorders>
                    <w:bottom w:val="single" w:color="000000" w:sz="6" w:space="0"/>
                    <w:tl2br w:val="nil"/>
                    <w:tr2bl w:val="nil"/>
                  </w:tcBorders>
                  <w:shd w:val="clear" w:color="auto" w:fill="auto"/>
                  <w:noWrap/>
                  <w:vAlign w:val="center"/>
                </w:tcPr>
                <w:p w14:paraId="37A39D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制片机</w:t>
                  </w:r>
                </w:p>
              </w:tc>
              <w:tc>
                <w:tcPr>
                  <w:tcW w:w="266" w:type="pct"/>
                  <w:tcBorders>
                    <w:tl2br w:val="nil"/>
                    <w:tr2bl w:val="nil"/>
                  </w:tcBorders>
                  <w:shd w:val="clear" w:color="auto" w:fill="auto"/>
                  <w:noWrap/>
                  <w:vAlign w:val="center"/>
                </w:tcPr>
                <w:p w14:paraId="15F1CA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w:t>
                  </w:r>
                </w:p>
              </w:tc>
              <w:tc>
                <w:tcPr>
                  <w:tcW w:w="363" w:type="pct"/>
                  <w:tcBorders>
                    <w:top w:val="single" w:color="000000" w:sz="4" w:space="0"/>
                    <w:bottom w:val="single" w:color="000000" w:sz="4" w:space="0"/>
                    <w:tl2br w:val="nil"/>
                    <w:tr2bl w:val="nil"/>
                  </w:tcBorders>
                  <w:shd w:val="clear" w:color="auto" w:fill="auto"/>
                  <w:noWrap/>
                  <w:vAlign w:val="center"/>
                </w:tcPr>
                <w:p w14:paraId="52B3AF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70</w:t>
                  </w:r>
                </w:p>
              </w:tc>
              <w:tc>
                <w:tcPr>
                  <w:tcW w:w="290" w:type="pct"/>
                  <w:vMerge w:val="continue"/>
                  <w:tcBorders>
                    <w:bottom w:val="single" w:color="000000" w:sz="4" w:space="0"/>
                    <w:tl2br w:val="nil"/>
                    <w:tr2bl w:val="nil"/>
                  </w:tcBorders>
                  <w:shd w:val="clear" w:color="auto" w:fill="auto"/>
                  <w:noWrap/>
                  <w:vAlign w:val="center"/>
                </w:tcPr>
                <w:p w14:paraId="3A4EA7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p>
              </w:tc>
              <w:tc>
                <w:tcPr>
                  <w:tcW w:w="314" w:type="pct"/>
                  <w:tcBorders>
                    <w:top w:val="single" w:color="000000" w:sz="4" w:space="0"/>
                    <w:bottom w:val="single" w:color="000000" w:sz="4" w:space="0"/>
                    <w:right w:val="single" w:color="000000" w:sz="6" w:space="0"/>
                    <w:tl2br w:val="nil"/>
                    <w:tr2bl w:val="nil"/>
                  </w:tcBorders>
                  <w:shd w:val="clear" w:color="auto" w:fill="auto"/>
                  <w:noWrap/>
                  <w:vAlign w:val="center"/>
                </w:tcPr>
                <w:p w14:paraId="19CC16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-25</w:t>
                  </w:r>
                </w:p>
              </w:tc>
              <w:tc>
                <w:tcPr>
                  <w:tcW w:w="281" w:type="pct"/>
                  <w:tcBorders>
                    <w:left w:val="single" w:color="000000" w:sz="6" w:space="0"/>
                    <w:right w:val="single" w:color="000000" w:sz="6" w:space="0"/>
                    <w:tl2br w:val="nil"/>
                    <w:tr2bl w:val="nil"/>
                  </w:tcBorders>
                  <w:shd w:val="clear" w:color="auto" w:fill="auto"/>
                  <w:noWrap/>
                  <w:vAlign w:val="center"/>
                </w:tcPr>
                <w:p w14:paraId="6D497E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0</w:t>
                  </w:r>
                </w:p>
              </w:tc>
              <w:tc>
                <w:tcPr>
                  <w:tcW w:w="281" w:type="pct"/>
                  <w:tcBorders>
                    <w:left w:val="single" w:color="000000" w:sz="6" w:space="0"/>
                    <w:tl2br w:val="nil"/>
                    <w:tr2bl w:val="nil"/>
                  </w:tcBorders>
                  <w:shd w:val="clear" w:color="auto" w:fill="auto"/>
                  <w:noWrap/>
                  <w:vAlign w:val="center"/>
                </w:tcPr>
                <w:p w14:paraId="4681D2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1</w:t>
                  </w:r>
                </w:p>
              </w:tc>
              <w:tc>
                <w:tcPr>
                  <w:tcW w:w="380" w:type="pct"/>
                  <w:tcBorders>
                    <w:tl2br w:val="nil"/>
                    <w:tr2bl w:val="nil"/>
                  </w:tcBorders>
                  <w:shd w:val="clear" w:color="auto" w:fill="auto"/>
                  <w:noWrap/>
                  <w:vAlign w:val="center"/>
                </w:tcPr>
                <w:p w14:paraId="574E42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w:t>
                  </w:r>
                </w:p>
              </w:tc>
              <w:tc>
                <w:tcPr>
                  <w:tcW w:w="465" w:type="pct"/>
                  <w:tcBorders>
                    <w:bottom w:val="single" w:color="000000" w:sz="4" w:space="0"/>
                    <w:tl2br w:val="nil"/>
                    <w:tr2bl w:val="nil"/>
                  </w:tcBorders>
                  <w:shd w:val="clear" w:color="auto" w:fill="auto"/>
                  <w:noWrap/>
                  <w:vAlign w:val="center"/>
                </w:tcPr>
                <w:p w14:paraId="299138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64</w:t>
                  </w:r>
                </w:p>
              </w:tc>
              <w:tc>
                <w:tcPr>
                  <w:tcW w:w="316" w:type="pct"/>
                  <w:vMerge w:val="continue"/>
                  <w:tcBorders>
                    <w:bottom w:val="single" w:color="000000" w:sz="4" w:space="0"/>
                    <w:tl2br w:val="nil"/>
                    <w:tr2bl w:val="nil"/>
                  </w:tcBorders>
                  <w:shd w:val="clear" w:color="auto" w:fill="auto"/>
                  <w:noWrap/>
                  <w:vAlign w:val="center"/>
                </w:tcPr>
                <w:p w14:paraId="7B2295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18"/>
                      <w:szCs w:val="18"/>
                      <w:highlight w:val="none"/>
                      <w:u w:val="none" w:color="auto"/>
                      <w:lang w:val="en-US" w:eastAsia="zh-CN"/>
                    </w:rPr>
                  </w:pPr>
                </w:p>
              </w:tc>
              <w:tc>
                <w:tcPr>
                  <w:tcW w:w="494" w:type="pct"/>
                  <w:tcBorders>
                    <w:tl2br w:val="nil"/>
                    <w:tr2bl w:val="nil"/>
                  </w:tcBorders>
                  <w:shd w:val="clear" w:color="auto" w:fill="auto"/>
                  <w:noWrap/>
                  <w:vAlign w:val="center"/>
                </w:tcPr>
                <w:p w14:paraId="149FF9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18"/>
                      <w:szCs w:val="18"/>
                      <w:highlight w:val="none"/>
                      <w:u w:val="none" w:color="auto"/>
                      <w:lang w:val="en-US" w:eastAsia="zh-CN"/>
                    </w:rPr>
                  </w:pPr>
                  <w:r>
                    <w:rPr>
                      <w:rFonts w:hint="eastAsia" w:ascii="Times New Roman" w:hAnsi="Times New Roman" w:cs="Times New Roman"/>
                      <w:color w:val="auto"/>
                      <w:sz w:val="18"/>
                      <w:szCs w:val="18"/>
                      <w:highlight w:val="none"/>
                      <w:u w:val="none" w:color="auto"/>
                      <w:lang w:val="en-US" w:eastAsia="zh-CN"/>
                    </w:rPr>
                    <w:t>15</w:t>
                  </w:r>
                </w:p>
              </w:tc>
              <w:tc>
                <w:tcPr>
                  <w:tcW w:w="455" w:type="pct"/>
                  <w:tcBorders>
                    <w:tl2br w:val="nil"/>
                    <w:tr2bl w:val="nil"/>
                  </w:tcBorders>
                  <w:shd w:val="clear" w:color="auto" w:fill="auto"/>
                  <w:noWrap/>
                  <w:vAlign w:val="center"/>
                </w:tcPr>
                <w:p w14:paraId="7206D5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49</w:t>
                  </w:r>
                </w:p>
              </w:tc>
              <w:tc>
                <w:tcPr>
                  <w:tcW w:w="455" w:type="pct"/>
                  <w:tcBorders>
                    <w:top w:val="single" w:color="000000" w:sz="4" w:space="0"/>
                    <w:bottom w:val="single" w:color="000000" w:sz="6" w:space="0"/>
                    <w:tl2br w:val="nil"/>
                    <w:tr2bl w:val="nil"/>
                  </w:tcBorders>
                  <w:shd w:val="clear" w:color="auto" w:fill="auto"/>
                  <w:noWrap/>
                  <w:vAlign w:val="center"/>
                </w:tcPr>
                <w:p w14:paraId="2775A8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default" w:ascii="Times New Roman" w:hAnsi="Times New Roman" w:eastAsia="宋体" w:cs="Times New Roman"/>
                      <w:color w:val="auto"/>
                      <w:sz w:val="18"/>
                      <w:szCs w:val="18"/>
                      <w:highlight w:val="none"/>
                      <w:u w:val="none" w:color="auto"/>
                      <w:lang w:val="en-US" w:eastAsia="zh-CN"/>
                    </w:rPr>
                    <w:t>1</w:t>
                  </w:r>
                </w:p>
              </w:tc>
            </w:tr>
          </w:tbl>
          <w:p w14:paraId="42D4E559">
            <w:pPr>
              <w:spacing w:line="240" w:lineRule="auto"/>
              <w:ind w:firstLine="422" w:firstLineChars="200"/>
              <w:jc w:val="center"/>
              <w:rPr>
                <w:rFonts w:hint="eastAsia" w:ascii="Times New Roman" w:hAnsi="Times New Roman" w:eastAsia="宋体" w:cs="Times New Roman"/>
                <w:b/>
                <w:color w:val="auto"/>
                <w:kern w:val="21"/>
                <w:sz w:val="21"/>
                <w:szCs w:val="21"/>
                <w:u w:val="none" w:color="auto"/>
              </w:rPr>
            </w:pPr>
            <w:r>
              <w:rPr>
                <w:rFonts w:hint="eastAsia" w:ascii="Times New Roman" w:hAnsi="Times New Roman" w:eastAsia="宋体" w:cs="Times New Roman"/>
                <w:b/>
                <w:color w:val="auto"/>
                <w:kern w:val="21"/>
                <w:sz w:val="21"/>
                <w:szCs w:val="21"/>
                <w:u w:val="none" w:color="auto"/>
              </w:rPr>
              <w:t>表</w:t>
            </w:r>
            <w:r>
              <w:rPr>
                <w:rFonts w:hint="eastAsia" w:ascii="Times New Roman" w:hAnsi="Times New Roman" w:eastAsia="宋体" w:cs="Times New Roman"/>
                <w:b/>
                <w:color w:val="auto"/>
                <w:kern w:val="21"/>
                <w:sz w:val="21"/>
                <w:szCs w:val="21"/>
                <w:u w:val="none" w:color="auto"/>
                <w:lang w:val="en-US" w:eastAsia="zh-CN"/>
              </w:rPr>
              <w:t>4-10</w:t>
            </w:r>
            <w:r>
              <w:rPr>
                <w:rFonts w:hint="eastAsia" w:ascii="Times New Roman" w:hAnsi="Times New Roman" w:eastAsia="宋体" w:cs="Times New Roman"/>
                <w:b/>
                <w:color w:val="auto"/>
                <w:kern w:val="21"/>
                <w:sz w:val="21"/>
                <w:szCs w:val="21"/>
                <w:u w:val="none" w:color="auto"/>
              </w:rPr>
              <w:t xml:space="preserve"> 工业企业噪声源强调查清单（室外声源）</w:t>
            </w:r>
          </w:p>
          <w:tbl>
            <w:tblPr>
              <w:tblStyle w:val="95"/>
              <w:tblW w:w="826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0"/>
              <w:gridCol w:w="1072"/>
              <w:gridCol w:w="758"/>
              <w:gridCol w:w="971"/>
              <w:gridCol w:w="738"/>
              <w:gridCol w:w="765"/>
              <w:gridCol w:w="1259"/>
              <w:gridCol w:w="1337"/>
              <w:gridCol w:w="907"/>
            </w:tblGrid>
            <w:tr w14:paraId="34169A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278" w:type="pct"/>
                  <w:vMerge w:val="restart"/>
                  <w:tcBorders>
                    <w:top w:val="single" w:color="000000" w:sz="10" w:space="0"/>
                    <w:left w:val="single" w:color="000000" w:sz="10" w:space="0"/>
                    <w:bottom w:val="nil"/>
                  </w:tcBorders>
                  <w:vAlign w:val="center"/>
                </w:tcPr>
                <w:p w14:paraId="2BFEBF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default" w:ascii="Times New Roman" w:hAnsi="Times New Roman" w:eastAsia="宋体" w:cs="Times New Roman"/>
                      <w:color w:val="auto"/>
                      <w:sz w:val="18"/>
                      <w:szCs w:val="18"/>
                      <w:highlight w:val="none"/>
                      <w:u w:val="none" w:color="auto"/>
                      <w:lang w:val="en-US" w:eastAsia="zh-CN"/>
                    </w:rPr>
                    <w:t>序号</w:t>
                  </w:r>
                </w:p>
              </w:tc>
              <w:tc>
                <w:tcPr>
                  <w:tcW w:w="648" w:type="pct"/>
                  <w:vMerge w:val="restart"/>
                  <w:tcBorders>
                    <w:top w:val="single" w:color="000000" w:sz="10" w:space="0"/>
                    <w:bottom w:val="nil"/>
                  </w:tcBorders>
                  <w:vAlign w:val="center"/>
                </w:tcPr>
                <w:p w14:paraId="356DA2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default" w:ascii="Times New Roman" w:hAnsi="Times New Roman" w:eastAsia="宋体" w:cs="Times New Roman"/>
                      <w:color w:val="auto"/>
                      <w:sz w:val="18"/>
                      <w:szCs w:val="18"/>
                      <w:highlight w:val="none"/>
                      <w:u w:val="none" w:color="auto"/>
                      <w:lang w:val="en-US" w:eastAsia="zh-CN"/>
                    </w:rPr>
                    <w:t>声源名称</w:t>
                  </w:r>
                </w:p>
              </w:tc>
              <w:tc>
                <w:tcPr>
                  <w:tcW w:w="458" w:type="pct"/>
                  <w:vMerge w:val="restart"/>
                  <w:tcBorders>
                    <w:top w:val="single" w:color="000000" w:sz="10" w:space="0"/>
                    <w:bottom w:val="nil"/>
                  </w:tcBorders>
                  <w:vAlign w:val="center"/>
                </w:tcPr>
                <w:p w14:paraId="235444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default" w:ascii="Times New Roman" w:hAnsi="Times New Roman" w:eastAsia="宋体" w:cs="Times New Roman"/>
                      <w:color w:val="auto"/>
                      <w:sz w:val="18"/>
                      <w:szCs w:val="18"/>
                      <w:highlight w:val="none"/>
                      <w:u w:val="none" w:color="auto"/>
                      <w:lang w:val="en-US" w:eastAsia="zh-CN"/>
                    </w:rPr>
                    <w:t>型号</w:t>
                  </w:r>
                </w:p>
              </w:tc>
              <w:tc>
                <w:tcPr>
                  <w:tcW w:w="1496" w:type="pct"/>
                  <w:gridSpan w:val="3"/>
                  <w:tcBorders>
                    <w:top w:val="single" w:color="000000" w:sz="10" w:space="0"/>
                  </w:tcBorders>
                  <w:vAlign w:val="center"/>
                </w:tcPr>
                <w:p w14:paraId="7496DC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default" w:ascii="Times New Roman" w:hAnsi="Times New Roman" w:eastAsia="宋体" w:cs="Times New Roman"/>
                      <w:color w:val="auto"/>
                      <w:sz w:val="18"/>
                      <w:szCs w:val="18"/>
                      <w:highlight w:val="none"/>
                      <w:u w:val="none" w:color="auto"/>
                      <w:lang w:val="en-US" w:eastAsia="zh-CN"/>
                    </w:rPr>
                    <w:t>空间相对位置/m</w:t>
                  </w:r>
                </w:p>
              </w:tc>
              <w:tc>
                <w:tcPr>
                  <w:tcW w:w="761" w:type="pct"/>
                  <w:tcBorders>
                    <w:top w:val="single" w:color="000000" w:sz="10" w:space="0"/>
                    <w:left w:val="single" w:color="000000" w:sz="4" w:space="0"/>
                  </w:tcBorders>
                  <w:vAlign w:val="center"/>
                </w:tcPr>
                <w:p w14:paraId="08EE22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p>
              </w:tc>
              <w:tc>
                <w:tcPr>
                  <w:tcW w:w="808" w:type="pct"/>
                  <w:vMerge w:val="restart"/>
                  <w:tcBorders>
                    <w:top w:val="single" w:color="000000" w:sz="10" w:space="0"/>
                    <w:bottom w:val="nil"/>
                  </w:tcBorders>
                  <w:vAlign w:val="center"/>
                </w:tcPr>
                <w:p w14:paraId="4E27E1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default" w:ascii="Times New Roman" w:hAnsi="Times New Roman" w:eastAsia="宋体" w:cs="Times New Roman"/>
                      <w:color w:val="auto"/>
                      <w:sz w:val="18"/>
                      <w:szCs w:val="18"/>
                      <w:highlight w:val="none"/>
                      <w:u w:val="none" w:color="auto"/>
                      <w:lang w:val="en-US" w:eastAsia="zh-CN"/>
                    </w:rPr>
                    <w:t>声源控制措施</w:t>
                  </w:r>
                </w:p>
              </w:tc>
              <w:tc>
                <w:tcPr>
                  <w:tcW w:w="548" w:type="pct"/>
                  <w:vMerge w:val="restart"/>
                  <w:tcBorders>
                    <w:top w:val="single" w:color="000000" w:sz="10" w:space="0"/>
                    <w:bottom w:val="nil"/>
                    <w:right w:val="single" w:color="000000" w:sz="10" w:space="0"/>
                  </w:tcBorders>
                  <w:vAlign w:val="center"/>
                </w:tcPr>
                <w:p w14:paraId="4731DF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default" w:ascii="Times New Roman" w:hAnsi="Times New Roman" w:eastAsia="宋体" w:cs="Times New Roman"/>
                      <w:color w:val="auto"/>
                      <w:sz w:val="18"/>
                      <w:szCs w:val="18"/>
                      <w:highlight w:val="none"/>
                      <w:u w:val="none" w:color="auto"/>
                      <w:lang w:val="en-US" w:eastAsia="zh-CN"/>
                    </w:rPr>
                    <w:t>运行时段</w:t>
                  </w:r>
                </w:p>
              </w:tc>
            </w:tr>
            <w:tr w14:paraId="28DA1A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278" w:type="pct"/>
                  <w:vMerge w:val="continue"/>
                  <w:tcBorders>
                    <w:top w:val="nil"/>
                    <w:left w:val="single" w:color="000000" w:sz="10" w:space="0"/>
                    <w:bottom w:val="single" w:color="000000" w:sz="10" w:space="0"/>
                  </w:tcBorders>
                  <w:vAlign w:val="center"/>
                </w:tcPr>
                <w:p w14:paraId="426147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p>
              </w:tc>
              <w:tc>
                <w:tcPr>
                  <w:tcW w:w="648" w:type="pct"/>
                  <w:vMerge w:val="continue"/>
                  <w:tcBorders>
                    <w:top w:val="nil"/>
                    <w:bottom w:val="single" w:color="000000" w:sz="10" w:space="0"/>
                  </w:tcBorders>
                  <w:vAlign w:val="center"/>
                </w:tcPr>
                <w:p w14:paraId="26D7C7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p>
              </w:tc>
              <w:tc>
                <w:tcPr>
                  <w:tcW w:w="458" w:type="pct"/>
                  <w:vMerge w:val="continue"/>
                  <w:tcBorders>
                    <w:top w:val="nil"/>
                    <w:bottom w:val="single" w:color="000000" w:sz="10" w:space="0"/>
                  </w:tcBorders>
                  <w:vAlign w:val="center"/>
                </w:tcPr>
                <w:p w14:paraId="7706FA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p>
              </w:tc>
              <w:tc>
                <w:tcPr>
                  <w:tcW w:w="587" w:type="pct"/>
                  <w:tcBorders>
                    <w:bottom w:val="single" w:color="000000" w:sz="10" w:space="0"/>
                  </w:tcBorders>
                  <w:vAlign w:val="center"/>
                </w:tcPr>
                <w:p w14:paraId="07F050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default" w:ascii="Times New Roman" w:hAnsi="Times New Roman" w:eastAsia="宋体" w:cs="Times New Roman"/>
                      <w:color w:val="auto"/>
                      <w:sz w:val="18"/>
                      <w:szCs w:val="18"/>
                      <w:highlight w:val="none"/>
                      <w:u w:val="none" w:color="auto"/>
                      <w:lang w:val="en-US" w:eastAsia="zh-CN"/>
                    </w:rPr>
                    <w:t>X</w:t>
                  </w:r>
                </w:p>
              </w:tc>
              <w:tc>
                <w:tcPr>
                  <w:tcW w:w="446" w:type="pct"/>
                  <w:tcBorders>
                    <w:bottom w:val="single" w:color="000000" w:sz="10" w:space="0"/>
                  </w:tcBorders>
                  <w:vAlign w:val="center"/>
                </w:tcPr>
                <w:p w14:paraId="712281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default" w:ascii="Times New Roman" w:hAnsi="Times New Roman" w:eastAsia="宋体" w:cs="Times New Roman"/>
                      <w:color w:val="auto"/>
                      <w:sz w:val="18"/>
                      <w:szCs w:val="18"/>
                      <w:highlight w:val="none"/>
                      <w:u w:val="none" w:color="auto"/>
                      <w:lang w:val="en-US" w:eastAsia="zh-CN"/>
                    </w:rPr>
                    <w:t>Y</w:t>
                  </w:r>
                </w:p>
              </w:tc>
              <w:tc>
                <w:tcPr>
                  <w:tcW w:w="462" w:type="pct"/>
                  <w:tcBorders>
                    <w:bottom w:val="single" w:color="000000" w:sz="10" w:space="0"/>
                  </w:tcBorders>
                  <w:vAlign w:val="center"/>
                </w:tcPr>
                <w:p w14:paraId="0FBF84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default" w:ascii="Times New Roman" w:hAnsi="Times New Roman" w:eastAsia="宋体" w:cs="Times New Roman"/>
                      <w:color w:val="auto"/>
                      <w:sz w:val="18"/>
                      <w:szCs w:val="18"/>
                      <w:highlight w:val="none"/>
                      <w:u w:val="none" w:color="auto"/>
                      <w:lang w:val="en-US" w:eastAsia="zh-CN"/>
                    </w:rPr>
                    <w:t>Z</w:t>
                  </w:r>
                </w:p>
              </w:tc>
              <w:tc>
                <w:tcPr>
                  <w:tcW w:w="761" w:type="pct"/>
                  <w:tcBorders>
                    <w:left w:val="single" w:color="000000" w:sz="4" w:space="0"/>
                    <w:bottom w:val="single" w:color="000000" w:sz="10" w:space="0"/>
                  </w:tcBorders>
                  <w:vAlign w:val="center"/>
                </w:tcPr>
                <w:p w14:paraId="5B4C0F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default" w:ascii="Times New Roman" w:hAnsi="Times New Roman" w:eastAsia="宋体" w:cs="Times New Roman"/>
                      <w:color w:val="auto"/>
                      <w:sz w:val="18"/>
                      <w:szCs w:val="18"/>
                      <w:highlight w:val="none"/>
                      <w:u w:val="none" w:color="auto"/>
                      <w:lang w:val="en-US" w:eastAsia="zh-CN"/>
                    </w:rPr>
                    <w:t>声功率级/dB(A)</w:t>
                  </w:r>
                </w:p>
              </w:tc>
              <w:tc>
                <w:tcPr>
                  <w:tcW w:w="808" w:type="pct"/>
                  <w:vMerge w:val="continue"/>
                  <w:tcBorders>
                    <w:top w:val="nil"/>
                    <w:bottom w:val="single" w:color="000000" w:sz="10" w:space="0"/>
                  </w:tcBorders>
                  <w:vAlign w:val="center"/>
                </w:tcPr>
                <w:p w14:paraId="67CB7A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p>
              </w:tc>
              <w:tc>
                <w:tcPr>
                  <w:tcW w:w="548" w:type="pct"/>
                  <w:vMerge w:val="continue"/>
                  <w:tcBorders>
                    <w:top w:val="nil"/>
                    <w:bottom w:val="single" w:color="000000" w:sz="10" w:space="0"/>
                    <w:right w:val="single" w:color="000000" w:sz="10" w:space="0"/>
                  </w:tcBorders>
                  <w:vAlign w:val="center"/>
                </w:tcPr>
                <w:p w14:paraId="6E8E0F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p>
              </w:tc>
            </w:tr>
            <w:tr w14:paraId="7D621F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278" w:type="pct"/>
                  <w:tcBorders>
                    <w:top w:val="single" w:color="000000" w:sz="10" w:space="0"/>
                    <w:left w:val="single" w:color="000000" w:sz="10" w:space="0"/>
                    <w:bottom w:val="single" w:color="000000" w:sz="10" w:space="0"/>
                  </w:tcBorders>
                  <w:vAlign w:val="center"/>
                </w:tcPr>
                <w:p w14:paraId="4B2DC4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default" w:ascii="Times New Roman" w:hAnsi="Times New Roman" w:eastAsia="宋体" w:cs="Times New Roman"/>
                      <w:color w:val="auto"/>
                      <w:sz w:val="18"/>
                      <w:szCs w:val="18"/>
                      <w:highlight w:val="none"/>
                      <w:u w:val="none" w:color="auto"/>
                      <w:lang w:val="en-US" w:eastAsia="zh-CN"/>
                    </w:rPr>
                    <w:t>1</w:t>
                  </w:r>
                </w:p>
              </w:tc>
              <w:tc>
                <w:tcPr>
                  <w:tcW w:w="648" w:type="pct"/>
                  <w:tcBorders>
                    <w:top w:val="single" w:color="000000" w:sz="10" w:space="0"/>
                    <w:bottom w:val="single" w:color="000000" w:sz="10" w:space="0"/>
                  </w:tcBorders>
                  <w:vAlign w:val="center"/>
                </w:tcPr>
                <w:p w14:paraId="620B35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eastAsia" w:ascii="Times New Roman" w:hAnsi="Times New Roman" w:eastAsia="宋体" w:cs="Times New Roman"/>
                      <w:color w:val="auto"/>
                      <w:sz w:val="18"/>
                      <w:szCs w:val="18"/>
                      <w:highlight w:val="none"/>
                      <w:u w:val="none" w:color="auto"/>
                      <w:lang w:val="en-US" w:eastAsia="zh-CN"/>
                    </w:rPr>
                    <w:t>风机</w:t>
                  </w:r>
                </w:p>
              </w:tc>
              <w:tc>
                <w:tcPr>
                  <w:tcW w:w="458" w:type="pct"/>
                  <w:tcBorders>
                    <w:top w:val="single" w:color="000000" w:sz="10" w:space="0"/>
                    <w:bottom w:val="single" w:color="000000" w:sz="10" w:space="0"/>
                  </w:tcBorders>
                  <w:vAlign w:val="center"/>
                </w:tcPr>
                <w:p w14:paraId="1FA7F3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eastAsia" w:ascii="Times New Roman" w:hAnsi="Times New Roman" w:eastAsia="宋体" w:cs="Times New Roman"/>
                      <w:color w:val="auto"/>
                      <w:sz w:val="18"/>
                      <w:szCs w:val="18"/>
                      <w:highlight w:val="none"/>
                      <w:u w:val="none" w:color="auto"/>
                      <w:lang w:val="en-US" w:eastAsia="zh-CN"/>
                    </w:rPr>
                    <w:t>/</w:t>
                  </w:r>
                </w:p>
              </w:tc>
              <w:tc>
                <w:tcPr>
                  <w:tcW w:w="587" w:type="pct"/>
                  <w:tcBorders>
                    <w:top w:val="single" w:color="000000" w:sz="10" w:space="0"/>
                    <w:bottom w:val="single" w:color="000000" w:sz="10" w:space="0"/>
                  </w:tcBorders>
                  <w:vAlign w:val="center"/>
                </w:tcPr>
                <w:p w14:paraId="4C4C19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eastAsia" w:ascii="Times New Roman" w:hAnsi="Times New Roman" w:eastAsia="宋体" w:cs="Times New Roman"/>
                      <w:color w:val="auto"/>
                      <w:sz w:val="18"/>
                      <w:szCs w:val="18"/>
                      <w:highlight w:val="none"/>
                      <w:u w:val="none" w:color="auto"/>
                      <w:lang w:val="en-US" w:eastAsia="zh-CN"/>
                    </w:rPr>
                    <w:t>-10</w:t>
                  </w:r>
                </w:p>
              </w:tc>
              <w:tc>
                <w:tcPr>
                  <w:tcW w:w="446" w:type="pct"/>
                  <w:tcBorders>
                    <w:top w:val="single" w:color="000000" w:sz="10" w:space="0"/>
                    <w:bottom w:val="single" w:color="000000" w:sz="10" w:space="0"/>
                  </w:tcBorders>
                  <w:vAlign w:val="center"/>
                </w:tcPr>
                <w:p w14:paraId="14EF61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eastAsia" w:ascii="Times New Roman" w:hAnsi="Times New Roman" w:eastAsia="宋体" w:cs="Times New Roman"/>
                      <w:color w:val="auto"/>
                      <w:sz w:val="18"/>
                      <w:szCs w:val="18"/>
                      <w:highlight w:val="none"/>
                      <w:u w:val="none" w:color="auto"/>
                      <w:lang w:val="en-US" w:eastAsia="zh-CN"/>
                    </w:rPr>
                    <w:t>15</w:t>
                  </w:r>
                </w:p>
              </w:tc>
              <w:tc>
                <w:tcPr>
                  <w:tcW w:w="462" w:type="pct"/>
                  <w:tcBorders>
                    <w:top w:val="single" w:color="000000" w:sz="10" w:space="0"/>
                    <w:bottom w:val="single" w:color="000000" w:sz="10" w:space="0"/>
                  </w:tcBorders>
                  <w:vAlign w:val="center"/>
                </w:tcPr>
                <w:p w14:paraId="1A739D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eastAsia" w:ascii="Times New Roman" w:hAnsi="Times New Roman" w:eastAsia="宋体" w:cs="Times New Roman"/>
                      <w:color w:val="auto"/>
                      <w:sz w:val="18"/>
                      <w:szCs w:val="18"/>
                      <w:highlight w:val="none"/>
                      <w:u w:val="none" w:color="auto"/>
                      <w:lang w:val="en-US" w:eastAsia="zh-CN"/>
                    </w:rPr>
                    <w:t>1</w:t>
                  </w:r>
                </w:p>
              </w:tc>
              <w:tc>
                <w:tcPr>
                  <w:tcW w:w="761" w:type="pct"/>
                  <w:tcBorders>
                    <w:top w:val="single" w:color="000000" w:sz="10" w:space="0"/>
                    <w:bottom w:val="single" w:color="000000" w:sz="10" w:space="0"/>
                  </w:tcBorders>
                  <w:vAlign w:val="center"/>
                </w:tcPr>
                <w:p w14:paraId="1637F5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85</w:t>
                  </w:r>
                </w:p>
              </w:tc>
              <w:tc>
                <w:tcPr>
                  <w:tcW w:w="808" w:type="pct"/>
                  <w:tcBorders>
                    <w:top w:val="single" w:color="000000" w:sz="10" w:space="0"/>
                    <w:bottom w:val="single" w:color="000000" w:sz="10" w:space="0"/>
                  </w:tcBorders>
                  <w:vAlign w:val="center"/>
                </w:tcPr>
                <w:p w14:paraId="24BEC9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减震、隔声</w:t>
                  </w:r>
                </w:p>
              </w:tc>
              <w:tc>
                <w:tcPr>
                  <w:tcW w:w="548" w:type="pct"/>
                  <w:vMerge w:val="restart"/>
                  <w:tcBorders>
                    <w:top w:val="single" w:color="000000" w:sz="10" w:space="0"/>
                    <w:right w:val="single" w:color="000000" w:sz="10" w:space="0"/>
                  </w:tcBorders>
                  <w:vAlign w:val="center"/>
                </w:tcPr>
                <w:p w14:paraId="2F788F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eastAsia"/>
                      <w:color w:val="auto"/>
                      <w:sz w:val="18"/>
                      <w:szCs w:val="18"/>
                      <w:u w:val="none" w:color="auto"/>
                    </w:rPr>
                    <w:t>昼</w:t>
                  </w:r>
                  <w:r>
                    <w:rPr>
                      <w:rFonts w:hint="eastAsia"/>
                      <w:color w:val="auto"/>
                      <w:sz w:val="18"/>
                      <w:szCs w:val="18"/>
                      <w:u w:val="none" w:color="auto"/>
                      <w:lang w:val="en-US" w:eastAsia="zh-CN"/>
                    </w:rPr>
                    <w:t>夜</w:t>
                  </w:r>
                  <w:r>
                    <w:rPr>
                      <w:rFonts w:hint="eastAsia"/>
                      <w:color w:val="auto"/>
                      <w:sz w:val="18"/>
                      <w:szCs w:val="18"/>
                      <w:u w:val="none" w:color="auto"/>
                    </w:rPr>
                    <w:t>间</w:t>
                  </w:r>
                </w:p>
              </w:tc>
            </w:tr>
            <w:tr w14:paraId="2B0323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278" w:type="pct"/>
                  <w:tcBorders>
                    <w:top w:val="single" w:color="000000" w:sz="10" w:space="0"/>
                    <w:left w:val="single" w:color="000000" w:sz="10" w:space="0"/>
                    <w:bottom w:val="single" w:color="000000" w:sz="10" w:space="0"/>
                  </w:tcBorders>
                  <w:vAlign w:val="center"/>
                </w:tcPr>
                <w:p w14:paraId="10F081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eastAsia" w:ascii="Times New Roman" w:hAnsi="Times New Roman" w:eastAsia="宋体" w:cs="Times New Roman"/>
                      <w:color w:val="auto"/>
                      <w:sz w:val="18"/>
                      <w:szCs w:val="18"/>
                      <w:highlight w:val="none"/>
                      <w:u w:val="none" w:color="auto"/>
                      <w:lang w:val="en-US" w:eastAsia="zh-CN"/>
                    </w:rPr>
                    <w:t>2</w:t>
                  </w:r>
                </w:p>
              </w:tc>
              <w:tc>
                <w:tcPr>
                  <w:tcW w:w="648" w:type="pct"/>
                  <w:tcBorders>
                    <w:top w:val="single" w:color="000000" w:sz="10" w:space="0"/>
                    <w:bottom w:val="single" w:color="000000" w:sz="10" w:space="0"/>
                  </w:tcBorders>
                  <w:vAlign w:val="center"/>
                </w:tcPr>
                <w:p w14:paraId="422387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highlight w:val="none"/>
                      <w:u w:val="none" w:color="auto"/>
                      <w:lang w:val="en-US" w:eastAsia="zh-CN"/>
                    </w:rPr>
                  </w:pPr>
                  <w:r>
                    <w:rPr>
                      <w:rFonts w:hint="eastAsia" w:ascii="Times New Roman" w:hAnsi="Times New Roman" w:eastAsia="宋体" w:cs="Times New Roman"/>
                      <w:color w:val="auto"/>
                      <w:sz w:val="18"/>
                      <w:szCs w:val="18"/>
                      <w:highlight w:val="none"/>
                      <w:u w:val="none" w:color="auto"/>
                      <w:lang w:val="en-US" w:eastAsia="zh-CN"/>
                    </w:rPr>
                    <w:t>空压机</w:t>
                  </w:r>
                </w:p>
              </w:tc>
              <w:tc>
                <w:tcPr>
                  <w:tcW w:w="458" w:type="pct"/>
                  <w:tcBorders>
                    <w:top w:val="single" w:color="000000" w:sz="10" w:space="0"/>
                    <w:bottom w:val="single" w:color="000000" w:sz="10" w:space="0"/>
                  </w:tcBorders>
                  <w:vAlign w:val="center"/>
                </w:tcPr>
                <w:p w14:paraId="7E0B90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eastAsia" w:ascii="Times New Roman" w:hAnsi="Times New Roman" w:eastAsia="宋体" w:cs="Times New Roman"/>
                      <w:color w:val="auto"/>
                      <w:sz w:val="18"/>
                      <w:szCs w:val="18"/>
                      <w:highlight w:val="none"/>
                      <w:u w:val="none" w:color="auto"/>
                      <w:lang w:val="en-US" w:eastAsia="zh-CN"/>
                    </w:rPr>
                    <w:t>/</w:t>
                  </w:r>
                </w:p>
              </w:tc>
              <w:tc>
                <w:tcPr>
                  <w:tcW w:w="587" w:type="pct"/>
                  <w:tcBorders>
                    <w:top w:val="single" w:color="000000" w:sz="10" w:space="0"/>
                    <w:bottom w:val="single" w:color="000000" w:sz="10" w:space="0"/>
                  </w:tcBorders>
                  <w:vAlign w:val="center"/>
                </w:tcPr>
                <w:p w14:paraId="72427A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eastAsia" w:ascii="Times New Roman" w:hAnsi="Times New Roman" w:eastAsia="宋体" w:cs="Times New Roman"/>
                      <w:color w:val="auto"/>
                      <w:sz w:val="18"/>
                      <w:szCs w:val="18"/>
                      <w:highlight w:val="none"/>
                      <w:u w:val="none" w:color="auto"/>
                      <w:lang w:val="en-US" w:eastAsia="zh-CN"/>
                    </w:rPr>
                    <w:t>-10</w:t>
                  </w:r>
                </w:p>
              </w:tc>
              <w:tc>
                <w:tcPr>
                  <w:tcW w:w="446" w:type="pct"/>
                  <w:tcBorders>
                    <w:top w:val="single" w:color="000000" w:sz="10" w:space="0"/>
                    <w:bottom w:val="single" w:color="000000" w:sz="10" w:space="0"/>
                  </w:tcBorders>
                  <w:vAlign w:val="center"/>
                </w:tcPr>
                <w:p w14:paraId="52BB45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eastAsia" w:ascii="Times New Roman" w:hAnsi="Times New Roman" w:eastAsia="宋体" w:cs="Times New Roman"/>
                      <w:color w:val="auto"/>
                      <w:sz w:val="18"/>
                      <w:szCs w:val="18"/>
                      <w:highlight w:val="none"/>
                      <w:u w:val="none" w:color="auto"/>
                      <w:lang w:val="en-US" w:eastAsia="zh-CN"/>
                    </w:rPr>
                    <w:t>5</w:t>
                  </w:r>
                </w:p>
              </w:tc>
              <w:tc>
                <w:tcPr>
                  <w:tcW w:w="462" w:type="pct"/>
                  <w:tcBorders>
                    <w:top w:val="single" w:color="000000" w:sz="10" w:space="0"/>
                    <w:bottom w:val="single" w:color="000000" w:sz="10" w:space="0"/>
                  </w:tcBorders>
                  <w:vAlign w:val="center"/>
                </w:tcPr>
                <w:p w14:paraId="2E87D3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1</w:t>
                  </w:r>
                </w:p>
              </w:tc>
              <w:tc>
                <w:tcPr>
                  <w:tcW w:w="761" w:type="pct"/>
                  <w:tcBorders>
                    <w:top w:val="single" w:color="000000" w:sz="10" w:space="0"/>
                    <w:bottom w:val="single" w:color="000000" w:sz="10" w:space="0"/>
                  </w:tcBorders>
                  <w:vAlign w:val="center"/>
                </w:tcPr>
                <w:p w14:paraId="4706B2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85</w:t>
                  </w:r>
                </w:p>
              </w:tc>
              <w:tc>
                <w:tcPr>
                  <w:tcW w:w="808" w:type="pct"/>
                  <w:tcBorders>
                    <w:top w:val="single" w:color="000000" w:sz="10" w:space="0"/>
                    <w:bottom w:val="single" w:color="000000" w:sz="10" w:space="0"/>
                  </w:tcBorders>
                  <w:vAlign w:val="center"/>
                </w:tcPr>
                <w:p w14:paraId="2A8002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减震、隔声</w:t>
                  </w:r>
                </w:p>
              </w:tc>
              <w:tc>
                <w:tcPr>
                  <w:tcW w:w="548" w:type="pct"/>
                  <w:vMerge w:val="continue"/>
                  <w:tcBorders>
                    <w:right w:val="single" w:color="000000" w:sz="10" w:space="0"/>
                  </w:tcBorders>
                  <w:vAlign w:val="center"/>
                </w:tcPr>
                <w:p w14:paraId="569B6C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p>
              </w:tc>
            </w:tr>
            <w:tr w14:paraId="490B19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278" w:type="pct"/>
                  <w:tcBorders>
                    <w:top w:val="single" w:color="000000" w:sz="10" w:space="0"/>
                    <w:left w:val="single" w:color="000000" w:sz="10" w:space="0"/>
                    <w:bottom w:val="single" w:color="000000" w:sz="10" w:space="0"/>
                  </w:tcBorders>
                  <w:vAlign w:val="center"/>
                </w:tcPr>
                <w:p w14:paraId="29F2B4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3</w:t>
                  </w:r>
                </w:p>
              </w:tc>
              <w:tc>
                <w:tcPr>
                  <w:tcW w:w="648" w:type="pct"/>
                  <w:tcBorders>
                    <w:top w:val="single" w:color="000000" w:sz="10" w:space="0"/>
                    <w:bottom w:val="single" w:color="000000" w:sz="10" w:space="0"/>
                  </w:tcBorders>
                  <w:vAlign w:val="center"/>
                </w:tcPr>
                <w:p w14:paraId="02DF46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循环水泵</w:t>
                  </w:r>
                </w:p>
              </w:tc>
              <w:tc>
                <w:tcPr>
                  <w:tcW w:w="458" w:type="pct"/>
                  <w:tcBorders>
                    <w:top w:val="single" w:color="000000" w:sz="10" w:space="0"/>
                    <w:bottom w:val="single" w:color="000000" w:sz="10" w:space="0"/>
                  </w:tcBorders>
                  <w:vAlign w:val="center"/>
                </w:tcPr>
                <w:p w14:paraId="0C6F94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w:t>
                  </w:r>
                </w:p>
              </w:tc>
              <w:tc>
                <w:tcPr>
                  <w:tcW w:w="587" w:type="pct"/>
                  <w:tcBorders>
                    <w:top w:val="single" w:color="000000" w:sz="10" w:space="0"/>
                    <w:bottom w:val="single" w:color="000000" w:sz="10" w:space="0"/>
                  </w:tcBorders>
                  <w:vAlign w:val="center"/>
                </w:tcPr>
                <w:p w14:paraId="0FAC0E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0</w:t>
                  </w:r>
                </w:p>
              </w:tc>
              <w:tc>
                <w:tcPr>
                  <w:tcW w:w="446" w:type="pct"/>
                  <w:tcBorders>
                    <w:top w:val="single" w:color="000000" w:sz="10" w:space="0"/>
                    <w:bottom w:val="single" w:color="000000" w:sz="10" w:space="0"/>
                  </w:tcBorders>
                  <w:vAlign w:val="center"/>
                </w:tcPr>
                <w:p w14:paraId="18F91B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15</w:t>
                  </w:r>
                </w:p>
              </w:tc>
              <w:tc>
                <w:tcPr>
                  <w:tcW w:w="462" w:type="pct"/>
                  <w:tcBorders>
                    <w:top w:val="single" w:color="000000" w:sz="10" w:space="0"/>
                    <w:bottom w:val="single" w:color="000000" w:sz="10" w:space="0"/>
                  </w:tcBorders>
                  <w:vAlign w:val="center"/>
                </w:tcPr>
                <w:p w14:paraId="18ED88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1</w:t>
                  </w:r>
                </w:p>
              </w:tc>
              <w:tc>
                <w:tcPr>
                  <w:tcW w:w="761" w:type="pct"/>
                  <w:tcBorders>
                    <w:top w:val="single" w:color="000000" w:sz="10" w:space="0"/>
                    <w:bottom w:val="single" w:color="000000" w:sz="10" w:space="0"/>
                  </w:tcBorders>
                  <w:vAlign w:val="center"/>
                </w:tcPr>
                <w:p w14:paraId="288E56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75</w:t>
                  </w:r>
                </w:p>
              </w:tc>
              <w:tc>
                <w:tcPr>
                  <w:tcW w:w="808" w:type="pct"/>
                  <w:tcBorders>
                    <w:top w:val="single" w:color="000000" w:sz="10" w:space="0"/>
                    <w:bottom w:val="single" w:color="000000" w:sz="10" w:space="0"/>
                  </w:tcBorders>
                  <w:vAlign w:val="center"/>
                </w:tcPr>
                <w:p w14:paraId="4017C3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减震、隔声</w:t>
                  </w:r>
                </w:p>
              </w:tc>
              <w:tc>
                <w:tcPr>
                  <w:tcW w:w="548" w:type="pct"/>
                  <w:vMerge w:val="continue"/>
                  <w:tcBorders>
                    <w:bottom w:val="single" w:color="000000" w:sz="10" w:space="0"/>
                    <w:right w:val="single" w:color="000000" w:sz="10" w:space="0"/>
                  </w:tcBorders>
                  <w:vAlign w:val="center"/>
                </w:tcPr>
                <w:p w14:paraId="1F8E82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u w:val="none" w:color="auto"/>
                      <w:lang w:val="en-US" w:eastAsia="zh-CN"/>
                    </w:rPr>
                  </w:pPr>
                </w:p>
              </w:tc>
            </w:tr>
          </w:tbl>
          <w:p w14:paraId="3B60DE48">
            <w:pPr>
              <w:bidi w:val="0"/>
              <w:rPr>
                <w:rFonts w:hint="default" w:eastAsia="宋体"/>
                <w:color w:val="auto"/>
                <w:u w:val="none" w:color="auto"/>
                <w:lang w:val="en-US" w:eastAsia="zh-CN"/>
              </w:rPr>
            </w:pPr>
            <w:r>
              <w:rPr>
                <w:rFonts w:hint="eastAsia"/>
                <w:color w:val="auto"/>
                <w:u w:val="none" w:color="auto"/>
                <w:lang w:val="en-US" w:eastAsia="zh-CN"/>
              </w:rPr>
              <w:t>以厂址中心为坐标原点。</w:t>
            </w:r>
          </w:p>
          <w:p w14:paraId="3F8AB92D">
            <w:pPr>
              <w:bidi w:val="0"/>
              <w:rPr>
                <w:color w:val="auto"/>
                <w:u w:val="none" w:color="auto"/>
              </w:rPr>
            </w:pPr>
            <w:r>
              <w:rPr>
                <w:rFonts w:hint="eastAsia"/>
                <w:color w:val="auto"/>
                <w:u w:val="none" w:color="auto"/>
              </w:rPr>
              <w:t>2、</w:t>
            </w:r>
            <w:r>
              <w:rPr>
                <w:color w:val="auto"/>
                <w:u w:val="none" w:color="auto"/>
              </w:rPr>
              <w:t>噪声预测</w:t>
            </w:r>
          </w:p>
          <w:p w14:paraId="3918803E">
            <w:pPr>
              <w:bidi w:val="0"/>
              <w:rPr>
                <w:rFonts w:hint="eastAsia"/>
                <w:color w:val="auto"/>
                <w:u w:val="none" w:color="auto"/>
              </w:rPr>
            </w:pPr>
            <w:r>
              <w:rPr>
                <w:rFonts w:hint="eastAsia"/>
                <w:color w:val="auto"/>
                <w:u w:val="none" w:color="auto"/>
                <w:lang w:eastAsia="zh-CN"/>
              </w:rPr>
              <w:t>本项目已建成运行，本次评价以项目正常运行时的现状检测值作为预测值</w:t>
            </w:r>
            <w:r>
              <w:rPr>
                <w:rFonts w:hint="eastAsia"/>
                <w:color w:val="auto"/>
                <w:u w:val="none" w:color="auto"/>
              </w:rPr>
              <w:t>，</w:t>
            </w:r>
            <w:r>
              <w:rPr>
                <w:rFonts w:hint="eastAsia"/>
                <w:color w:val="auto"/>
                <w:u w:val="none" w:color="auto"/>
                <w:lang w:eastAsia="zh-CN"/>
              </w:rPr>
              <w:t>根据</w:t>
            </w:r>
            <w:r>
              <w:rPr>
                <w:rFonts w:hint="eastAsia"/>
                <w:color w:val="auto"/>
                <w:u w:val="none" w:color="auto"/>
                <w:lang w:val="en-US" w:eastAsia="zh-CN"/>
              </w:rPr>
              <w:t>2024年11月22日湖南科比特亿美检测有限公司对项目厂界昼夜间噪声的监测结果，项目运营期厂界噪声满足</w:t>
            </w:r>
            <w:r>
              <w:rPr>
                <w:rFonts w:hint="eastAsia"/>
                <w:color w:val="auto"/>
                <w:u w:val="none" w:color="auto"/>
              </w:rPr>
              <w:t>《工业企业厂界环境噪声排放标准》（GB12348-2008）3类标准</w:t>
            </w:r>
            <w:r>
              <w:rPr>
                <w:rFonts w:hint="eastAsia"/>
                <w:color w:val="auto"/>
                <w:u w:val="none" w:color="auto"/>
                <w:lang w:val="en-US" w:eastAsia="zh-CN"/>
              </w:rPr>
              <w:t>，噪声</w:t>
            </w:r>
            <w:r>
              <w:rPr>
                <w:rFonts w:hint="eastAsia"/>
                <w:color w:val="auto"/>
                <w:u w:val="none" w:color="auto"/>
              </w:rPr>
              <w:t>结果见表4-</w:t>
            </w:r>
            <w:r>
              <w:rPr>
                <w:rFonts w:hint="eastAsia"/>
                <w:color w:val="auto"/>
                <w:u w:val="none" w:color="auto"/>
                <w:lang w:val="en-US" w:eastAsia="zh-CN"/>
              </w:rPr>
              <w:t>11</w:t>
            </w:r>
            <w:r>
              <w:rPr>
                <w:rFonts w:hint="eastAsia"/>
                <w:color w:val="auto"/>
                <w:u w:val="none" w:color="auto"/>
              </w:rPr>
              <w:t>。</w:t>
            </w:r>
          </w:p>
          <w:p w14:paraId="2F1ED7AC">
            <w:pPr>
              <w:spacing w:line="240" w:lineRule="auto"/>
              <w:ind w:firstLine="422"/>
              <w:jc w:val="center"/>
              <w:rPr>
                <w:b/>
                <w:bCs/>
                <w:color w:val="auto"/>
                <w:sz w:val="21"/>
                <w:szCs w:val="21"/>
                <w:u w:val="none" w:color="auto"/>
              </w:rPr>
            </w:pPr>
            <w:r>
              <w:rPr>
                <w:rFonts w:hint="eastAsia"/>
                <w:b/>
                <w:bCs/>
                <w:color w:val="auto"/>
                <w:sz w:val="21"/>
                <w:szCs w:val="21"/>
                <w:u w:val="none" w:color="auto"/>
              </w:rPr>
              <w:t>表4-</w:t>
            </w:r>
            <w:r>
              <w:rPr>
                <w:rFonts w:hint="eastAsia"/>
                <w:b/>
                <w:bCs/>
                <w:color w:val="auto"/>
                <w:sz w:val="21"/>
                <w:szCs w:val="21"/>
                <w:u w:val="none" w:color="auto"/>
                <w:lang w:val="en-US" w:eastAsia="zh-CN"/>
              </w:rPr>
              <w:t>11</w:t>
            </w:r>
            <w:r>
              <w:rPr>
                <w:rFonts w:hint="eastAsia"/>
                <w:b/>
                <w:bCs/>
                <w:color w:val="auto"/>
                <w:sz w:val="21"/>
                <w:szCs w:val="21"/>
                <w:u w:val="none" w:color="auto"/>
              </w:rPr>
              <w:t>项目环境噪声预测结果</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0"/>
              <w:gridCol w:w="1440"/>
              <w:gridCol w:w="2035"/>
              <w:gridCol w:w="1320"/>
              <w:gridCol w:w="1471"/>
            </w:tblGrid>
            <w:tr w14:paraId="7260B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09" w:type="pct"/>
                  <w:noWrap w:val="0"/>
                  <w:vAlign w:val="center"/>
                </w:tcPr>
                <w:p w14:paraId="38F147EA">
                  <w:pPr>
                    <w:pStyle w:val="46"/>
                    <w:rPr>
                      <w:color w:val="auto"/>
                      <w:u w:val="none" w:color="auto"/>
                    </w:rPr>
                  </w:pPr>
                  <w:r>
                    <w:rPr>
                      <w:rFonts w:hint="eastAsia"/>
                      <w:color w:val="auto"/>
                      <w:u w:val="none" w:color="auto"/>
                      <w:lang w:eastAsia="zh-CN"/>
                    </w:rPr>
                    <w:t>监测</w:t>
                  </w:r>
                  <w:r>
                    <w:rPr>
                      <w:rFonts w:hint="eastAsia"/>
                      <w:color w:val="auto"/>
                      <w:u w:val="none" w:color="auto"/>
                    </w:rPr>
                    <w:t>点</w:t>
                  </w:r>
                </w:p>
              </w:tc>
              <w:tc>
                <w:tcPr>
                  <w:tcW w:w="871" w:type="pct"/>
                  <w:noWrap w:val="0"/>
                  <w:vAlign w:val="center"/>
                </w:tcPr>
                <w:p w14:paraId="3C1DF4E4">
                  <w:pPr>
                    <w:pStyle w:val="46"/>
                    <w:rPr>
                      <w:rFonts w:hint="eastAsia" w:eastAsia="宋体"/>
                      <w:color w:val="auto"/>
                      <w:u w:val="none" w:color="auto"/>
                      <w:lang w:eastAsia="zh-CN"/>
                    </w:rPr>
                  </w:pPr>
                  <w:r>
                    <w:rPr>
                      <w:rFonts w:hint="eastAsia"/>
                      <w:color w:val="auto"/>
                      <w:u w:val="none" w:color="auto"/>
                      <w:lang w:eastAsia="zh-CN"/>
                    </w:rPr>
                    <w:t>时段</w:t>
                  </w:r>
                </w:p>
              </w:tc>
              <w:tc>
                <w:tcPr>
                  <w:tcW w:w="1230" w:type="pct"/>
                  <w:tcBorders>
                    <w:right w:val="single" w:color="000000" w:sz="6" w:space="0"/>
                  </w:tcBorders>
                  <w:noWrap w:val="0"/>
                  <w:vAlign w:val="center"/>
                </w:tcPr>
                <w:p w14:paraId="645BB06A">
                  <w:pPr>
                    <w:pStyle w:val="46"/>
                    <w:rPr>
                      <w:color w:val="auto"/>
                      <w:u w:val="none" w:color="auto"/>
                    </w:rPr>
                  </w:pPr>
                  <w:r>
                    <w:rPr>
                      <w:rFonts w:hint="eastAsia"/>
                      <w:color w:val="auto"/>
                      <w:u w:val="none" w:color="auto"/>
                    </w:rPr>
                    <w:t>噪声级LeqdB(A)</w:t>
                  </w:r>
                </w:p>
              </w:tc>
              <w:tc>
                <w:tcPr>
                  <w:tcW w:w="798" w:type="pct"/>
                  <w:tcBorders>
                    <w:left w:val="single" w:color="000000" w:sz="6" w:space="0"/>
                  </w:tcBorders>
                  <w:noWrap w:val="0"/>
                  <w:vAlign w:val="center"/>
                </w:tcPr>
                <w:p w14:paraId="654184F2">
                  <w:pPr>
                    <w:pStyle w:val="46"/>
                    <w:rPr>
                      <w:rFonts w:hint="eastAsia"/>
                      <w:color w:val="auto"/>
                      <w:u w:val="none" w:color="auto"/>
                    </w:rPr>
                  </w:pPr>
                  <w:r>
                    <w:rPr>
                      <w:rFonts w:hint="eastAsia"/>
                      <w:color w:val="auto"/>
                      <w:u w:val="none" w:color="auto"/>
                    </w:rPr>
                    <w:t>标准值</w:t>
                  </w:r>
                </w:p>
              </w:tc>
              <w:tc>
                <w:tcPr>
                  <w:tcW w:w="889" w:type="pct"/>
                  <w:noWrap w:val="0"/>
                  <w:vAlign w:val="center"/>
                </w:tcPr>
                <w:p w14:paraId="7453969F">
                  <w:pPr>
                    <w:pStyle w:val="46"/>
                    <w:rPr>
                      <w:color w:val="auto"/>
                      <w:u w:val="none" w:color="auto"/>
                    </w:rPr>
                  </w:pPr>
                  <w:r>
                    <w:rPr>
                      <w:rFonts w:hint="eastAsia"/>
                      <w:color w:val="auto"/>
                      <w:u w:val="none" w:color="auto"/>
                    </w:rPr>
                    <w:t>评价结果</w:t>
                  </w:r>
                </w:p>
              </w:tc>
            </w:tr>
            <w:tr w14:paraId="30DE0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09" w:type="pct"/>
                  <w:vMerge w:val="restart"/>
                  <w:noWrap w:val="0"/>
                  <w:vAlign w:val="center"/>
                </w:tcPr>
                <w:p w14:paraId="1DF24C01">
                  <w:pPr>
                    <w:pStyle w:val="46"/>
                    <w:rPr>
                      <w:color w:val="auto"/>
                      <w:u w:val="none" w:color="auto"/>
                    </w:rPr>
                  </w:pPr>
                  <w:r>
                    <w:rPr>
                      <w:rFonts w:hint="eastAsia"/>
                      <w:color w:val="auto"/>
                      <w:u w:val="none" w:color="auto"/>
                    </w:rPr>
                    <w:t>厂界东外1m处</w:t>
                  </w:r>
                </w:p>
              </w:tc>
              <w:tc>
                <w:tcPr>
                  <w:tcW w:w="871" w:type="pct"/>
                  <w:tcBorders>
                    <w:bottom w:val="single" w:color="000000" w:sz="6" w:space="0"/>
                  </w:tcBorders>
                  <w:noWrap w:val="0"/>
                  <w:vAlign w:val="center"/>
                </w:tcPr>
                <w:p w14:paraId="6F3C3F50">
                  <w:pPr>
                    <w:pStyle w:val="46"/>
                    <w:rPr>
                      <w:color w:val="auto"/>
                      <w:u w:val="none" w:color="auto"/>
                    </w:rPr>
                  </w:pPr>
                  <w:r>
                    <w:rPr>
                      <w:rFonts w:hint="eastAsia"/>
                      <w:color w:val="auto"/>
                      <w:u w:val="none" w:color="auto"/>
                    </w:rPr>
                    <w:t>昼间</w:t>
                  </w:r>
                </w:p>
              </w:tc>
              <w:tc>
                <w:tcPr>
                  <w:tcW w:w="1230" w:type="pct"/>
                  <w:tcBorders>
                    <w:bottom w:val="single" w:color="000000" w:sz="6" w:space="0"/>
                  </w:tcBorders>
                  <w:noWrap w:val="0"/>
                  <w:vAlign w:val="center"/>
                </w:tcPr>
                <w:p w14:paraId="1555DCCE">
                  <w:pPr>
                    <w:pStyle w:val="46"/>
                    <w:rPr>
                      <w:rFonts w:hint="default" w:eastAsia="宋体"/>
                      <w:color w:val="auto"/>
                      <w:u w:val="none" w:color="auto"/>
                      <w:lang w:val="en-US" w:eastAsia="zh-CN"/>
                    </w:rPr>
                  </w:pPr>
                  <w:r>
                    <w:rPr>
                      <w:rFonts w:hint="eastAsia" w:eastAsia="宋体"/>
                      <w:color w:val="auto"/>
                      <w:u w:val="none" w:color="auto"/>
                      <w:lang w:val="en-US" w:eastAsia="zh-CN"/>
                    </w:rPr>
                    <w:t>54</w:t>
                  </w:r>
                </w:p>
              </w:tc>
              <w:tc>
                <w:tcPr>
                  <w:tcW w:w="798" w:type="pct"/>
                  <w:tcBorders>
                    <w:bottom w:val="single" w:color="000000" w:sz="6" w:space="0"/>
                  </w:tcBorders>
                  <w:noWrap w:val="0"/>
                  <w:vAlign w:val="center"/>
                </w:tcPr>
                <w:p w14:paraId="7B7CCCAC">
                  <w:pPr>
                    <w:pStyle w:val="46"/>
                    <w:rPr>
                      <w:rFonts w:hint="default" w:eastAsia="宋体"/>
                      <w:color w:val="auto"/>
                      <w:u w:val="none" w:color="auto"/>
                      <w:lang w:val="en-US" w:eastAsia="zh-CN"/>
                    </w:rPr>
                  </w:pPr>
                  <w:r>
                    <w:rPr>
                      <w:rFonts w:hint="eastAsia"/>
                      <w:color w:val="auto"/>
                      <w:u w:val="none" w:color="auto"/>
                      <w:lang w:val="en-US" w:eastAsia="zh-CN"/>
                    </w:rPr>
                    <w:t>65</w:t>
                  </w:r>
                </w:p>
              </w:tc>
              <w:tc>
                <w:tcPr>
                  <w:tcW w:w="889" w:type="pct"/>
                  <w:tcBorders>
                    <w:bottom w:val="single" w:color="000000" w:sz="6" w:space="0"/>
                  </w:tcBorders>
                  <w:noWrap w:val="0"/>
                  <w:vAlign w:val="center"/>
                </w:tcPr>
                <w:p w14:paraId="319C2428">
                  <w:pPr>
                    <w:pStyle w:val="46"/>
                    <w:rPr>
                      <w:color w:val="auto"/>
                      <w:u w:val="none" w:color="auto"/>
                    </w:rPr>
                  </w:pPr>
                  <w:r>
                    <w:rPr>
                      <w:rFonts w:hint="eastAsia"/>
                      <w:color w:val="auto"/>
                      <w:u w:val="none" w:color="auto"/>
                    </w:rPr>
                    <w:t>达标</w:t>
                  </w:r>
                </w:p>
              </w:tc>
            </w:tr>
            <w:tr w14:paraId="4B5DB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09" w:type="pct"/>
                  <w:vMerge w:val="continue"/>
                  <w:noWrap w:val="0"/>
                  <w:vAlign w:val="center"/>
                </w:tcPr>
                <w:p w14:paraId="01A2D6A1">
                  <w:pPr>
                    <w:pStyle w:val="46"/>
                    <w:rPr>
                      <w:rFonts w:hint="eastAsia"/>
                      <w:color w:val="auto"/>
                      <w:u w:val="none" w:color="auto"/>
                    </w:rPr>
                  </w:pPr>
                </w:p>
              </w:tc>
              <w:tc>
                <w:tcPr>
                  <w:tcW w:w="871" w:type="pct"/>
                  <w:tcBorders>
                    <w:top w:val="single" w:color="000000" w:sz="6" w:space="0"/>
                  </w:tcBorders>
                  <w:noWrap w:val="0"/>
                  <w:vAlign w:val="center"/>
                </w:tcPr>
                <w:p w14:paraId="5C092C0C">
                  <w:pPr>
                    <w:pStyle w:val="46"/>
                    <w:rPr>
                      <w:color w:val="auto"/>
                      <w:u w:val="none" w:color="auto"/>
                    </w:rPr>
                  </w:pPr>
                  <w:r>
                    <w:rPr>
                      <w:rFonts w:hint="eastAsia"/>
                      <w:color w:val="auto"/>
                      <w:u w:val="none" w:color="auto"/>
                    </w:rPr>
                    <w:t>夜间</w:t>
                  </w:r>
                </w:p>
              </w:tc>
              <w:tc>
                <w:tcPr>
                  <w:tcW w:w="1230" w:type="pct"/>
                  <w:tcBorders>
                    <w:top w:val="single" w:color="000000" w:sz="6" w:space="0"/>
                  </w:tcBorders>
                  <w:noWrap w:val="0"/>
                  <w:vAlign w:val="center"/>
                </w:tcPr>
                <w:p w14:paraId="0D2D4690">
                  <w:pPr>
                    <w:pStyle w:val="46"/>
                    <w:rPr>
                      <w:rFonts w:hint="default"/>
                      <w:color w:val="auto"/>
                      <w:u w:val="none" w:color="auto"/>
                      <w:lang w:val="en-US" w:eastAsia="zh-CN"/>
                    </w:rPr>
                  </w:pPr>
                  <w:r>
                    <w:rPr>
                      <w:rFonts w:hint="eastAsia"/>
                      <w:color w:val="auto"/>
                      <w:u w:val="none" w:color="auto"/>
                      <w:lang w:val="en-US" w:eastAsia="zh-CN"/>
                    </w:rPr>
                    <w:t>42</w:t>
                  </w:r>
                </w:p>
              </w:tc>
              <w:tc>
                <w:tcPr>
                  <w:tcW w:w="798" w:type="pct"/>
                  <w:tcBorders>
                    <w:top w:val="single" w:color="000000" w:sz="6" w:space="0"/>
                    <w:bottom w:val="single" w:color="000000" w:sz="6" w:space="0"/>
                  </w:tcBorders>
                  <w:noWrap w:val="0"/>
                  <w:vAlign w:val="center"/>
                </w:tcPr>
                <w:p w14:paraId="3D7E497B">
                  <w:pPr>
                    <w:pStyle w:val="46"/>
                    <w:rPr>
                      <w:rFonts w:hint="default" w:eastAsia="宋体"/>
                      <w:color w:val="auto"/>
                      <w:u w:val="none" w:color="auto"/>
                      <w:lang w:val="en-US" w:eastAsia="zh-CN"/>
                    </w:rPr>
                  </w:pPr>
                  <w:r>
                    <w:rPr>
                      <w:rFonts w:hint="eastAsia"/>
                      <w:color w:val="auto"/>
                      <w:u w:val="none" w:color="auto"/>
                      <w:lang w:val="en-US" w:eastAsia="zh-CN"/>
                    </w:rPr>
                    <w:t>55</w:t>
                  </w:r>
                </w:p>
              </w:tc>
              <w:tc>
                <w:tcPr>
                  <w:tcW w:w="889" w:type="pct"/>
                  <w:tcBorders>
                    <w:top w:val="single" w:color="000000" w:sz="6" w:space="0"/>
                  </w:tcBorders>
                  <w:noWrap w:val="0"/>
                  <w:vAlign w:val="center"/>
                </w:tcPr>
                <w:p w14:paraId="1270ED6E">
                  <w:pPr>
                    <w:pStyle w:val="46"/>
                    <w:rPr>
                      <w:rFonts w:hint="eastAsia"/>
                      <w:color w:val="auto"/>
                      <w:u w:val="none" w:color="auto"/>
                    </w:rPr>
                  </w:pPr>
                  <w:r>
                    <w:rPr>
                      <w:rFonts w:hint="eastAsia"/>
                      <w:color w:val="auto"/>
                      <w:u w:val="none" w:color="auto"/>
                    </w:rPr>
                    <w:t>达标</w:t>
                  </w:r>
                </w:p>
              </w:tc>
            </w:tr>
            <w:tr w14:paraId="4076E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09" w:type="pct"/>
                  <w:vMerge w:val="restart"/>
                  <w:noWrap w:val="0"/>
                  <w:vAlign w:val="center"/>
                </w:tcPr>
                <w:p w14:paraId="14E4FFE2">
                  <w:pPr>
                    <w:pStyle w:val="46"/>
                    <w:rPr>
                      <w:color w:val="auto"/>
                      <w:u w:val="none" w:color="auto"/>
                    </w:rPr>
                  </w:pPr>
                  <w:r>
                    <w:rPr>
                      <w:rFonts w:hint="eastAsia"/>
                      <w:color w:val="auto"/>
                      <w:u w:val="none" w:color="auto"/>
                    </w:rPr>
                    <w:t>厂界南外1m处</w:t>
                  </w:r>
                </w:p>
              </w:tc>
              <w:tc>
                <w:tcPr>
                  <w:tcW w:w="871" w:type="pct"/>
                  <w:tcBorders>
                    <w:bottom w:val="single" w:color="000000" w:sz="6" w:space="0"/>
                  </w:tcBorders>
                  <w:shd w:val="clear" w:color="auto" w:fill="auto"/>
                  <w:noWrap w:val="0"/>
                  <w:vAlign w:val="center"/>
                </w:tcPr>
                <w:p w14:paraId="4DCB0B2F">
                  <w:pPr>
                    <w:pStyle w:val="46"/>
                    <w:ind w:firstLine="0" w:firstLineChars="0"/>
                    <w:rPr>
                      <w:rFonts w:ascii="Times New Roman" w:hAnsi="Times New Roman" w:eastAsia="宋体" w:cs="Times New Roman"/>
                      <w:color w:val="auto"/>
                      <w:spacing w:val="2"/>
                      <w:kern w:val="2"/>
                      <w:sz w:val="21"/>
                      <w:szCs w:val="24"/>
                      <w:u w:val="none" w:color="auto"/>
                      <w:lang w:val="en-US" w:eastAsia="zh-CN" w:bidi="ar-SA"/>
                    </w:rPr>
                  </w:pPr>
                  <w:r>
                    <w:rPr>
                      <w:rFonts w:hint="eastAsia"/>
                      <w:color w:val="auto"/>
                      <w:u w:val="none" w:color="auto"/>
                    </w:rPr>
                    <w:t>昼间</w:t>
                  </w:r>
                </w:p>
              </w:tc>
              <w:tc>
                <w:tcPr>
                  <w:tcW w:w="1230" w:type="pct"/>
                  <w:tcBorders>
                    <w:bottom w:val="single" w:color="000000" w:sz="6" w:space="0"/>
                  </w:tcBorders>
                  <w:noWrap w:val="0"/>
                  <w:vAlign w:val="center"/>
                </w:tcPr>
                <w:p w14:paraId="34D9D949">
                  <w:pPr>
                    <w:pStyle w:val="46"/>
                    <w:rPr>
                      <w:rFonts w:hint="default" w:eastAsia="宋体"/>
                      <w:color w:val="auto"/>
                      <w:u w:val="none" w:color="auto"/>
                      <w:lang w:val="en-US" w:eastAsia="zh-CN"/>
                    </w:rPr>
                  </w:pPr>
                  <w:r>
                    <w:rPr>
                      <w:rFonts w:hint="eastAsia" w:eastAsia="宋体"/>
                      <w:color w:val="auto"/>
                      <w:u w:val="none" w:color="auto"/>
                      <w:lang w:val="en-US" w:eastAsia="zh-CN"/>
                    </w:rPr>
                    <w:t>55</w:t>
                  </w:r>
                </w:p>
              </w:tc>
              <w:tc>
                <w:tcPr>
                  <w:tcW w:w="798" w:type="pct"/>
                  <w:tcBorders>
                    <w:top w:val="single" w:color="000000" w:sz="6" w:space="0"/>
                    <w:bottom w:val="single" w:color="000000" w:sz="6" w:space="0"/>
                  </w:tcBorders>
                  <w:shd w:val="clear" w:color="auto" w:fill="auto"/>
                  <w:noWrap w:val="0"/>
                  <w:vAlign w:val="center"/>
                </w:tcPr>
                <w:p w14:paraId="4032F8AA">
                  <w:pPr>
                    <w:pStyle w:val="46"/>
                    <w:ind w:firstLine="0" w:firstLineChars="0"/>
                    <w:rPr>
                      <w:rFonts w:hint="eastAsia" w:ascii="Times New Roman" w:hAnsi="Times New Roman" w:eastAsia="宋体" w:cs="Times New Roman"/>
                      <w:color w:val="auto"/>
                      <w:spacing w:val="2"/>
                      <w:kern w:val="2"/>
                      <w:sz w:val="21"/>
                      <w:szCs w:val="24"/>
                      <w:u w:val="none" w:color="auto"/>
                      <w:lang w:val="en-US" w:eastAsia="zh-CN" w:bidi="ar-SA"/>
                    </w:rPr>
                  </w:pPr>
                  <w:r>
                    <w:rPr>
                      <w:rFonts w:hint="eastAsia"/>
                      <w:color w:val="auto"/>
                      <w:u w:val="none" w:color="auto"/>
                      <w:lang w:val="en-US" w:eastAsia="zh-CN"/>
                    </w:rPr>
                    <w:t>65</w:t>
                  </w:r>
                </w:p>
              </w:tc>
              <w:tc>
                <w:tcPr>
                  <w:tcW w:w="889" w:type="pct"/>
                  <w:tcBorders>
                    <w:bottom w:val="single" w:color="000000" w:sz="6" w:space="0"/>
                  </w:tcBorders>
                  <w:noWrap w:val="0"/>
                  <w:vAlign w:val="center"/>
                </w:tcPr>
                <w:p w14:paraId="02FEA758">
                  <w:pPr>
                    <w:pStyle w:val="46"/>
                    <w:rPr>
                      <w:color w:val="auto"/>
                      <w:u w:val="none" w:color="auto"/>
                    </w:rPr>
                  </w:pPr>
                  <w:r>
                    <w:rPr>
                      <w:rFonts w:hint="eastAsia"/>
                      <w:color w:val="auto"/>
                      <w:u w:val="none" w:color="auto"/>
                    </w:rPr>
                    <w:t>达标</w:t>
                  </w:r>
                </w:p>
              </w:tc>
            </w:tr>
            <w:tr w14:paraId="28D94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09" w:type="pct"/>
                  <w:vMerge w:val="continue"/>
                  <w:noWrap w:val="0"/>
                  <w:vAlign w:val="center"/>
                </w:tcPr>
                <w:p w14:paraId="25307728">
                  <w:pPr>
                    <w:pStyle w:val="46"/>
                    <w:rPr>
                      <w:rFonts w:hint="eastAsia"/>
                      <w:color w:val="auto"/>
                      <w:u w:val="none" w:color="auto"/>
                    </w:rPr>
                  </w:pPr>
                </w:p>
              </w:tc>
              <w:tc>
                <w:tcPr>
                  <w:tcW w:w="871" w:type="pct"/>
                  <w:tcBorders>
                    <w:top w:val="single" w:color="000000" w:sz="6" w:space="0"/>
                  </w:tcBorders>
                  <w:shd w:val="clear" w:color="auto" w:fill="auto"/>
                  <w:noWrap w:val="0"/>
                  <w:vAlign w:val="center"/>
                </w:tcPr>
                <w:p w14:paraId="178AB0BB">
                  <w:pPr>
                    <w:pStyle w:val="46"/>
                    <w:ind w:firstLine="0" w:firstLineChars="0"/>
                    <w:rPr>
                      <w:rFonts w:ascii="Times New Roman" w:hAnsi="Times New Roman" w:eastAsia="宋体" w:cs="Times New Roman"/>
                      <w:color w:val="auto"/>
                      <w:spacing w:val="2"/>
                      <w:kern w:val="2"/>
                      <w:sz w:val="21"/>
                      <w:szCs w:val="24"/>
                      <w:u w:val="none" w:color="auto"/>
                      <w:lang w:val="en-US" w:eastAsia="zh-CN" w:bidi="ar-SA"/>
                    </w:rPr>
                  </w:pPr>
                  <w:r>
                    <w:rPr>
                      <w:rFonts w:hint="eastAsia"/>
                      <w:color w:val="auto"/>
                      <w:u w:val="none" w:color="auto"/>
                    </w:rPr>
                    <w:t>夜间</w:t>
                  </w:r>
                </w:p>
              </w:tc>
              <w:tc>
                <w:tcPr>
                  <w:tcW w:w="1230" w:type="pct"/>
                  <w:tcBorders>
                    <w:top w:val="single" w:color="000000" w:sz="6" w:space="0"/>
                  </w:tcBorders>
                  <w:noWrap w:val="0"/>
                  <w:vAlign w:val="center"/>
                </w:tcPr>
                <w:p w14:paraId="7F3F9704">
                  <w:pPr>
                    <w:pStyle w:val="46"/>
                    <w:rPr>
                      <w:rFonts w:hint="default"/>
                      <w:color w:val="auto"/>
                      <w:u w:val="none" w:color="auto"/>
                      <w:lang w:val="en-US" w:eastAsia="zh-CN"/>
                    </w:rPr>
                  </w:pPr>
                  <w:r>
                    <w:rPr>
                      <w:rFonts w:hint="eastAsia"/>
                      <w:color w:val="auto"/>
                      <w:u w:val="none" w:color="auto"/>
                      <w:lang w:val="en-US" w:eastAsia="zh-CN"/>
                    </w:rPr>
                    <w:t>52</w:t>
                  </w:r>
                </w:p>
              </w:tc>
              <w:tc>
                <w:tcPr>
                  <w:tcW w:w="798" w:type="pct"/>
                  <w:tcBorders>
                    <w:top w:val="single" w:color="000000" w:sz="6" w:space="0"/>
                    <w:bottom w:val="single" w:color="000000" w:sz="6" w:space="0"/>
                  </w:tcBorders>
                  <w:shd w:val="clear" w:color="auto" w:fill="auto"/>
                  <w:noWrap w:val="0"/>
                  <w:vAlign w:val="center"/>
                </w:tcPr>
                <w:p w14:paraId="3DC6390E">
                  <w:pPr>
                    <w:pStyle w:val="46"/>
                    <w:ind w:firstLine="0" w:firstLineChars="0"/>
                    <w:rPr>
                      <w:rFonts w:hint="eastAsia" w:ascii="Times New Roman" w:hAnsi="Times New Roman" w:eastAsia="宋体" w:cs="Times New Roman"/>
                      <w:color w:val="auto"/>
                      <w:spacing w:val="2"/>
                      <w:kern w:val="2"/>
                      <w:sz w:val="21"/>
                      <w:szCs w:val="24"/>
                      <w:u w:val="none" w:color="auto"/>
                      <w:lang w:val="en-US" w:eastAsia="zh-CN" w:bidi="ar-SA"/>
                    </w:rPr>
                  </w:pPr>
                  <w:r>
                    <w:rPr>
                      <w:rFonts w:hint="eastAsia"/>
                      <w:color w:val="auto"/>
                      <w:u w:val="none" w:color="auto"/>
                      <w:lang w:val="en-US" w:eastAsia="zh-CN"/>
                    </w:rPr>
                    <w:t>55</w:t>
                  </w:r>
                </w:p>
              </w:tc>
              <w:tc>
                <w:tcPr>
                  <w:tcW w:w="889" w:type="pct"/>
                  <w:tcBorders>
                    <w:top w:val="single" w:color="000000" w:sz="6" w:space="0"/>
                  </w:tcBorders>
                  <w:noWrap w:val="0"/>
                  <w:vAlign w:val="center"/>
                </w:tcPr>
                <w:p w14:paraId="63DD7061">
                  <w:pPr>
                    <w:pStyle w:val="46"/>
                    <w:rPr>
                      <w:rFonts w:hint="eastAsia"/>
                      <w:color w:val="auto"/>
                      <w:u w:val="none" w:color="auto"/>
                    </w:rPr>
                  </w:pPr>
                  <w:r>
                    <w:rPr>
                      <w:rFonts w:hint="eastAsia"/>
                      <w:color w:val="auto"/>
                      <w:u w:val="none" w:color="auto"/>
                    </w:rPr>
                    <w:t>达标</w:t>
                  </w:r>
                </w:p>
              </w:tc>
            </w:tr>
            <w:tr w14:paraId="605BD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09" w:type="pct"/>
                  <w:vMerge w:val="restart"/>
                  <w:noWrap w:val="0"/>
                  <w:vAlign w:val="center"/>
                </w:tcPr>
                <w:p w14:paraId="79FACB8C">
                  <w:pPr>
                    <w:pStyle w:val="46"/>
                    <w:rPr>
                      <w:color w:val="auto"/>
                      <w:u w:val="none" w:color="auto"/>
                    </w:rPr>
                  </w:pPr>
                  <w:r>
                    <w:rPr>
                      <w:rFonts w:hint="eastAsia"/>
                      <w:color w:val="auto"/>
                      <w:u w:val="none" w:color="auto"/>
                    </w:rPr>
                    <w:t>厂界西外1m处</w:t>
                  </w:r>
                </w:p>
              </w:tc>
              <w:tc>
                <w:tcPr>
                  <w:tcW w:w="871" w:type="pct"/>
                  <w:tcBorders>
                    <w:bottom w:val="single" w:color="000000" w:sz="6" w:space="0"/>
                  </w:tcBorders>
                  <w:shd w:val="clear" w:color="auto" w:fill="auto"/>
                  <w:noWrap w:val="0"/>
                  <w:vAlign w:val="center"/>
                </w:tcPr>
                <w:p w14:paraId="34EE5EC4">
                  <w:pPr>
                    <w:pStyle w:val="46"/>
                    <w:ind w:firstLine="0" w:firstLineChars="0"/>
                    <w:rPr>
                      <w:rFonts w:ascii="Times New Roman" w:hAnsi="Times New Roman" w:eastAsia="宋体" w:cs="Times New Roman"/>
                      <w:color w:val="auto"/>
                      <w:spacing w:val="2"/>
                      <w:kern w:val="2"/>
                      <w:sz w:val="21"/>
                      <w:szCs w:val="24"/>
                      <w:u w:val="none" w:color="auto"/>
                      <w:lang w:val="en-US" w:eastAsia="zh-CN" w:bidi="ar-SA"/>
                    </w:rPr>
                  </w:pPr>
                  <w:r>
                    <w:rPr>
                      <w:rFonts w:hint="eastAsia"/>
                      <w:color w:val="auto"/>
                      <w:u w:val="none" w:color="auto"/>
                    </w:rPr>
                    <w:t>昼间</w:t>
                  </w:r>
                </w:p>
              </w:tc>
              <w:tc>
                <w:tcPr>
                  <w:tcW w:w="1230" w:type="pct"/>
                  <w:tcBorders>
                    <w:bottom w:val="single" w:color="000000" w:sz="6" w:space="0"/>
                  </w:tcBorders>
                  <w:noWrap w:val="0"/>
                  <w:vAlign w:val="center"/>
                </w:tcPr>
                <w:p w14:paraId="21F1A1E7">
                  <w:pPr>
                    <w:pStyle w:val="46"/>
                    <w:rPr>
                      <w:rFonts w:hint="default" w:eastAsia="宋体"/>
                      <w:color w:val="auto"/>
                      <w:u w:val="none" w:color="auto"/>
                      <w:lang w:val="en-US" w:eastAsia="zh-CN"/>
                    </w:rPr>
                  </w:pPr>
                  <w:r>
                    <w:rPr>
                      <w:rFonts w:hint="eastAsia" w:eastAsia="宋体"/>
                      <w:color w:val="auto"/>
                      <w:u w:val="none" w:color="auto"/>
                      <w:lang w:val="en-US" w:eastAsia="zh-CN"/>
                    </w:rPr>
                    <w:t>49</w:t>
                  </w:r>
                </w:p>
              </w:tc>
              <w:tc>
                <w:tcPr>
                  <w:tcW w:w="798" w:type="pct"/>
                  <w:tcBorders>
                    <w:top w:val="single" w:color="000000" w:sz="6" w:space="0"/>
                    <w:bottom w:val="single" w:color="000000" w:sz="6" w:space="0"/>
                  </w:tcBorders>
                  <w:shd w:val="clear" w:color="auto" w:fill="auto"/>
                  <w:noWrap w:val="0"/>
                  <w:vAlign w:val="center"/>
                </w:tcPr>
                <w:p w14:paraId="217E39CB">
                  <w:pPr>
                    <w:pStyle w:val="46"/>
                    <w:ind w:firstLine="0" w:firstLineChars="0"/>
                    <w:rPr>
                      <w:rFonts w:hint="eastAsia" w:ascii="Times New Roman" w:hAnsi="Times New Roman" w:eastAsia="宋体" w:cs="Times New Roman"/>
                      <w:color w:val="auto"/>
                      <w:spacing w:val="2"/>
                      <w:kern w:val="2"/>
                      <w:sz w:val="21"/>
                      <w:szCs w:val="24"/>
                      <w:u w:val="none" w:color="auto"/>
                      <w:lang w:val="en-US" w:eastAsia="zh-CN" w:bidi="ar-SA"/>
                    </w:rPr>
                  </w:pPr>
                  <w:r>
                    <w:rPr>
                      <w:rFonts w:hint="eastAsia"/>
                      <w:color w:val="auto"/>
                      <w:u w:val="none" w:color="auto"/>
                      <w:lang w:val="en-US" w:eastAsia="zh-CN"/>
                    </w:rPr>
                    <w:t>65</w:t>
                  </w:r>
                </w:p>
              </w:tc>
              <w:tc>
                <w:tcPr>
                  <w:tcW w:w="889" w:type="pct"/>
                  <w:tcBorders>
                    <w:bottom w:val="single" w:color="000000" w:sz="6" w:space="0"/>
                  </w:tcBorders>
                  <w:noWrap w:val="0"/>
                  <w:vAlign w:val="center"/>
                </w:tcPr>
                <w:p w14:paraId="3B33A201">
                  <w:pPr>
                    <w:pStyle w:val="46"/>
                    <w:rPr>
                      <w:color w:val="auto"/>
                      <w:u w:val="none" w:color="auto"/>
                    </w:rPr>
                  </w:pPr>
                  <w:r>
                    <w:rPr>
                      <w:rFonts w:hint="eastAsia"/>
                      <w:color w:val="auto"/>
                      <w:u w:val="none" w:color="auto"/>
                    </w:rPr>
                    <w:t>达标</w:t>
                  </w:r>
                </w:p>
              </w:tc>
            </w:tr>
            <w:tr w14:paraId="1612B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09" w:type="pct"/>
                  <w:vMerge w:val="continue"/>
                  <w:noWrap w:val="0"/>
                  <w:vAlign w:val="center"/>
                </w:tcPr>
                <w:p w14:paraId="147E05DF">
                  <w:pPr>
                    <w:pStyle w:val="46"/>
                    <w:rPr>
                      <w:rFonts w:hint="eastAsia"/>
                      <w:color w:val="auto"/>
                      <w:u w:val="none" w:color="auto"/>
                    </w:rPr>
                  </w:pPr>
                </w:p>
              </w:tc>
              <w:tc>
                <w:tcPr>
                  <w:tcW w:w="871" w:type="pct"/>
                  <w:tcBorders>
                    <w:top w:val="single" w:color="000000" w:sz="6" w:space="0"/>
                  </w:tcBorders>
                  <w:shd w:val="clear" w:color="auto" w:fill="auto"/>
                  <w:noWrap w:val="0"/>
                  <w:vAlign w:val="center"/>
                </w:tcPr>
                <w:p w14:paraId="527146C5">
                  <w:pPr>
                    <w:pStyle w:val="46"/>
                    <w:ind w:firstLine="0" w:firstLineChars="0"/>
                    <w:rPr>
                      <w:rFonts w:ascii="Times New Roman" w:hAnsi="Times New Roman" w:eastAsia="宋体" w:cs="Times New Roman"/>
                      <w:color w:val="auto"/>
                      <w:spacing w:val="2"/>
                      <w:kern w:val="2"/>
                      <w:sz w:val="21"/>
                      <w:szCs w:val="24"/>
                      <w:u w:val="none" w:color="auto"/>
                      <w:lang w:val="en-US" w:eastAsia="zh-CN" w:bidi="ar-SA"/>
                    </w:rPr>
                  </w:pPr>
                  <w:r>
                    <w:rPr>
                      <w:rFonts w:hint="eastAsia"/>
                      <w:color w:val="auto"/>
                      <w:u w:val="none" w:color="auto"/>
                    </w:rPr>
                    <w:t>夜间</w:t>
                  </w:r>
                </w:p>
              </w:tc>
              <w:tc>
                <w:tcPr>
                  <w:tcW w:w="1230" w:type="pct"/>
                  <w:tcBorders>
                    <w:top w:val="single" w:color="000000" w:sz="6" w:space="0"/>
                  </w:tcBorders>
                  <w:noWrap w:val="0"/>
                  <w:vAlign w:val="center"/>
                </w:tcPr>
                <w:p w14:paraId="3C86660A">
                  <w:pPr>
                    <w:pStyle w:val="46"/>
                    <w:rPr>
                      <w:rFonts w:hint="default"/>
                      <w:color w:val="auto"/>
                      <w:u w:val="none" w:color="auto"/>
                      <w:lang w:val="en-US" w:eastAsia="zh-CN"/>
                    </w:rPr>
                  </w:pPr>
                  <w:r>
                    <w:rPr>
                      <w:rFonts w:hint="eastAsia"/>
                      <w:color w:val="auto"/>
                      <w:u w:val="none" w:color="auto"/>
                      <w:lang w:val="en-US" w:eastAsia="zh-CN"/>
                    </w:rPr>
                    <w:t>43</w:t>
                  </w:r>
                </w:p>
              </w:tc>
              <w:tc>
                <w:tcPr>
                  <w:tcW w:w="798" w:type="pct"/>
                  <w:tcBorders>
                    <w:top w:val="single" w:color="000000" w:sz="6" w:space="0"/>
                    <w:bottom w:val="single" w:color="000000" w:sz="6" w:space="0"/>
                  </w:tcBorders>
                  <w:shd w:val="clear" w:color="auto" w:fill="auto"/>
                  <w:noWrap w:val="0"/>
                  <w:vAlign w:val="center"/>
                </w:tcPr>
                <w:p w14:paraId="7AF8CAC7">
                  <w:pPr>
                    <w:pStyle w:val="46"/>
                    <w:ind w:firstLine="0" w:firstLineChars="0"/>
                    <w:rPr>
                      <w:rFonts w:hint="eastAsia" w:ascii="Times New Roman" w:hAnsi="Times New Roman" w:eastAsia="宋体" w:cs="Times New Roman"/>
                      <w:color w:val="auto"/>
                      <w:spacing w:val="2"/>
                      <w:kern w:val="2"/>
                      <w:sz w:val="21"/>
                      <w:szCs w:val="24"/>
                      <w:u w:val="none" w:color="auto"/>
                      <w:lang w:val="en-US" w:eastAsia="zh-CN" w:bidi="ar-SA"/>
                    </w:rPr>
                  </w:pPr>
                  <w:r>
                    <w:rPr>
                      <w:rFonts w:hint="eastAsia"/>
                      <w:color w:val="auto"/>
                      <w:u w:val="none" w:color="auto"/>
                      <w:lang w:val="en-US" w:eastAsia="zh-CN"/>
                    </w:rPr>
                    <w:t>55</w:t>
                  </w:r>
                </w:p>
              </w:tc>
              <w:tc>
                <w:tcPr>
                  <w:tcW w:w="889" w:type="pct"/>
                  <w:tcBorders>
                    <w:top w:val="single" w:color="000000" w:sz="6" w:space="0"/>
                  </w:tcBorders>
                  <w:noWrap w:val="0"/>
                  <w:vAlign w:val="center"/>
                </w:tcPr>
                <w:p w14:paraId="51447536">
                  <w:pPr>
                    <w:pStyle w:val="46"/>
                    <w:rPr>
                      <w:rFonts w:hint="eastAsia"/>
                      <w:color w:val="auto"/>
                      <w:u w:val="none" w:color="auto"/>
                    </w:rPr>
                  </w:pPr>
                  <w:r>
                    <w:rPr>
                      <w:rFonts w:hint="eastAsia"/>
                      <w:color w:val="auto"/>
                      <w:u w:val="none" w:color="auto"/>
                    </w:rPr>
                    <w:t>达标</w:t>
                  </w:r>
                </w:p>
              </w:tc>
            </w:tr>
            <w:tr w14:paraId="15EF1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09" w:type="pct"/>
                  <w:vMerge w:val="restart"/>
                  <w:noWrap w:val="0"/>
                  <w:vAlign w:val="center"/>
                </w:tcPr>
                <w:p w14:paraId="39DD3282">
                  <w:pPr>
                    <w:pStyle w:val="46"/>
                    <w:rPr>
                      <w:color w:val="auto"/>
                      <w:u w:val="none" w:color="auto"/>
                    </w:rPr>
                  </w:pPr>
                  <w:r>
                    <w:rPr>
                      <w:rFonts w:hint="eastAsia"/>
                      <w:color w:val="auto"/>
                      <w:u w:val="none" w:color="auto"/>
                    </w:rPr>
                    <w:t>厂界北外1m处</w:t>
                  </w:r>
                </w:p>
              </w:tc>
              <w:tc>
                <w:tcPr>
                  <w:tcW w:w="871" w:type="pct"/>
                  <w:tcBorders>
                    <w:bottom w:val="single" w:color="000000" w:sz="6" w:space="0"/>
                  </w:tcBorders>
                  <w:shd w:val="clear" w:color="auto" w:fill="auto"/>
                  <w:noWrap w:val="0"/>
                  <w:vAlign w:val="center"/>
                </w:tcPr>
                <w:p w14:paraId="1AC5C422">
                  <w:pPr>
                    <w:pStyle w:val="46"/>
                    <w:ind w:firstLine="0" w:firstLineChars="0"/>
                    <w:rPr>
                      <w:rFonts w:ascii="Times New Roman" w:hAnsi="Times New Roman" w:eastAsia="宋体" w:cs="Times New Roman"/>
                      <w:color w:val="auto"/>
                      <w:spacing w:val="2"/>
                      <w:kern w:val="2"/>
                      <w:sz w:val="21"/>
                      <w:szCs w:val="24"/>
                      <w:u w:val="none" w:color="auto"/>
                      <w:lang w:val="en-US" w:eastAsia="zh-CN" w:bidi="ar-SA"/>
                    </w:rPr>
                  </w:pPr>
                  <w:r>
                    <w:rPr>
                      <w:rFonts w:hint="eastAsia"/>
                      <w:color w:val="auto"/>
                      <w:u w:val="none" w:color="auto"/>
                    </w:rPr>
                    <w:t>昼间</w:t>
                  </w:r>
                </w:p>
              </w:tc>
              <w:tc>
                <w:tcPr>
                  <w:tcW w:w="1230" w:type="pct"/>
                  <w:tcBorders>
                    <w:bottom w:val="single" w:color="000000" w:sz="6" w:space="0"/>
                  </w:tcBorders>
                  <w:noWrap w:val="0"/>
                  <w:vAlign w:val="center"/>
                </w:tcPr>
                <w:p w14:paraId="1FF148DE">
                  <w:pPr>
                    <w:pStyle w:val="46"/>
                    <w:rPr>
                      <w:rFonts w:hint="default" w:eastAsia="宋体"/>
                      <w:color w:val="auto"/>
                      <w:u w:val="none" w:color="auto"/>
                      <w:lang w:val="en-US" w:eastAsia="zh-CN"/>
                    </w:rPr>
                  </w:pPr>
                  <w:r>
                    <w:rPr>
                      <w:rFonts w:hint="eastAsia" w:eastAsia="宋体"/>
                      <w:color w:val="auto"/>
                      <w:u w:val="none" w:color="auto"/>
                      <w:lang w:val="en-US" w:eastAsia="zh-CN"/>
                    </w:rPr>
                    <w:t>55</w:t>
                  </w:r>
                </w:p>
              </w:tc>
              <w:tc>
                <w:tcPr>
                  <w:tcW w:w="798" w:type="pct"/>
                  <w:tcBorders>
                    <w:top w:val="single" w:color="000000" w:sz="6" w:space="0"/>
                    <w:bottom w:val="single" w:color="000000" w:sz="6" w:space="0"/>
                  </w:tcBorders>
                  <w:shd w:val="clear" w:color="auto" w:fill="auto"/>
                  <w:noWrap w:val="0"/>
                  <w:vAlign w:val="center"/>
                </w:tcPr>
                <w:p w14:paraId="5417FE4D">
                  <w:pPr>
                    <w:pStyle w:val="46"/>
                    <w:ind w:firstLine="0" w:firstLineChars="0"/>
                    <w:rPr>
                      <w:rFonts w:hint="default" w:ascii="Times New Roman" w:hAnsi="Times New Roman" w:eastAsia="宋体" w:cs="Times New Roman"/>
                      <w:color w:val="auto"/>
                      <w:spacing w:val="2"/>
                      <w:kern w:val="2"/>
                      <w:sz w:val="21"/>
                      <w:szCs w:val="24"/>
                      <w:u w:val="none" w:color="auto"/>
                      <w:lang w:val="en-US" w:eastAsia="zh-CN" w:bidi="ar-SA"/>
                    </w:rPr>
                  </w:pPr>
                  <w:r>
                    <w:rPr>
                      <w:rFonts w:hint="eastAsia"/>
                      <w:color w:val="auto"/>
                      <w:u w:val="none" w:color="auto"/>
                      <w:lang w:val="en-US" w:eastAsia="zh-CN"/>
                    </w:rPr>
                    <w:t>65</w:t>
                  </w:r>
                </w:p>
              </w:tc>
              <w:tc>
                <w:tcPr>
                  <w:tcW w:w="889" w:type="pct"/>
                  <w:tcBorders>
                    <w:bottom w:val="single" w:color="000000" w:sz="6" w:space="0"/>
                  </w:tcBorders>
                  <w:noWrap w:val="0"/>
                  <w:vAlign w:val="center"/>
                </w:tcPr>
                <w:p w14:paraId="122BB64C">
                  <w:pPr>
                    <w:pStyle w:val="46"/>
                    <w:rPr>
                      <w:color w:val="auto"/>
                      <w:u w:val="none" w:color="auto"/>
                    </w:rPr>
                  </w:pPr>
                  <w:r>
                    <w:rPr>
                      <w:rFonts w:hint="eastAsia"/>
                      <w:color w:val="auto"/>
                      <w:u w:val="none" w:color="auto"/>
                    </w:rPr>
                    <w:t>达标</w:t>
                  </w:r>
                </w:p>
              </w:tc>
            </w:tr>
            <w:tr w14:paraId="0A99A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09" w:type="pct"/>
                  <w:vMerge w:val="continue"/>
                  <w:noWrap w:val="0"/>
                  <w:vAlign w:val="center"/>
                </w:tcPr>
                <w:p w14:paraId="3C9C3112">
                  <w:pPr>
                    <w:pStyle w:val="46"/>
                    <w:rPr>
                      <w:rFonts w:hint="eastAsia"/>
                      <w:color w:val="auto"/>
                      <w:u w:val="none" w:color="auto"/>
                    </w:rPr>
                  </w:pPr>
                </w:p>
              </w:tc>
              <w:tc>
                <w:tcPr>
                  <w:tcW w:w="871" w:type="pct"/>
                  <w:tcBorders>
                    <w:top w:val="single" w:color="000000" w:sz="6" w:space="0"/>
                  </w:tcBorders>
                  <w:shd w:val="clear" w:color="auto" w:fill="auto"/>
                  <w:noWrap w:val="0"/>
                  <w:vAlign w:val="center"/>
                </w:tcPr>
                <w:p w14:paraId="5B6D91F8">
                  <w:pPr>
                    <w:pStyle w:val="46"/>
                    <w:ind w:firstLine="0" w:firstLineChars="0"/>
                    <w:rPr>
                      <w:rFonts w:ascii="Times New Roman" w:hAnsi="Times New Roman" w:eastAsia="宋体" w:cs="Times New Roman"/>
                      <w:color w:val="auto"/>
                      <w:spacing w:val="2"/>
                      <w:kern w:val="2"/>
                      <w:sz w:val="21"/>
                      <w:szCs w:val="24"/>
                      <w:u w:val="none" w:color="auto"/>
                      <w:lang w:val="en-US" w:eastAsia="zh-CN" w:bidi="ar-SA"/>
                    </w:rPr>
                  </w:pPr>
                  <w:r>
                    <w:rPr>
                      <w:rFonts w:hint="eastAsia"/>
                      <w:color w:val="auto"/>
                      <w:u w:val="none" w:color="auto"/>
                    </w:rPr>
                    <w:t>夜间</w:t>
                  </w:r>
                </w:p>
              </w:tc>
              <w:tc>
                <w:tcPr>
                  <w:tcW w:w="1230" w:type="pct"/>
                  <w:tcBorders>
                    <w:top w:val="single" w:color="000000" w:sz="6" w:space="0"/>
                  </w:tcBorders>
                  <w:noWrap w:val="0"/>
                  <w:vAlign w:val="center"/>
                </w:tcPr>
                <w:p w14:paraId="7BAD4F80">
                  <w:pPr>
                    <w:pStyle w:val="46"/>
                    <w:rPr>
                      <w:rFonts w:hint="default"/>
                      <w:color w:val="auto"/>
                      <w:u w:val="none" w:color="auto"/>
                      <w:lang w:val="en-US" w:eastAsia="zh-CN"/>
                    </w:rPr>
                  </w:pPr>
                  <w:r>
                    <w:rPr>
                      <w:rFonts w:hint="eastAsia"/>
                      <w:color w:val="auto"/>
                      <w:u w:val="none" w:color="auto"/>
                      <w:lang w:val="en-US" w:eastAsia="zh-CN"/>
                    </w:rPr>
                    <w:t>44</w:t>
                  </w:r>
                </w:p>
              </w:tc>
              <w:tc>
                <w:tcPr>
                  <w:tcW w:w="798" w:type="pct"/>
                  <w:tcBorders>
                    <w:top w:val="single" w:color="000000" w:sz="6" w:space="0"/>
                  </w:tcBorders>
                  <w:shd w:val="clear" w:color="auto" w:fill="auto"/>
                  <w:noWrap w:val="0"/>
                  <w:vAlign w:val="center"/>
                </w:tcPr>
                <w:p w14:paraId="40192584">
                  <w:pPr>
                    <w:pStyle w:val="46"/>
                    <w:ind w:firstLine="0" w:firstLineChars="0"/>
                    <w:rPr>
                      <w:rFonts w:hint="default" w:ascii="Times New Roman" w:hAnsi="Times New Roman" w:eastAsia="宋体" w:cs="Times New Roman"/>
                      <w:color w:val="auto"/>
                      <w:spacing w:val="2"/>
                      <w:kern w:val="2"/>
                      <w:sz w:val="21"/>
                      <w:szCs w:val="24"/>
                      <w:u w:val="none" w:color="auto"/>
                      <w:lang w:val="en-US" w:eastAsia="zh-CN" w:bidi="ar-SA"/>
                    </w:rPr>
                  </w:pPr>
                  <w:r>
                    <w:rPr>
                      <w:rFonts w:hint="eastAsia"/>
                      <w:color w:val="auto"/>
                      <w:u w:val="none" w:color="auto"/>
                      <w:lang w:val="en-US" w:eastAsia="zh-CN"/>
                    </w:rPr>
                    <w:t>55</w:t>
                  </w:r>
                </w:p>
              </w:tc>
              <w:tc>
                <w:tcPr>
                  <w:tcW w:w="889" w:type="pct"/>
                  <w:tcBorders>
                    <w:top w:val="single" w:color="000000" w:sz="6" w:space="0"/>
                  </w:tcBorders>
                  <w:noWrap w:val="0"/>
                  <w:vAlign w:val="center"/>
                </w:tcPr>
                <w:p w14:paraId="7537CD13">
                  <w:pPr>
                    <w:pStyle w:val="46"/>
                    <w:rPr>
                      <w:rFonts w:hint="eastAsia"/>
                      <w:color w:val="auto"/>
                      <w:u w:val="none" w:color="auto"/>
                    </w:rPr>
                  </w:pPr>
                  <w:r>
                    <w:rPr>
                      <w:rFonts w:hint="eastAsia"/>
                      <w:color w:val="auto"/>
                      <w:u w:val="none" w:color="auto"/>
                    </w:rPr>
                    <w:t>达标</w:t>
                  </w:r>
                </w:p>
              </w:tc>
            </w:tr>
          </w:tbl>
          <w:p w14:paraId="3241D050">
            <w:pPr>
              <w:bidi w:val="0"/>
              <w:rPr>
                <w:color w:val="auto"/>
                <w:u w:val="none" w:color="auto"/>
              </w:rPr>
            </w:pPr>
            <w:r>
              <w:rPr>
                <w:rFonts w:hint="eastAsia"/>
                <w:color w:val="auto"/>
                <w:u w:val="none" w:color="auto"/>
                <w:lang w:eastAsia="zh-CN"/>
              </w:rPr>
              <w:t>项目主要通过采取减震隔声措施，</w:t>
            </w:r>
            <w:r>
              <w:rPr>
                <w:rFonts w:hint="eastAsia"/>
                <w:color w:val="auto"/>
                <w:u w:val="none" w:color="auto"/>
              </w:rPr>
              <w:t>确保项目产生的噪声达标排放，环评要求加强设备的日常维护和工人的生产操作管理，避免非正常生产噪声产生。</w:t>
            </w:r>
          </w:p>
          <w:p w14:paraId="7C59C49F">
            <w:pPr>
              <w:bidi w:val="0"/>
              <w:rPr>
                <w:color w:val="auto"/>
                <w:u w:val="none" w:color="auto"/>
                <w:lang w:val="en-GB"/>
              </w:rPr>
            </w:pPr>
            <w:r>
              <w:rPr>
                <w:rFonts w:hint="eastAsia"/>
                <w:color w:val="auto"/>
                <w:u w:val="none" w:color="auto"/>
              </w:rPr>
              <w:t>综上，本项目厂界的</w:t>
            </w:r>
            <w:r>
              <w:rPr>
                <w:rFonts w:hint="eastAsia"/>
                <w:color w:val="auto"/>
                <w:u w:val="none" w:color="auto"/>
                <w:lang w:eastAsia="zh-CN"/>
              </w:rPr>
              <w:t>现状值满足</w:t>
            </w:r>
            <w:r>
              <w:rPr>
                <w:rFonts w:hint="eastAsia"/>
                <w:color w:val="auto"/>
                <w:u w:val="none" w:color="auto"/>
              </w:rPr>
              <w:t>《工业企业厂界环境噪声排放标准》（GB12348-2008）3类标准，能够维持现有声环境质量现状，对周围声环境质量影响为可接受。</w:t>
            </w:r>
          </w:p>
          <w:p w14:paraId="7C1B32C3">
            <w:pPr>
              <w:bidi w:val="0"/>
              <w:rPr>
                <w:color w:val="auto"/>
                <w:u w:val="none" w:color="auto"/>
                <w:lang w:val="en-GB"/>
              </w:rPr>
            </w:pPr>
            <w:r>
              <w:rPr>
                <w:rFonts w:hint="eastAsia"/>
                <w:color w:val="auto"/>
                <w:u w:val="none" w:color="auto"/>
                <w:lang w:val="en-GB"/>
              </w:rPr>
              <w:t>（</w:t>
            </w:r>
            <w:r>
              <w:rPr>
                <w:rFonts w:hint="eastAsia"/>
                <w:color w:val="auto"/>
                <w:u w:val="none" w:color="auto"/>
              </w:rPr>
              <w:t>3</w:t>
            </w:r>
            <w:r>
              <w:rPr>
                <w:rFonts w:hint="eastAsia"/>
                <w:color w:val="auto"/>
                <w:u w:val="none" w:color="auto"/>
                <w:lang w:val="en-GB"/>
              </w:rPr>
              <w:t>）监测要求</w:t>
            </w:r>
          </w:p>
          <w:p w14:paraId="4DC40C5F">
            <w:pPr>
              <w:bidi w:val="0"/>
              <w:rPr>
                <w:color w:val="auto"/>
                <w:u w:val="none" w:color="auto"/>
              </w:rPr>
            </w:pPr>
            <w:r>
              <w:rPr>
                <w:rFonts w:hint="eastAsia"/>
                <w:color w:val="auto"/>
                <w:u w:val="none" w:color="auto"/>
                <w:lang w:eastAsia="zh-CN"/>
              </w:rPr>
              <w:t>根据《</w:t>
            </w:r>
            <w:r>
              <w:rPr>
                <w:rFonts w:hint="eastAsia"/>
                <w:color w:val="auto"/>
                <w:u w:val="none" w:color="auto"/>
              </w:rPr>
              <w:t>排污</w:t>
            </w:r>
            <w:r>
              <w:rPr>
                <w:rFonts w:hint="eastAsia"/>
                <w:color w:val="auto"/>
                <w:u w:val="none" w:color="auto"/>
                <w:lang w:eastAsia="zh-CN"/>
              </w:rPr>
              <w:t>单位自行监测技术指南</w:t>
            </w:r>
            <w:r>
              <w:rPr>
                <w:rFonts w:hint="eastAsia"/>
                <w:color w:val="auto"/>
                <w:u w:val="none" w:color="auto"/>
              </w:rPr>
              <w:t>电池工业</w:t>
            </w:r>
            <w:r>
              <w:rPr>
                <w:rFonts w:hint="eastAsia"/>
                <w:color w:val="auto"/>
                <w:u w:val="none" w:color="auto"/>
                <w:lang w:eastAsia="zh-CN"/>
              </w:rPr>
              <w:t>》</w:t>
            </w:r>
            <w:r>
              <w:rPr>
                <w:rFonts w:hint="eastAsia"/>
                <w:color w:val="auto"/>
                <w:u w:val="none" w:color="auto"/>
              </w:rPr>
              <w:t>（HJ</w:t>
            </w:r>
            <w:r>
              <w:rPr>
                <w:rFonts w:hint="eastAsia"/>
                <w:color w:val="auto"/>
                <w:u w:val="none" w:color="auto"/>
                <w:lang w:val="en-US" w:eastAsia="zh-CN"/>
              </w:rPr>
              <w:t>1204</w:t>
            </w:r>
            <w:r>
              <w:rPr>
                <w:rFonts w:hint="eastAsia"/>
                <w:color w:val="auto"/>
                <w:u w:val="none" w:color="auto"/>
              </w:rPr>
              <w:t>-20</w:t>
            </w:r>
            <w:r>
              <w:rPr>
                <w:rFonts w:hint="eastAsia"/>
                <w:color w:val="auto"/>
                <w:u w:val="none" w:color="auto"/>
                <w:lang w:val="en-US" w:eastAsia="zh-CN"/>
              </w:rPr>
              <w:t>21</w:t>
            </w:r>
            <w:r>
              <w:rPr>
                <w:rFonts w:hint="eastAsia"/>
                <w:color w:val="auto"/>
                <w:u w:val="none" w:color="auto"/>
              </w:rPr>
              <w:t>）</w:t>
            </w:r>
            <w:r>
              <w:rPr>
                <w:rFonts w:hint="eastAsia"/>
                <w:color w:val="auto"/>
                <w:u w:val="none" w:color="auto"/>
                <w:lang w:eastAsia="zh-CN"/>
              </w:rPr>
              <w:t>，</w:t>
            </w:r>
            <w:r>
              <w:rPr>
                <w:rFonts w:hint="eastAsia"/>
                <w:color w:val="auto"/>
                <w:u w:val="none" w:color="auto"/>
              </w:rPr>
              <w:t>噪声</w:t>
            </w:r>
            <w:r>
              <w:rPr>
                <w:rFonts w:hint="eastAsia"/>
                <w:color w:val="auto"/>
                <w:u w:val="none" w:color="auto"/>
                <w:lang w:eastAsia="zh-CN"/>
              </w:rPr>
              <w:t>自行检测</w:t>
            </w:r>
            <w:r>
              <w:rPr>
                <w:rFonts w:hint="eastAsia"/>
                <w:color w:val="auto"/>
                <w:u w:val="none" w:color="auto"/>
              </w:rPr>
              <w:t>要求如下</w:t>
            </w:r>
            <w:r>
              <w:rPr>
                <w:color w:val="auto"/>
                <w:u w:val="none" w:color="auto"/>
              </w:rPr>
              <w:t>。</w:t>
            </w:r>
          </w:p>
          <w:p w14:paraId="4816C9D3">
            <w:pPr>
              <w:spacing w:line="240" w:lineRule="auto"/>
              <w:ind w:firstLine="422"/>
              <w:jc w:val="center"/>
              <w:rPr>
                <w:rFonts w:hint="eastAsia"/>
                <w:b/>
                <w:bCs/>
                <w:color w:val="auto"/>
                <w:sz w:val="21"/>
                <w:szCs w:val="21"/>
                <w:u w:val="none" w:color="auto"/>
              </w:rPr>
            </w:pPr>
            <w:r>
              <w:rPr>
                <w:rFonts w:hint="eastAsia"/>
                <w:b/>
                <w:bCs/>
                <w:color w:val="auto"/>
                <w:sz w:val="21"/>
                <w:szCs w:val="21"/>
                <w:u w:val="none" w:color="auto"/>
              </w:rPr>
              <w:t>表4-</w:t>
            </w:r>
            <w:r>
              <w:rPr>
                <w:rFonts w:hint="eastAsia"/>
                <w:b/>
                <w:bCs/>
                <w:color w:val="auto"/>
                <w:sz w:val="21"/>
                <w:szCs w:val="21"/>
                <w:u w:val="none" w:color="auto"/>
                <w:lang w:val="en-US" w:eastAsia="zh-CN"/>
              </w:rPr>
              <w:t>12</w:t>
            </w:r>
            <w:r>
              <w:rPr>
                <w:rFonts w:hint="eastAsia"/>
                <w:b/>
                <w:bCs/>
                <w:color w:val="auto"/>
                <w:sz w:val="21"/>
                <w:szCs w:val="21"/>
                <w:u w:val="none" w:color="auto"/>
              </w:rPr>
              <w:t>噪声</w:t>
            </w:r>
            <w:r>
              <w:rPr>
                <w:rFonts w:hint="eastAsia"/>
                <w:b/>
                <w:bCs/>
                <w:color w:val="auto"/>
                <w:sz w:val="21"/>
                <w:szCs w:val="21"/>
                <w:u w:val="none" w:color="auto"/>
                <w:lang w:eastAsia="zh-CN"/>
              </w:rPr>
              <w:t>自行检测</w:t>
            </w:r>
            <w:r>
              <w:rPr>
                <w:rFonts w:hint="eastAsia"/>
                <w:b/>
                <w:bCs/>
                <w:color w:val="auto"/>
                <w:sz w:val="21"/>
                <w:szCs w:val="21"/>
                <w:u w:val="none" w:color="auto"/>
              </w:rPr>
              <w:t>一览表</w:t>
            </w:r>
          </w:p>
          <w:tbl>
            <w:tblPr>
              <w:tblStyle w:val="28"/>
              <w:tblW w:w="82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3"/>
              <w:gridCol w:w="1755"/>
              <w:gridCol w:w="1719"/>
              <w:gridCol w:w="3622"/>
            </w:tblGrid>
            <w:tr w14:paraId="6CDFA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1183" w:type="dxa"/>
                  <w:noWrap w:val="0"/>
                  <w:vAlign w:val="center"/>
                </w:tcPr>
                <w:p w14:paraId="2C5425DB">
                  <w:pPr>
                    <w:pStyle w:val="46"/>
                    <w:rPr>
                      <w:rFonts w:hint="eastAsia"/>
                      <w:color w:val="auto"/>
                      <w:u w:val="none" w:color="auto"/>
                    </w:rPr>
                  </w:pPr>
                  <w:r>
                    <w:rPr>
                      <w:rFonts w:hint="eastAsia"/>
                      <w:color w:val="auto"/>
                      <w:u w:val="none" w:color="auto"/>
                    </w:rPr>
                    <w:t>监测点</w:t>
                  </w:r>
                </w:p>
              </w:tc>
              <w:tc>
                <w:tcPr>
                  <w:tcW w:w="1755" w:type="dxa"/>
                  <w:noWrap w:val="0"/>
                  <w:vAlign w:val="center"/>
                </w:tcPr>
                <w:p w14:paraId="44CD535C">
                  <w:pPr>
                    <w:pStyle w:val="46"/>
                    <w:rPr>
                      <w:rFonts w:hint="eastAsia"/>
                      <w:color w:val="auto"/>
                      <w:u w:val="none" w:color="auto"/>
                    </w:rPr>
                  </w:pPr>
                  <w:r>
                    <w:rPr>
                      <w:rFonts w:hint="eastAsia"/>
                      <w:color w:val="auto"/>
                      <w:u w:val="none" w:color="auto"/>
                    </w:rPr>
                    <w:t>监测因子</w:t>
                  </w:r>
                </w:p>
              </w:tc>
              <w:tc>
                <w:tcPr>
                  <w:tcW w:w="1719" w:type="dxa"/>
                  <w:noWrap w:val="0"/>
                  <w:vAlign w:val="center"/>
                </w:tcPr>
                <w:p w14:paraId="37FE8864">
                  <w:pPr>
                    <w:pStyle w:val="46"/>
                    <w:rPr>
                      <w:rFonts w:hint="eastAsia"/>
                      <w:color w:val="auto"/>
                      <w:u w:val="none" w:color="auto"/>
                    </w:rPr>
                  </w:pPr>
                  <w:r>
                    <w:rPr>
                      <w:rFonts w:hint="eastAsia"/>
                      <w:color w:val="auto"/>
                      <w:kern w:val="0"/>
                      <w:szCs w:val="21"/>
                      <w:u w:val="none" w:color="auto"/>
                    </w:rPr>
                    <w:t>监测频次</w:t>
                  </w:r>
                </w:p>
              </w:tc>
              <w:tc>
                <w:tcPr>
                  <w:tcW w:w="3622" w:type="dxa"/>
                  <w:noWrap w:val="0"/>
                  <w:vAlign w:val="center"/>
                </w:tcPr>
                <w:p w14:paraId="0E66777B">
                  <w:pPr>
                    <w:spacing w:line="240" w:lineRule="auto"/>
                    <w:ind w:firstLine="0" w:firstLineChars="0"/>
                    <w:jc w:val="center"/>
                    <w:rPr>
                      <w:rFonts w:hint="eastAsia"/>
                      <w:color w:val="auto"/>
                      <w:u w:val="none" w:color="auto"/>
                    </w:rPr>
                  </w:pPr>
                  <w:r>
                    <w:rPr>
                      <w:rFonts w:hint="eastAsia"/>
                      <w:color w:val="auto"/>
                      <w:kern w:val="0"/>
                      <w:sz w:val="21"/>
                      <w:szCs w:val="21"/>
                      <w:u w:val="none" w:color="auto"/>
                    </w:rPr>
                    <w:t>执行标准</w:t>
                  </w:r>
                </w:p>
              </w:tc>
            </w:tr>
            <w:tr w14:paraId="19BB1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1183" w:type="dxa"/>
                  <w:noWrap w:val="0"/>
                  <w:vAlign w:val="center"/>
                </w:tcPr>
                <w:p w14:paraId="0596089F">
                  <w:pPr>
                    <w:pStyle w:val="46"/>
                    <w:rPr>
                      <w:rFonts w:hint="eastAsia"/>
                      <w:color w:val="auto"/>
                      <w:u w:val="none" w:color="auto"/>
                    </w:rPr>
                  </w:pPr>
                  <w:r>
                    <w:rPr>
                      <w:rFonts w:hint="eastAsia"/>
                      <w:color w:val="auto"/>
                      <w:u w:val="none" w:color="auto"/>
                    </w:rPr>
                    <w:t>四周厂界</w:t>
                  </w:r>
                </w:p>
              </w:tc>
              <w:tc>
                <w:tcPr>
                  <w:tcW w:w="1755" w:type="dxa"/>
                  <w:noWrap w:val="0"/>
                  <w:vAlign w:val="center"/>
                </w:tcPr>
                <w:p w14:paraId="54E38EDE">
                  <w:pPr>
                    <w:pStyle w:val="46"/>
                    <w:rPr>
                      <w:rFonts w:hint="eastAsia"/>
                      <w:color w:val="auto"/>
                      <w:u w:val="none" w:color="auto"/>
                    </w:rPr>
                  </w:pPr>
                  <w:r>
                    <w:rPr>
                      <w:rFonts w:hint="eastAsia"/>
                      <w:color w:val="auto"/>
                      <w:kern w:val="0"/>
                      <w:szCs w:val="21"/>
                      <w:u w:val="none" w:color="auto"/>
                    </w:rPr>
                    <w:t>等效连续A声级</w:t>
                  </w:r>
                </w:p>
              </w:tc>
              <w:tc>
                <w:tcPr>
                  <w:tcW w:w="1719" w:type="dxa"/>
                  <w:noWrap w:val="0"/>
                  <w:vAlign w:val="center"/>
                </w:tcPr>
                <w:p w14:paraId="06DDC5FE">
                  <w:pPr>
                    <w:pStyle w:val="46"/>
                    <w:rPr>
                      <w:color w:val="auto"/>
                      <w:u w:val="none" w:color="auto"/>
                    </w:rPr>
                  </w:pPr>
                  <w:r>
                    <w:rPr>
                      <w:rFonts w:hint="eastAsia"/>
                      <w:color w:val="auto"/>
                      <w:u w:val="none" w:color="auto"/>
                    </w:rPr>
                    <w:t>1次/年</w:t>
                  </w:r>
                </w:p>
              </w:tc>
              <w:tc>
                <w:tcPr>
                  <w:tcW w:w="3622" w:type="dxa"/>
                  <w:noWrap w:val="0"/>
                  <w:vAlign w:val="center"/>
                </w:tcPr>
                <w:p w14:paraId="02EE2CFF">
                  <w:pPr>
                    <w:spacing w:line="240" w:lineRule="auto"/>
                    <w:ind w:firstLine="0" w:firstLineChars="0"/>
                    <w:jc w:val="center"/>
                    <w:rPr>
                      <w:rFonts w:hint="eastAsia"/>
                      <w:color w:val="auto"/>
                      <w:u w:val="none" w:color="auto"/>
                    </w:rPr>
                  </w:pPr>
                  <w:r>
                    <w:rPr>
                      <w:rFonts w:hint="eastAsia"/>
                      <w:color w:val="auto"/>
                      <w:kern w:val="0"/>
                      <w:sz w:val="21"/>
                      <w:szCs w:val="21"/>
                      <w:u w:val="none" w:color="auto"/>
                    </w:rPr>
                    <w:t>《工业企业厂界噪声排放标准》（GB12348-2008）中的3类标准</w:t>
                  </w:r>
                </w:p>
              </w:tc>
            </w:tr>
          </w:tbl>
          <w:p w14:paraId="6626CECF">
            <w:pPr>
              <w:ind w:firstLine="482"/>
              <w:rPr>
                <w:rFonts w:hint="eastAsia"/>
                <w:b/>
                <w:bCs/>
                <w:color w:val="auto"/>
                <w:u w:val="none" w:color="auto"/>
              </w:rPr>
            </w:pPr>
            <w:r>
              <w:rPr>
                <w:rFonts w:hint="eastAsia"/>
                <w:b/>
                <w:bCs/>
                <w:color w:val="auto"/>
                <w:u w:val="none" w:color="auto"/>
              </w:rPr>
              <w:t>（四）运营期</w:t>
            </w:r>
            <w:r>
              <w:rPr>
                <w:b/>
                <w:bCs/>
                <w:color w:val="auto"/>
                <w:u w:val="none" w:color="auto"/>
              </w:rPr>
              <w:t>固体废物</w:t>
            </w:r>
            <w:r>
              <w:rPr>
                <w:rFonts w:hint="eastAsia"/>
                <w:b/>
                <w:bCs/>
                <w:color w:val="auto"/>
                <w:u w:val="none" w:color="auto"/>
              </w:rPr>
              <w:t>环境影响和保护措施</w:t>
            </w:r>
          </w:p>
          <w:p w14:paraId="0E3CE0B4">
            <w:pPr>
              <w:ind w:firstLine="480"/>
              <w:rPr>
                <w:rFonts w:hint="eastAsia"/>
                <w:color w:val="auto"/>
                <w:u w:val="none" w:color="auto"/>
              </w:rPr>
            </w:pPr>
            <w:r>
              <w:rPr>
                <w:rFonts w:hint="eastAsia"/>
                <w:color w:val="auto"/>
                <w:u w:val="none" w:color="auto"/>
              </w:rPr>
              <w:t>1、固体废物产排情况</w:t>
            </w:r>
          </w:p>
          <w:p w14:paraId="1A782CC3">
            <w:pPr>
              <w:ind w:firstLine="480"/>
              <w:rPr>
                <w:rFonts w:hint="eastAsia"/>
                <w:color w:val="auto"/>
                <w:u w:val="none" w:color="auto"/>
              </w:rPr>
            </w:pPr>
            <w:r>
              <w:rPr>
                <w:rFonts w:hint="eastAsia"/>
                <w:color w:val="auto"/>
                <w:u w:val="none" w:color="auto"/>
              </w:rPr>
              <w:t>本工程产生的固体废物主要有以下几部分：一般工业固废（包括不合格电池、边角料、包装废料、NMP回收液、原料桶、纯水制备废</w:t>
            </w:r>
            <w:r>
              <w:rPr>
                <w:rFonts w:hint="eastAsia"/>
                <w:color w:val="auto"/>
                <w:u w:val="none" w:color="auto"/>
                <w:lang w:eastAsia="zh-CN"/>
              </w:rPr>
              <w:t>滤芯</w:t>
            </w:r>
            <w:r>
              <w:rPr>
                <w:rFonts w:hint="eastAsia"/>
                <w:color w:val="auto"/>
                <w:u w:val="none" w:color="auto"/>
              </w:rPr>
              <w:t>）、</w:t>
            </w:r>
            <w:r>
              <w:rPr>
                <w:rFonts w:hint="eastAsia"/>
                <w:color w:val="auto"/>
                <w:u w:val="none" w:color="auto"/>
                <w:lang w:eastAsia="zh-CN"/>
              </w:rPr>
              <w:t>沉淀池渣、</w:t>
            </w:r>
            <w:r>
              <w:rPr>
                <w:rFonts w:hint="eastAsia"/>
                <w:color w:val="auto"/>
                <w:u w:val="none" w:color="auto"/>
              </w:rPr>
              <w:t>生活垃圾，危险废物（包括含电解液的废料、废机油</w:t>
            </w:r>
            <w:r>
              <w:rPr>
                <w:rFonts w:hint="eastAsia"/>
                <w:color w:val="auto"/>
                <w:u w:val="none" w:color="auto"/>
                <w:lang w:eastAsia="zh-CN"/>
              </w:rPr>
              <w:t>、废抹布</w:t>
            </w:r>
            <w:r>
              <w:rPr>
                <w:rFonts w:hint="eastAsia"/>
                <w:color w:val="auto"/>
                <w:u w:val="none" w:color="auto"/>
              </w:rPr>
              <w:t>）。</w:t>
            </w:r>
          </w:p>
          <w:p w14:paraId="20DB674D">
            <w:pPr>
              <w:ind w:firstLine="480"/>
              <w:rPr>
                <w:rFonts w:hint="eastAsia"/>
                <w:color w:val="auto"/>
                <w:u w:val="none" w:color="auto"/>
              </w:rPr>
            </w:pPr>
            <w:r>
              <w:rPr>
                <w:rFonts w:hint="eastAsia"/>
                <w:color w:val="auto"/>
                <w:u w:val="none" w:color="auto"/>
              </w:rPr>
              <w:t>（1）一般固体废物</w:t>
            </w:r>
          </w:p>
          <w:p w14:paraId="332EFA09">
            <w:pPr>
              <w:ind w:firstLine="480"/>
              <w:rPr>
                <w:rFonts w:hint="eastAsia"/>
                <w:color w:val="auto"/>
                <w:u w:val="none" w:color="auto"/>
              </w:rPr>
            </w:pPr>
            <w:r>
              <w:rPr>
                <w:rFonts w:hint="eastAsia"/>
                <w:color w:val="auto"/>
                <w:u w:val="none" w:color="auto"/>
              </w:rPr>
              <w:t>①不合格电池</w:t>
            </w:r>
          </w:p>
          <w:p w14:paraId="4E95755B">
            <w:pPr>
              <w:ind w:firstLine="480"/>
              <w:rPr>
                <w:rFonts w:hint="eastAsia"/>
                <w:color w:val="auto"/>
                <w:u w:val="none" w:color="auto"/>
              </w:rPr>
            </w:pPr>
            <w:r>
              <w:rPr>
                <w:rFonts w:hint="eastAsia"/>
                <w:color w:val="auto"/>
                <w:u w:val="none" w:color="auto"/>
              </w:rPr>
              <w:t>在产品的测试和检验过程中，会</w:t>
            </w:r>
            <w:r>
              <w:rPr>
                <w:rFonts w:hint="eastAsia"/>
                <w:color w:val="auto"/>
                <w:u w:val="none" w:color="auto"/>
                <w:lang w:eastAsia="zh-CN"/>
              </w:rPr>
              <w:t>产生</w:t>
            </w:r>
            <w:r>
              <w:rPr>
                <w:rFonts w:hint="eastAsia"/>
                <w:color w:val="auto"/>
                <w:u w:val="none" w:color="auto"/>
              </w:rPr>
              <w:t>不合格的电池</w:t>
            </w:r>
            <w:r>
              <w:rPr>
                <w:rFonts w:hint="eastAsia"/>
                <w:color w:val="auto"/>
                <w:u w:val="none" w:color="auto"/>
                <w:lang w:eastAsia="zh-CN"/>
              </w:rPr>
              <w:t>（</w:t>
            </w:r>
            <w:r>
              <w:rPr>
                <w:rFonts w:hint="eastAsia"/>
                <w:color w:val="auto"/>
                <w:u w:val="none" w:color="auto"/>
              </w:rPr>
              <w:t>容量</w:t>
            </w:r>
            <w:r>
              <w:rPr>
                <w:rFonts w:hint="eastAsia"/>
                <w:color w:val="auto"/>
                <w:u w:val="none" w:color="auto"/>
                <w:lang w:eastAsia="zh-CN"/>
              </w:rPr>
              <w:t>（</w:t>
            </w:r>
            <w:r>
              <w:rPr>
                <w:rFonts w:hint="eastAsia"/>
                <w:color w:val="auto"/>
                <w:u w:val="none" w:color="auto"/>
              </w:rPr>
              <w:t>mAh</w:t>
            </w:r>
            <w:r>
              <w:rPr>
                <w:rFonts w:hint="eastAsia"/>
                <w:color w:val="auto"/>
                <w:u w:val="none" w:color="auto"/>
                <w:lang w:eastAsia="zh-CN"/>
              </w:rPr>
              <w:t>）</w:t>
            </w:r>
            <w:r>
              <w:rPr>
                <w:rFonts w:hint="eastAsia"/>
                <w:color w:val="auto"/>
                <w:u w:val="none" w:color="auto"/>
              </w:rPr>
              <w:t>&lt;70%，产生量约</w:t>
            </w:r>
            <w:r>
              <w:rPr>
                <w:rFonts w:hint="eastAsia"/>
                <w:color w:val="auto"/>
                <w:u w:val="none" w:color="auto"/>
                <w:lang w:val="en-US" w:eastAsia="zh-CN"/>
              </w:rPr>
              <w:t>1</w:t>
            </w:r>
            <w:r>
              <w:rPr>
                <w:rFonts w:hint="eastAsia"/>
                <w:color w:val="auto"/>
                <w:u w:val="none" w:color="auto"/>
              </w:rPr>
              <w:t>t/a。</w:t>
            </w:r>
          </w:p>
          <w:p w14:paraId="777CECBC">
            <w:pPr>
              <w:ind w:firstLine="480"/>
              <w:rPr>
                <w:rFonts w:hint="eastAsia"/>
                <w:color w:val="auto"/>
                <w:u w:val="none" w:color="auto"/>
              </w:rPr>
            </w:pPr>
            <w:r>
              <w:rPr>
                <w:rFonts w:hint="eastAsia"/>
                <w:color w:val="auto"/>
                <w:u w:val="none" w:color="auto"/>
              </w:rPr>
              <w:t>根据国家</w:t>
            </w:r>
            <w:r>
              <w:rPr>
                <w:rFonts w:hint="eastAsia"/>
                <w:color w:val="auto"/>
                <w:u w:val="none" w:color="auto"/>
                <w:lang w:eastAsia="zh-CN"/>
              </w:rPr>
              <w:t>生态环境部</w:t>
            </w:r>
            <w:r>
              <w:rPr>
                <w:rFonts w:hint="eastAsia"/>
                <w:color w:val="auto"/>
                <w:u w:val="none" w:color="auto"/>
              </w:rPr>
              <w:t>对湖北省环境保护厅《关于废旧锂电池手机处置有关问题的复函》环办函[2014]1621号：废旧锂电</w:t>
            </w:r>
            <w:r>
              <w:rPr>
                <w:rFonts w:hint="eastAsia"/>
                <w:color w:val="auto"/>
                <w:u w:val="none" w:color="auto"/>
                <w:lang w:eastAsia="zh-CN"/>
              </w:rPr>
              <w:t>池</w:t>
            </w:r>
            <w:r>
              <w:rPr>
                <w:rFonts w:hint="eastAsia"/>
                <w:color w:val="auto"/>
                <w:u w:val="none" w:color="auto"/>
              </w:rPr>
              <w:t>未列入《国家危险废物名录》，其收集、贮存、处置应参照一般工业固体废物的相关环境管理与污染防治要求，防治环境污染。</w:t>
            </w:r>
          </w:p>
          <w:p w14:paraId="4FD2B9E3">
            <w:pPr>
              <w:ind w:firstLine="480"/>
              <w:rPr>
                <w:rFonts w:hint="eastAsia"/>
                <w:color w:val="auto"/>
                <w:u w:val="none" w:color="auto"/>
              </w:rPr>
            </w:pPr>
            <w:r>
              <w:rPr>
                <w:rFonts w:hint="eastAsia"/>
                <w:color w:val="auto"/>
                <w:u w:val="none" w:color="auto"/>
              </w:rPr>
              <w:t>②边角料</w:t>
            </w:r>
          </w:p>
          <w:p w14:paraId="715FC57D">
            <w:pPr>
              <w:ind w:firstLine="480"/>
              <w:rPr>
                <w:rFonts w:hint="eastAsia"/>
                <w:color w:val="auto"/>
                <w:u w:val="none" w:color="auto"/>
              </w:rPr>
            </w:pPr>
            <w:r>
              <w:rPr>
                <w:rFonts w:hint="eastAsia"/>
                <w:color w:val="auto"/>
                <w:u w:val="none" w:color="auto"/>
              </w:rPr>
              <w:t>分条、制片、卷绕、顶侧封等工序中会产生边角料，主要为铜箔、铝箔、隔膜等，边角料产生总量约为</w:t>
            </w:r>
            <w:r>
              <w:rPr>
                <w:rFonts w:hint="eastAsia"/>
                <w:color w:val="auto"/>
                <w:u w:val="none" w:color="auto"/>
                <w:lang w:val="en-US" w:eastAsia="zh-CN"/>
              </w:rPr>
              <w:t>0</w:t>
            </w:r>
            <w:r>
              <w:rPr>
                <w:rFonts w:hint="eastAsia"/>
                <w:color w:val="auto"/>
                <w:u w:val="none" w:color="auto"/>
              </w:rPr>
              <w:t>.5t/a，边角料收集后定期交专业公司回收处理。</w:t>
            </w:r>
          </w:p>
          <w:p w14:paraId="715E29E5">
            <w:pPr>
              <w:ind w:firstLine="480"/>
              <w:rPr>
                <w:rFonts w:hint="eastAsia"/>
                <w:color w:val="auto"/>
                <w:u w:val="none" w:color="auto"/>
              </w:rPr>
            </w:pPr>
            <w:r>
              <w:rPr>
                <w:rFonts w:hint="eastAsia"/>
                <w:color w:val="auto"/>
                <w:u w:val="none" w:color="auto"/>
              </w:rPr>
              <w:t>③包装废料</w:t>
            </w:r>
          </w:p>
          <w:p w14:paraId="7CFC8290">
            <w:pPr>
              <w:ind w:firstLine="480"/>
              <w:rPr>
                <w:rFonts w:hint="eastAsia"/>
                <w:color w:val="auto"/>
                <w:u w:val="none" w:color="auto"/>
              </w:rPr>
            </w:pPr>
            <w:r>
              <w:rPr>
                <w:rFonts w:hint="eastAsia"/>
                <w:color w:val="auto"/>
                <w:u w:val="none" w:color="auto"/>
              </w:rPr>
              <w:t>本项目正极材料、负极材料、相关配料等产生包装废料，主要为塑料包装袋、纸箱等，年产生量为0.3t/a，收集后送至收集箱中，外卖综合利用。</w:t>
            </w:r>
          </w:p>
          <w:p w14:paraId="622AED4F">
            <w:pPr>
              <w:ind w:firstLine="480"/>
              <w:rPr>
                <w:rFonts w:hint="eastAsia"/>
                <w:color w:val="auto"/>
                <w:u w:val="none" w:color="auto"/>
              </w:rPr>
            </w:pPr>
            <w:r>
              <w:rPr>
                <w:rFonts w:hint="eastAsia"/>
                <w:color w:val="auto"/>
                <w:u w:val="none" w:color="auto"/>
              </w:rPr>
              <w:t>④NMP回收液</w:t>
            </w:r>
          </w:p>
          <w:p w14:paraId="2FE37387">
            <w:pPr>
              <w:ind w:firstLine="480"/>
              <w:rPr>
                <w:rFonts w:hint="eastAsia"/>
                <w:color w:val="auto"/>
                <w:u w:val="none" w:color="auto"/>
              </w:rPr>
            </w:pPr>
            <w:r>
              <w:rPr>
                <w:rFonts w:hint="eastAsia"/>
                <w:color w:val="auto"/>
                <w:u w:val="none" w:color="auto"/>
              </w:rPr>
              <w:t>项目正极涂布烘箱内的气体通过集气设备收集后，经回收系统处理后排放。回收的NMP量为</w:t>
            </w:r>
            <w:r>
              <w:rPr>
                <w:rFonts w:hint="eastAsia"/>
                <w:color w:val="auto"/>
                <w:u w:val="none" w:color="auto"/>
                <w:lang w:val="en-US" w:eastAsia="zh-CN"/>
              </w:rPr>
              <w:t>11.674</w:t>
            </w:r>
            <w:r>
              <w:rPr>
                <w:rFonts w:hint="eastAsia"/>
                <w:color w:val="auto"/>
                <w:u w:val="none" w:color="auto"/>
              </w:rPr>
              <w:t>t/a。根据原国家环保总局《关于N-甲基吡咯烷酮是否属于危险化学品事项的答复》</w:t>
            </w:r>
            <w:r>
              <w:rPr>
                <w:rFonts w:hint="eastAsia"/>
                <w:color w:val="auto"/>
                <w:u w:val="none" w:color="auto"/>
                <w:lang w:eastAsia="zh-CN"/>
              </w:rPr>
              <w:t>（</w:t>
            </w:r>
            <w:r>
              <w:rPr>
                <w:rFonts w:hint="eastAsia"/>
                <w:color w:val="auto"/>
                <w:u w:val="none" w:color="auto"/>
              </w:rPr>
              <w:t>环信复字[2007]3号</w:t>
            </w:r>
            <w:r>
              <w:rPr>
                <w:rFonts w:hint="eastAsia"/>
                <w:color w:val="auto"/>
                <w:u w:val="none" w:color="auto"/>
                <w:lang w:eastAsia="zh-CN"/>
              </w:rPr>
              <w:t>）：</w:t>
            </w:r>
            <w:r>
              <w:rPr>
                <w:rFonts w:hint="eastAsia"/>
                <w:color w:val="auto"/>
                <w:u w:val="none" w:color="auto"/>
              </w:rPr>
              <w:t>“N-甲基吡咯烷酮</w:t>
            </w:r>
            <w:r>
              <w:rPr>
                <w:rFonts w:hint="eastAsia"/>
                <w:color w:val="auto"/>
                <w:u w:val="none" w:color="auto"/>
                <w:lang w:eastAsia="zh-CN"/>
              </w:rPr>
              <w:t>（</w:t>
            </w:r>
            <w:r>
              <w:rPr>
                <w:rFonts w:hint="eastAsia"/>
                <w:color w:val="auto"/>
                <w:u w:val="none" w:color="auto"/>
              </w:rPr>
              <w:t>NMP</w:t>
            </w:r>
            <w:r>
              <w:rPr>
                <w:rFonts w:hint="eastAsia"/>
                <w:color w:val="auto"/>
                <w:u w:val="none" w:color="auto"/>
                <w:lang w:eastAsia="zh-CN"/>
              </w:rPr>
              <w:t>）</w:t>
            </w:r>
            <w:r>
              <w:rPr>
                <w:rFonts w:hint="eastAsia"/>
                <w:color w:val="auto"/>
                <w:u w:val="none" w:color="auto"/>
              </w:rPr>
              <w:t>未列入《危险化学品目录</w:t>
            </w:r>
            <w:r>
              <w:rPr>
                <w:rFonts w:hint="eastAsia"/>
                <w:color w:val="auto"/>
                <w:u w:val="none" w:color="auto"/>
                <w:lang w:eastAsia="zh-CN"/>
              </w:rPr>
              <w:t>（</w:t>
            </w:r>
            <w:r>
              <w:rPr>
                <w:rFonts w:hint="eastAsia"/>
                <w:color w:val="auto"/>
                <w:u w:val="none" w:color="auto"/>
              </w:rPr>
              <w:t>2002</w:t>
            </w:r>
            <w:r>
              <w:rPr>
                <w:rFonts w:hint="eastAsia"/>
                <w:color w:val="auto"/>
                <w:u w:val="none" w:color="auto"/>
                <w:lang w:eastAsia="zh-CN"/>
              </w:rPr>
              <w:t>）</w:t>
            </w:r>
            <w:r>
              <w:rPr>
                <w:rFonts w:hint="eastAsia"/>
                <w:color w:val="auto"/>
                <w:u w:val="none" w:color="auto"/>
              </w:rPr>
              <w:t>》，不属于危险化学品。经营NMP无需领取危险化学品相关许可证。废弃NMP未列入《国家危险废物名录》，且有关危险废物毒性标准未将NMP列入相关指标中，废弃NMP不属于危险废物，经营废弃NMP不需领取危险废物相关许可证。但NMP的慢性作用可致中枢神经系统机能障碍，经营NMP及废弃NMP要严格管理，确保环境安全和职业卫生安全。”目前《危险化学品目录</w:t>
            </w:r>
            <w:r>
              <w:rPr>
                <w:rFonts w:hint="eastAsia"/>
                <w:color w:val="auto"/>
                <w:u w:val="none" w:color="auto"/>
                <w:lang w:eastAsia="zh-CN"/>
              </w:rPr>
              <w:t>（</w:t>
            </w:r>
            <w:r>
              <w:rPr>
                <w:rFonts w:hint="eastAsia"/>
                <w:color w:val="auto"/>
                <w:u w:val="none" w:color="auto"/>
              </w:rPr>
              <w:t>2002</w:t>
            </w:r>
            <w:r>
              <w:rPr>
                <w:rFonts w:hint="eastAsia"/>
                <w:color w:val="auto"/>
                <w:u w:val="none" w:color="auto"/>
                <w:lang w:eastAsia="zh-CN"/>
              </w:rPr>
              <w:t>）</w:t>
            </w:r>
            <w:r>
              <w:rPr>
                <w:rFonts w:hint="eastAsia"/>
                <w:color w:val="auto"/>
                <w:u w:val="none" w:color="auto"/>
              </w:rPr>
              <w:t>》已被《危险化学品目录</w:t>
            </w:r>
            <w:r>
              <w:rPr>
                <w:rFonts w:hint="eastAsia"/>
                <w:color w:val="auto"/>
                <w:u w:val="none" w:color="auto"/>
                <w:lang w:eastAsia="zh-CN"/>
              </w:rPr>
              <w:t>（</w:t>
            </w:r>
            <w:r>
              <w:rPr>
                <w:rFonts w:hint="eastAsia"/>
                <w:color w:val="auto"/>
                <w:u w:val="none" w:color="auto"/>
              </w:rPr>
              <w:t>20</w:t>
            </w:r>
            <w:r>
              <w:rPr>
                <w:rFonts w:hint="eastAsia"/>
                <w:color w:val="auto"/>
                <w:u w:val="none" w:color="auto"/>
                <w:lang w:val="en-US" w:eastAsia="zh-CN"/>
              </w:rPr>
              <w:t>22年版</w:t>
            </w:r>
            <w:r>
              <w:rPr>
                <w:rFonts w:hint="eastAsia"/>
                <w:color w:val="auto"/>
                <w:u w:val="none" w:color="auto"/>
                <w:lang w:eastAsia="zh-CN"/>
              </w:rPr>
              <w:t>）</w:t>
            </w:r>
            <w:r>
              <w:rPr>
                <w:rFonts w:hint="eastAsia"/>
                <w:color w:val="auto"/>
                <w:u w:val="none" w:color="auto"/>
              </w:rPr>
              <w:t>》替代，经查询该名录，NMP未被列入其中，因此根据环信复字[2007]3号，NMP废液不属于危险废物。建设单位将NMP废液由原厂家回收</w:t>
            </w:r>
            <w:r>
              <w:rPr>
                <w:rFonts w:hint="eastAsia"/>
                <w:color w:val="auto"/>
                <w:u w:val="none" w:color="auto"/>
                <w:lang w:eastAsia="zh-CN"/>
              </w:rPr>
              <w:t>综合利用</w:t>
            </w:r>
            <w:r>
              <w:rPr>
                <w:rFonts w:hint="eastAsia"/>
                <w:color w:val="auto"/>
                <w:u w:val="none" w:color="auto"/>
              </w:rPr>
              <w:t>。</w:t>
            </w:r>
          </w:p>
          <w:p w14:paraId="74C8D979">
            <w:pPr>
              <w:ind w:firstLine="480"/>
              <w:rPr>
                <w:rFonts w:hint="eastAsia"/>
                <w:color w:val="auto"/>
                <w:u w:val="none" w:color="auto"/>
              </w:rPr>
            </w:pPr>
            <w:r>
              <w:rPr>
                <w:rFonts w:hint="eastAsia"/>
                <w:color w:val="auto"/>
                <w:u w:val="none" w:color="auto"/>
              </w:rPr>
              <w:t>项目在NMP回收系统旁连接端口处密封，回收的NMP在厂内原料仓库暂存，</w:t>
            </w:r>
            <w:r>
              <w:rPr>
                <w:rFonts w:hint="eastAsia"/>
                <w:color w:val="auto"/>
                <w:u w:val="none" w:color="auto"/>
                <w:lang w:val="de-DE"/>
              </w:rPr>
              <w:t>原料仓库做好防渗、防腐措施，</w:t>
            </w:r>
            <w:r>
              <w:rPr>
                <w:rFonts w:hint="eastAsia"/>
                <w:color w:val="auto"/>
                <w:u w:val="none" w:color="auto"/>
              </w:rPr>
              <w:t>NMP</w:t>
            </w:r>
            <w:r>
              <w:rPr>
                <w:rFonts w:hint="eastAsia"/>
                <w:color w:val="auto"/>
                <w:u w:val="none" w:color="auto"/>
                <w:lang w:eastAsia="zh-CN"/>
              </w:rPr>
              <w:t>回收液</w:t>
            </w:r>
            <w:r>
              <w:rPr>
                <w:rFonts w:hint="eastAsia"/>
                <w:color w:val="auto"/>
                <w:u w:val="none" w:color="auto"/>
                <w:lang w:val="en-US" w:eastAsia="zh-CN"/>
              </w:rPr>
              <w:t>11.674t/a，</w:t>
            </w:r>
            <w:r>
              <w:rPr>
                <w:rFonts w:hint="eastAsia"/>
                <w:color w:val="auto"/>
                <w:u w:val="none" w:color="auto"/>
              </w:rPr>
              <w:t>定期交供货厂家回收</w:t>
            </w:r>
            <w:r>
              <w:rPr>
                <w:rFonts w:hint="eastAsia"/>
                <w:color w:val="auto"/>
                <w:u w:val="none" w:color="auto"/>
                <w:lang w:eastAsia="zh-CN"/>
              </w:rPr>
              <w:t>综合利用</w:t>
            </w:r>
            <w:r>
              <w:rPr>
                <w:rFonts w:hint="eastAsia"/>
                <w:color w:val="auto"/>
                <w:u w:val="none" w:color="auto"/>
              </w:rPr>
              <w:t>。</w:t>
            </w:r>
          </w:p>
          <w:p w14:paraId="6730D0F0">
            <w:pPr>
              <w:ind w:firstLine="480"/>
              <w:rPr>
                <w:rFonts w:hint="eastAsia"/>
                <w:color w:val="auto"/>
                <w:u w:val="none" w:color="auto"/>
              </w:rPr>
            </w:pPr>
            <w:r>
              <w:rPr>
                <w:rFonts w:hint="eastAsia"/>
                <w:color w:val="auto"/>
                <w:u w:val="none" w:color="auto"/>
              </w:rPr>
              <w:t>⑤原料空桶</w:t>
            </w:r>
          </w:p>
          <w:p w14:paraId="5BE46A03">
            <w:pPr>
              <w:ind w:firstLine="480"/>
              <w:rPr>
                <w:rFonts w:hint="eastAsia"/>
                <w:color w:val="auto"/>
                <w:u w:val="none" w:color="auto"/>
              </w:rPr>
            </w:pPr>
            <w:r>
              <w:rPr>
                <w:rFonts w:hint="eastAsia"/>
                <w:color w:val="auto"/>
                <w:u w:val="none" w:color="auto"/>
              </w:rPr>
              <w:t>项目生产过程产生的原料空桶等包装容器产生量约为0.8t/a。原料空桶在厂内原料仓库暂存，定期交供货厂家回收。</w:t>
            </w:r>
          </w:p>
          <w:p w14:paraId="3E7C22A3">
            <w:pPr>
              <w:ind w:firstLine="480"/>
              <w:rPr>
                <w:rFonts w:hint="eastAsia" w:eastAsia="宋体"/>
                <w:color w:val="auto"/>
                <w:u w:val="none" w:color="auto"/>
                <w:lang w:eastAsia="zh-CN"/>
              </w:rPr>
            </w:pPr>
            <w:r>
              <w:rPr>
                <w:rFonts w:hint="eastAsia"/>
                <w:color w:val="auto"/>
                <w:u w:val="none" w:color="auto"/>
              </w:rPr>
              <w:t>⑥纯水制备废</w:t>
            </w:r>
            <w:r>
              <w:rPr>
                <w:rFonts w:hint="eastAsia"/>
                <w:color w:val="auto"/>
                <w:u w:val="none" w:color="auto"/>
                <w:lang w:eastAsia="zh-CN"/>
              </w:rPr>
              <w:t>滤芯</w:t>
            </w:r>
          </w:p>
          <w:p w14:paraId="439795C3">
            <w:pPr>
              <w:ind w:firstLine="480"/>
              <w:rPr>
                <w:rFonts w:hint="eastAsia"/>
                <w:color w:val="auto"/>
                <w:u w:val="none" w:color="auto"/>
              </w:rPr>
            </w:pPr>
            <w:r>
              <w:rPr>
                <w:rFonts w:hint="eastAsia"/>
                <w:color w:val="auto"/>
                <w:u w:val="none" w:color="auto"/>
              </w:rPr>
              <w:t>项目纯水制备采用二次反渗透工艺，工艺中的用到的</w:t>
            </w:r>
            <w:r>
              <w:rPr>
                <w:rFonts w:hint="eastAsia"/>
                <w:color w:val="auto"/>
                <w:u w:val="none" w:color="auto"/>
                <w:lang w:eastAsia="zh-CN"/>
              </w:rPr>
              <w:t>滤材</w:t>
            </w:r>
            <w:r>
              <w:rPr>
                <w:rFonts w:hint="eastAsia"/>
                <w:color w:val="auto"/>
                <w:u w:val="none" w:color="auto"/>
              </w:rPr>
              <w:t>和渗透膜需定期更换，更换量约0.1吨/年；由于纯水制备机水源来自园区自来水管网，因此纯水制备机产生的废</w:t>
            </w:r>
            <w:r>
              <w:rPr>
                <w:rFonts w:hint="eastAsia"/>
                <w:color w:val="auto"/>
                <w:u w:val="none" w:color="auto"/>
                <w:lang w:eastAsia="zh-CN"/>
              </w:rPr>
              <w:t>滤材</w:t>
            </w:r>
            <w:r>
              <w:rPr>
                <w:rFonts w:hint="eastAsia"/>
                <w:color w:val="auto"/>
                <w:u w:val="none" w:color="auto"/>
              </w:rPr>
              <w:t>、废渗透膜等不含重金属等危废。废</w:t>
            </w:r>
            <w:r>
              <w:rPr>
                <w:rFonts w:hint="eastAsia"/>
                <w:color w:val="auto"/>
                <w:u w:val="none" w:color="auto"/>
                <w:lang w:eastAsia="zh-CN"/>
              </w:rPr>
              <w:t>滤芯</w:t>
            </w:r>
            <w:r>
              <w:rPr>
                <w:rFonts w:hint="eastAsia"/>
                <w:color w:val="auto"/>
                <w:u w:val="none" w:color="auto"/>
              </w:rPr>
              <w:t>经统一收集后由厂家回收处理。</w:t>
            </w:r>
          </w:p>
          <w:p w14:paraId="7DEE31A4">
            <w:pPr>
              <w:ind w:firstLine="480"/>
              <w:rPr>
                <w:rFonts w:hint="eastAsia" w:ascii="Times New Roman" w:hAnsi="Times New Roman" w:eastAsia="宋体" w:cs="Times New Roman"/>
                <w:color w:val="auto"/>
                <w:u w:val="none" w:color="auto"/>
                <w:lang w:eastAsia="zh-CN"/>
              </w:rPr>
            </w:pPr>
            <w:r>
              <w:rPr>
                <w:rFonts w:hint="eastAsia" w:ascii="Times New Roman" w:hAnsi="Times New Roman" w:eastAsia="宋体" w:cs="Times New Roman"/>
                <w:color w:val="auto"/>
                <w:u w:val="none" w:color="auto"/>
                <w:lang w:eastAsia="zh-CN"/>
              </w:rPr>
              <w:t>⑦沉淀池渣</w:t>
            </w:r>
          </w:p>
          <w:p w14:paraId="4113CABD">
            <w:pPr>
              <w:bidi w:val="0"/>
              <w:rPr>
                <w:rFonts w:hint="default" w:eastAsia="宋体"/>
                <w:color w:val="auto"/>
                <w:lang w:val="en-US" w:eastAsia="zh-CN"/>
              </w:rPr>
            </w:pPr>
            <w:r>
              <w:rPr>
                <w:rFonts w:hint="eastAsia"/>
                <w:color w:val="auto"/>
                <w:lang w:eastAsia="zh-CN"/>
              </w:rPr>
              <w:t>项目洗拖把废水经</w:t>
            </w:r>
            <w:r>
              <w:rPr>
                <w:rFonts w:hint="eastAsia"/>
                <w:color w:val="auto"/>
                <w:lang w:val="en-US" w:eastAsia="zh-CN"/>
              </w:rPr>
              <w:t>PAC絮凝沉淀后排放，项目洗拖把废水约</w:t>
            </w:r>
            <w:r>
              <w:rPr>
                <w:color w:val="auto"/>
                <w:u w:val="none" w:color="auto"/>
              </w:rPr>
              <w:t>1</w:t>
            </w:r>
            <w:r>
              <w:rPr>
                <w:rFonts w:hint="eastAsia"/>
                <w:color w:val="auto"/>
                <w:u w:val="none" w:color="auto"/>
                <w:lang w:val="en-US" w:eastAsia="zh-CN"/>
              </w:rPr>
              <w:t>0.8</w:t>
            </w:r>
            <w:r>
              <w:rPr>
                <w:color w:val="auto"/>
                <w:u w:val="none" w:color="auto"/>
              </w:rPr>
              <w:t>t/a</w:t>
            </w:r>
            <w:r>
              <w:rPr>
                <w:rFonts w:hint="eastAsia"/>
                <w:color w:val="auto"/>
                <w:u w:val="none" w:color="auto"/>
                <w:lang w:eastAsia="zh-CN"/>
              </w:rPr>
              <w:t>，产生的沉淀渣约</w:t>
            </w:r>
            <w:r>
              <w:rPr>
                <w:rFonts w:hint="eastAsia"/>
                <w:color w:val="auto"/>
                <w:u w:val="none" w:color="auto"/>
                <w:lang w:val="en-US" w:eastAsia="zh-CN"/>
              </w:rPr>
              <w:t>50kg/a，定期清掏交专业公司处置。</w:t>
            </w:r>
          </w:p>
          <w:p w14:paraId="53A2C2CE">
            <w:pPr>
              <w:ind w:firstLine="480"/>
              <w:rPr>
                <w:rFonts w:hint="eastAsia"/>
                <w:color w:val="auto"/>
                <w:u w:val="none" w:color="auto"/>
              </w:rPr>
            </w:pPr>
            <w:r>
              <w:rPr>
                <w:rFonts w:hint="eastAsia"/>
                <w:color w:val="auto"/>
                <w:u w:val="none" w:color="auto"/>
              </w:rPr>
              <w:t>（2）危险废物</w:t>
            </w:r>
          </w:p>
          <w:p w14:paraId="789BBB29">
            <w:pPr>
              <w:ind w:firstLine="480"/>
              <w:rPr>
                <w:rFonts w:hint="eastAsia"/>
                <w:color w:val="auto"/>
                <w:u w:val="none" w:color="auto"/>
              </w:rPr>
            </w:pPr>
            <w:r>
              <w:rPr>
                <w:rFonts w:hint="eastAsia"/>
                <w:color w:val="auto"/>
                <w:u w:val="none" w:color="auto"/>
              </w:rPr>
              <w:t>①含电解液的废料</w:t>
            </w:r>
          </w:p>
          <w:p w14:paraId="618D9F5F">
            <w:pPr>
              <w:ind w:firstLine="480"/>
              <w:rPr>
                <w:rFonts w:hint="eastAsia"/>
                <w:color w:val="auto"/>
                <w:u w:val="none" w:color="auto"/>
              </w:rPr>
            </w:pPr>
            <w:r>
              <w:rPr>
                <w:rFonts w:hint="eastAsia"/>
                <w:color w:val="auto"/>
                <w:u w:val="none" w:color="auto"/>
              </w:rPr>
              <w:t>在注液、封边等工序中会产生含电解液的废抹布、废手套等约0.0</w:t>
            </w:r>
            <w:r>
              <w:rPr>
                <w:rFonts w:hint="eastAsia"/>
                <w:color w:val="auto"/>
                <w:u w:val="none" w:color="auto"/>
                <w:lang w:val="en-US" w:eastAsia="zh-CN"/>
              </w:rPr>
              <w:t>1</w:t>
            </w:r>
            <w:r>
              <w:rPr>
                <w:rFonts w:hint="eastAsia"/>
                <w:color w:val="auto"/>
                <w:u w:val="none" w:color="auto"/>
              </w:rPr>
              <w:t>t/a</w:t>
            </w:r>
            <w:r>
              <w:rPr>
                <w:rFonts w:hint="eastAsia"/>
                <w:color w:val="auto"/>
                <w:u w:val="none" w:color="auto"/>
                <w:lang w:eastAsia="zh-CN"/>
              </w:rPr>
              <w:t>，</w:t>
            </w:r>
            <w:r>
              <w:rPr>
                <w:rFonts w:hint="eastAsia"/>
                <w:color w:val="auto"/>
                <w:u w:val="none" w:color="auto"/>
              </w:rPr>
              <w:t>含电解液的废料产生量</w:t>
            </w:r>
            <w:r>
              <w:rPr>
                <w:rFonts w:hint="eastAsia" w:ascii="Times New Roman" w:hAnsi="Times New Roman" w:eastAsia="宋体" w:cs="Times New Roman"/>
                <w:color w:val="auto"/>
                <w:u w:val="none" w:color="auto"/>
              </w:rPr>
              <w:t>约为0.0</w:t>
            </w:r>
            <w:r>
              <w:rPr>
                <w:rFonts w:hint="eastAsia" w:ascii="Times New Roman" w:hAnsi="Times New Roman" w:eastAsia="宋体" w:cs="Times New Roman"/>
                <w:color w:val="auto"/>
                <w:u w:val="none" w:color="auto"/>
                <w:lang w:val="en-US" w:eastAsia="zh-CN"/>
              </w:rPr>
              <w:t>1</w:t>
            </w:r>
            <w:r>
              <w:rPr>
                <w:rFonts w:hint="eastAsia" w:ascii="Times New Roman" w:hAnsi="Times New Roman" w:eastAsia="宋体" w:cs="Times New Roman"/>
                <w:color w:val="auto"/>
                <w:u w:val="none" w:color="auto"/>
              </w:rPr>
              <w:t>t/a</w:t>
            </w:r>
            <w:r>
              <w:rPr>
                <w:rFonts w:hint="eastAsia" w:ascii="Times New Roman" w:hAnsi="Times New Roman" w:eastAsia="宋体" w:cs="Times New Roman"/>
                <w:color w:val="auto"/>
                <w:u w:val="none" w:color="auto"/>
                <w:lang w:eastAsia="zh-CN"/>
              </w:rPr>
              <w:t>，</w:t>
            </w:r>
            <w:r>
              <w:rPr>
                <w:rFonts w:hint="eastAsia" w:ascii="Times New Roman" w:hAnsi="Times New Roman" w:eastAsia="宋体" w:cs="Times New Roman"/>
                <w:color w:val="auto"/>
                <w:u w:val="none" w:color="auto"/>
              </w:rPr>
              <w:t>含电解液的废料</w:t>
            </w:r>
            <w:r>
              <w:rPr>
                <w:rFonts w:hint="eastAsia" w:ascii="Times New Roman" w:hAnsi="Times New Roman" w:eastAsia="宋体" w:cs="Times New Roman"/>
                <w:color w:val="auto"/>
                <w:u w:val="none" w:color="auto"/>
                <w:lang w:val="en-US" w:eastAsia="zh-CN"/>
              </w:rPr>
              <w:t>合计产生量约0.02</w:t>
            </w:r>
            <w:r>
              <w:rPr>
                <w:rFonts w:hint="eastAsia" w:ascii="Times New Roman" w:hAnsi="Times New Roman" w:eastAsia="宋体" w:cs="Times New Roman"/>
                <w:color w:val="auto"/>
                <w:u w:val="none" w:color="auto"/>
              </w:rPr>
              <w:t>t/a。按《国家危险废物名录》（202</w:t>
            </w:r>
            <w:r>
              <w:rPr>
                <w:rFonts w:hint="eastAsia" w:ascii="Times New Roman" w:hAnsi="Times New Roman" w:eastAsia="宋体" w:cs="Times New Roman"/>
                <w:color w:val="auto"/>
                <w:u w:val="none" w:color="auto"/>
                <w:lang w:val="en-US" w:eastAsia="zh-CN"/>
              </w:rPr>
              <w:t>5</w:t>
            </w:r>
            <w:r>
              <w:rPr>
                <w:rFonts w:hint="eastAsia" w:ascii="Times New Roman" w:hAnsi="Times New Roman" w:eastAsia="宋体" w:cs="Times New Roman"/>
                <w:color w:val="auto"/>
                <w:u w:val="none" w:color="auto"/>
              </w:rPr>
              <w:t>年版）规定属于危险废物，（HW</w:t>
            </w:r>
            <w:r>
              <w:rPr>
                <w:rFonts w:hint="eastAsia" w:ascii="Times New Roman" w:hAnsi="Times New Roman" w:eastAsia="宋体" w:cs="Times New Roman"/>
                <w:color w:val="auto"/>
                <w:u w:val="none" w:color="auto"/>
                <w:lang w:val="en-US" w:eastAsia="zh-CN"/>
              </w:rPr>
              <w:t>49其他废物-</w:t>
            </w:r>
            <w:r>
              <w:rPr>
                <w:rFonts w:hint="eastAsia" w:ascii="Times New Roman" w:hAnsi="Times New Roman" w:eastAsia="宋体" w:cs="Times New Roman"/>
                <w:color w:val="auto"/>
                <w:u w:val="none" w:color="auto"/>
              </w:rPr>
              <w:t>900-</w:t>
            </w:r>
            <w:r>
              <w:rPr>
                <w:rFonts w:hint="eastAsia" w:ascii="Times New Roman" w:hAnsi="Times New Roman" w:eastAsia="宋体" w:cs="Times New Roman"/>
                <w:color w:val="auto"/>
                <w:u w:val="none" w:color="auto"/>
                <w:lang w:val="en-US" w:eastAsia="zh-CN"/>
              </w:rPr>
              <w:t>041</w:t>
            </w:r>
            <w:r>
              <w:rPr>
                <w:rFonts w:hint="eastAsia" w:ascii="Times New Roman" w:hAnsi="Times New Roman" w:eastAsia="宋体" w:cs="Times New Roman"/>
                <w:color w:val="auto"/>
                <w:u w:val="none" w:color="auto"/>
              </w:rPr>
              <w:t>-</w:t>
            </w:r>
            <w:r>
              <w:rPr>
                <w:rFonts w:hint="eastAsia" w:ascii="Times New Roman" w:hAnsi="Times New Roman" w:eastAsia="宋体" w:cs="Times New Roman"/>
                <w:color w:val="auto"/>
                <w:u w:val="none" w:color="auto"/>
                <w:lang w:val="en-US" w:eastAsia="zh-CN"/>
              </w:rPr>
              <w:t>49</w:t>
            </w:r>
            <w:r>
              <w:rPr>
                <w:rFonts w:hint="eastAsia" w:ascii="Times New Roman" w:hAnsi="Times New Roman" w:eastAsia="宋体" w:cs="Times New Roman"/>
                <w:color w:val="auto"/>
                <w:u w:val="none" w:color="auto"/>
              </w:rPr>
              <w:t>），交有资质单位进行安全处置。</w:t>
            </w:r>
          </w:p>
          <w:p w14:paraId="62467743">
            <w:pPr>
              <w:keepNext w:val="0"/>
              <w:keepLines w:val="0"/>
              <w:widowControl/>
              <w:suppressLineNumbers w:val="0"/>
              <w:jc w:val="left"/>
              <w:rPr>
                <w:rFonts w:hint="eastAsia" w:ascii="Times New Roman" w:hAnsi="Times New Roman" w:eastAsia="宋体" w:cs="Times New Roman"/>
                <w:color w:val="auto"/>
                <w:u w:val="none" w:color="auto"/>
                <w:lang w:eastAsia="zh-CN"/>
              </w:rPr>
            </w:pPr>
            <w:r>
              <w:rPr>
                <w:rFonts w:hint="eastAsia" w:ascii="Times New Roman" w:hAnsi="Times New Roman" w:eastAsia="宋体" w:cs="Times New Roman"/>
                <w:color w:val="auto"/>
                <w:u w:val="none" w:color="auto"/>
                <w:lang w:eastAsia="zh-CN"/>
              </w:rPr>
              <w:t>②废机油、废抹布</w:t>
            </w:r>
          </w:p>
          <w:p w14:paraId="22D70D7A">
            <w:pPr>
              <w:keepNext w:val="0"/>
              <w:keepLines w:val="0"/>
              <w:widowControl/>
              <w:suppressLineNumbers w:val="0"/>
              <w:jc w:val="left"/>
              <w:rPr>
                <w:rFonts w:hint="eastAsia" w:ascii="Times New Roman" w:hAnsi="Times New Roman" w:eastAsia="宋体" w:cs="Times New Roman"/>
                <w:color w:val="auto"/>
                <w:u w:val="none" w:color="auto"/>
                <w:lang w:eastAsia="zh-CN"/>
              </w:rPr>
            </w:pPr>
            <w:r>
              <w:rPr>
                <w:rFonts w:hint="eastAsia" w:ascii="Times New Roman" w:hAnsi="Times New Roman" w:eastAsia="宋体" w:cs="Times New Roman"/>
                <w:color w:val="auto"/>
                <w:u w:val="none" w:color="auto"/>
                <w:lang w:eastAsia="zh-CN"/>
              </w:rPr>
              <w:t>项目生产设备日常检修、保养过程中会产生少量的废机油、废抹布，</w:t>
            </w:r>
            <w:r>
              <w:rPr>
                <w:rFonts w:hint="eastAsia" w:ascii="Times New Roman" w:hAnsi="Times New Roman" w:eastAsia="宋体" w:cs="Times New Roman"/>
                <w:color w:val="auto"/>
                <w:u w:val="none" w:color="auto"/>
                <w:lang w:val="en-US" w:eastAsia="zh-CN"/>
              </w:rPr>
              <w:t>预计</w:t>
            </w:r>
            <w:r>
              <w:rPr>
                <w:rFonts w:hint="eastAsia" w:ascii="Times New Roman" w:hAnsi="Times New Roman" w:eastAsia="宋体" w:cs="Times New Roman"/>
                <w:color w:val="auto"/>
                <w:u w:val="none" w:color="auto"/>
                <w:lang w:eastAsia="zh-CN"/>
              </w:rPr>
              <w:t>产生量约为0.</w:t>
            </w:r>
            <w:r>
              <w:rPr>
                <w:rFonts w:hint="eastAsia" w:ascii="Times New Roman" w:hAnsi="Times New Roman" w:eastAsia="宋体" w:cs="Times New Roman"/>
                <w:color w:val="auto"/>
                <w:u w:val="none" w:color="auto"/>
                <w:lang w:val="en-US" w:eastAsia="zh-CN"/>
              </w:rPr>
              <w:t>0</w:t>
            </w:r>
            <w:r>
              <w:rPr>
                <w:rFonts w:hint="eastAsia" w:ascii="Times New Roman" w:hAnsi="Times New Roman" w:eastAsia="宋体" w:cs="Times New Roman"/>
                <w:color w:val="auto"/>
                <w:u w:val="none" w:color="auto"/>
                <w:lang w:eastAsia="zh-CN"/>
              </w:rPr>
              <w:t>1t/a，废机油、废抹布属于《国家危险废物名录》（2025年版）所列的危险废物（HW08</w:t>
            </w:r>
            <w:r>
              <w:rPr>
                <w:rFonts w:hint="eastAsia" w:ascii="Times New Roman" w:hAnsi="Times New Roman" w:eastAsia="宋体" w:cs="Times New Roman"/>
                <w:color w:val="auto"/>
                <w:u w:val="none" w:color="auto"/>
                <w:lang w:val="en-US" w:eastAsia="zh-CN"/>
              </w:rPr>
              <w:t>废矿物油与含矿物油废物-</w:t>
            </w:r>
            <w:r>
              <w:rPr>
                <w:rFonts w:hint="eastAsia" w:ascii="Times New Roman" w:hAnsi="Times New Roman" w:eastAsia="宋体" w:cs="Times New Roman"/>
                <w:color w:val="auto"/>
                <w:u w:val="none" w:color="auto"/>
                <w:lang w:eastAsia="zh-CN"/>
              </w:rPr>
              <w:t>900-214-08），妥善收集后交由有相关资质的单位处置。</w:t>
            </w:r>
          </w:p>
          <w:p w14:paraId="187E3643">
            <w:pPr>
              <w:bidi w:val="0"/>
              <w:rPr>
                <w:rFonts w:hint="eastAsia"/>
                <w:color w:val="auto"/>
                <w:u w:val="none" w:color="auto"/>
                <w:lang w:eastAsia="zh-CN"/>
              </w:rPr>
            </w:pPr>
            <w:r>
              <w:rPr>
                <w:rFonts w:hint="eastAsia"/>
                <w:color w:val="auto"/>
                <w:u w:val="none" w:color="auto"/>
                <w:lang w:eastAsia="zh-CN"/>
              </w:rPr>
              <w:t>③搅拌桶擦拭废抹布</w:t>
            </w:r>
          </w:p>
          <w:p w14:paraId="166039CA">
            <w:pPr>
              <w:bidi w:val="0"/>
              <w:rPr>
                <w:rFonts w:hint="eastAsia" w:eastAsia="宋体"/>
                <w:color w:val="auto"/>
                <w:u w:val="none" w:color="auto"/>
                <w:lang w:eastAsia="zh-CN"/>
              </w:rPr>
            </w:pPr>
            <w:r>
              <w:rPr>
                <w:rFonts w:hint="eastAsia"/>
                <w:color w:val="auto"/>
                <w:u w:val="none" w:color="auto"/>
                <w:lang w:eastAsia="zh-CN"/>
              </w:rPr>
              <w:t>项目负极配料搅拌桶在更换产品种类时，需进行搅拌桶内壁清洁，采用抹布擦拭清洁，该过程产生废抹布，</w:t>
            </w:r>
            <w:r>
              <w:rPr>
                <w:rFonts w:hint="eastAsia"/>
                <w:color w:val="auto"/>
                <w:u w:val="none" w:color="auto"/>
                <w:lang w:val="en-US" w:eastAsia="zh-CN"/>
              </w:rPr>
              <w:t>预计</w:t>
            </w:r>
            <w:r>
              <w:rPr>
                <w:rFonts w:hint="eastAsia"/>
                <w:color w:val="auto"/>
                <w:u w:val="none" w:color="auto"/>
              </w:rPr>
              <w:t>产生量约为0.</w:t>
            </w:r>
            <w:r>
              <w:rPr>
                <w:rFonts w:hint="eastAsia"/>
                <w:color w:val="auto"/>
                <w:u w:val="none" w:color="auto"/>
                <w:lang w:val="en-US" w:eastAsia="zh-CN"/>
              </w:rPr>
              <w:t>0</w:t>
            </w:r>
            <w:r>
              <w:rPr>
                <w:rFonts w:hint="eastAsia"/>
                <w:color w:val="auto"/>
                <w:u w:val="none" w:color="auto"/>
              </w:rPr>
              <w:t>1t/a，</w:t>
            </w:r>
            <w:r>
              <w:rPr>
                <w:rFonts w:hint="eastAsia"/>
                <w:color w:val="auto"/>
                <w:u w:val="none" w:color="auto"/>
                <w:lang w:eastAsia="zh-CN"/>
              </w:rPr>
              <w:t>废抹布含负极材料</w:t>
            </w:r>
            <w:r>
              <w:rPr>
                <w:rFonts w:hint="eastAsia" w:ascii="Times New Roman" w:hAnsi="Times New Roman" w:eastAsia="宋体" w:cs="Times New Roman"/>
                <w:color w:val="auto"/>
                <w:u w:val="none" w:color="auto"/>
                <w:lang w:eastAsia="zh-CN"/>
              </w:rPr>
              <w:t>丁苯橡胶乳液</w:t>
            </w:r>
            <w:r>
              <w:rPr>
                <w:rFonts w:hint="eastAsia"/>
                <w:color w:val="auto"/>
                <w:u w:val="none" w:color="auto"/>
                <w:lang w:eastAsia="zh-CN"/>
              </w:rPr>
              <w:t>，</w:t>
            </w:r>
            <w:r>
              <w:rPr>
                <w:rFonts w:hint="eastAsia"/>
                <w:color w:val="auto"/>
                <w:u w:val="none" w:color="auto"/>
              </w:rPr>
              <w:t>属于</w:t>
            </w:r>
            <w:r>
              <w:rPr>
                <w:rFonts w:hint="eastAsia"/>
                <w:color w:val="auto"/>
                <w:u w:val="none" w:color="auto"/>
                <w:lang w:eastAsia="zh-CN"/>
              </w:rPr>
              <w:t>《国家危险废物名录》（2025年版）</w:t>
            </w:r>
            <w:r>
              <w:rPr>
                <w:rFonts w:hint="eastAsia"/>
                <w:color w:val="auto"/>
                <w:u w:val="none" w:color="auto"/>
              </w:rPr>
              <w:t>所列的危险废物（HW</w:t>
            </w:r>
            <w:r>
              <w:rPr>
                <w:rFonts w:hint="eastAsia"/>
                <w:color w:val="auto"/>
                <w:u w:val="none" w:color="auto"/>
                <w:lang w:val="en-US" w:eastAsia="zh-CN"/>
              </w:rPr>
              <w:t>49其他废物-</w:t>
            </w:r>
            <w:r>
              <w:rPr>
                <w:rFonts w:hint="eastAsia"/>
                <w:color w:val="auto"/>
                <w:u w:val="none" w:color="auto"/>
              </w:rPr>
              <w:t>900-</w:t>
            </w:r>
            <w:r>
              <w:rPr>
                <w:rFonts w:hint="eastAsia"/>
                <w:color w:val="auto"/>
                <w:u w:val="none" w:color="auto"/>
                <w:lang w:val="en-US" w:eastAsia="zh-CN"/>
              </w:rPr>
              <w:t>041</w:t>
            </w:r>
            <w:r>
              <w:rPr>
                <w:rFonts w:hint="eastAsia"/>
                <w:color w:val="auto"/>
                <w:u w:val="none" w:color="auto"/>
              </w:rPr>
              <w:t>-</w:t>
            </w:r>
            <w:r>
              <w:rPr>
                <w:rFonts w:hint="eastAsia"/>
                <w:color w:val="auto"/>
                <w:u w:val="none" w:color="auto"/>
                <w:lang w:val="en-US" w:eastAsia="zh-CN"/>
              </w:rPr>
              <w:t>49</w:t>
            </w:r>
            <w:r>
              <w:rPr>
                <w:rFonts w:hint="eastAsia"/>
                <w:color w:val="auto"/>
                <w:u w:val="none" w:color="auto"/>
              </w:rPr>
              <w:t>），妥善收集后交由有相关资质的单位处置</w:t>
            </w:r>
            <w:r>
              <w:rPr>
                <w:rFonts w:hint="eastAsia"/>
                <w:color w:val="auto"/>
                <w:u w:val="none" w:color="auto"/>
                <w:lang w:eastAsia="zh-CN"/>
              </w:rPr>
              <w:t>。</w:t>
            </w:r>
          </w:p>
          <w:p w14:paraId="1DECC25F">
            <w:pPr>
              <w:bidi w:val="0"/>
              <w:rPr>
                <w:rFonts w:hint="eastAsia"/>
                <w:color w:val="auto"/>
                <w:u w:val="none" w:color="auto"/>
              </w:rPr>
            </w:pPr>
            <w:r>
              <w:rPr>
                <w:rFonts w:hint="eastAsia"/>
                <w:color w:val="auto"/>
                <w:u w:val="none" w:color="auto"/>
              </w:rPr>
              <w:t>（3）生活垃圾</w:t>
            </w:r>
          </w:p>
          <w:p w14:paraId="1476E6D5">
            <w:pPr>
              <w:bidi w:val="0"/>
              <w:rPr>
                <w:rFonts w:hint="eastAsia"/>
                <w:color w:val="auto"/>
                <w:u w:val="none" w:color="auto"/>
              </w:rPr>
            </w:pPr>
            <w:r>
              <w:rPr>
                <w:rFonts w:hint="eastAsia"/>
                <w:color w:val="auto"/>
                <w:u w:val="none" w:color="auto"/>
              </w:rPr>
              <w:t>本项目厂区员工人数为</w:t>
            </w:r>
            <w:r>
              <w:rPr>
                <w:rFonts w:hint="eastAsia"/>
                <w:color w:val="auto"/>
                <w:u w:val="none" w:color="auto"/>
                <w:lang w:val="en-US" w:eastAsia="zh-CN"/>
              </w:rPr>
              <w:t>3</w:t>
            </w:r>
            <w:r>
              <w:rPr>
                <w:rFonts w:hint="eastAsia"/>
                <w:color w:val="auto"/>
                <w:u w:val="none" w:color="auto"/>
              </w:rPr>
              <w:t>00人，年工作300天，平均每人每天生活垃圾产生量约0.2kg，则项目生活垃圾产生量为</w:t>
            </w:r>
            <w:r>
              <w:rPr>
                <w:rFonts w:hint="eastAsia"/>
                <w:color w:val="auto"/>
                <w:u w:val="none" w:color="auto"/>
                <w:lang w:val="en-US" w:eastAsia="zh-CN"/>
              </w:rPr>
              <w:t>6</w:t>
            </w:r>
            <w:r>
              <w:rPr>
                <w:rFonts w:hint="eastAsia"/>
                <w:color w:val="auto"/>
                <w:u w:val="none" w:color="auto"/>
              </w:rPr>
              <w:t>0kg/d（</w:t>
            </w:r>
            <w:r>
              <w:rPr>
                <w:rFonts w:hint="eastAsia"/>
                <w:color w:val="auto"/>
                <w:u w:val="none" w:color="auto"/>
                <w:lang w:val="en-US" w:eastAsia="zh-CN"/>
              </w:rPr>
              <w:t>18</w:t>
            </w:r>
            <w:r>
              <w:rPr>
                <w:rFonts w:hint="eastAsia"/>
                <w:color w:val="auto"/>
                <w:u w:val="none" w:color="auto"/>
              </w:rPr>
              <w:t>t/a），生活垃圾主要成分是有机物，如不及时清理，会滋生蚊虫、产生恶臭、影响景观、传播疾病等，对环境造成不良影响。经垃圾桶收集后，每天清理，委托当地环卫部门进行清运处理。</w:t>
            </w:r>
          </w:p>
          <w:p w14:paraId="133C74C5">
            <w:pPr>
              <w:spacing w:line="240" w:lineRule="auto"/>
              <w:ind w:firstLine="422"/>
              <w:jc w:val="center"/>
              <w:rPr>
                <w:rFonts w:hint="eastAsia"/>
                <w:b/>
                <w:bCs/>
                <w:color w:val="auto"/>
                <w:sz w:val="21"/>
                <w:szCs w:val="21"/>
                <w:u w:val="none" w:color="auto"/>
              </w:rPr>
            </w:pPr>
            <w:r>
              <w:rPr>
                <w:rFonts w:hint="eastAsia"/>
                <w:b/>
                <w:bCs/>
                <w:color w:val="auto"/>
                <w:sz w:val="21"/>
                <w:szCs w:val="21"/>
                <w:u w:val="none" w:color="auto"/>
              </w:rPr>
              <w:t>表4-</w:t>
            </w:r>
            <w:r>
              <w:rPr>
                <w:rFonts w:hint="eastAsia"/>
                <w:b/>
                <w:bCs/>
                <w:color w:val="auto"/>
                <w:sz w:val="21"/>
                <w:szCs w:val="21"/>
                <w:u w:val="none" w:color="auto"/>
                <w:lang w:val="en-US" w:eastAsia="zh-CN"/>
              </w:rPr>
              <w:t>13</w:t>
            </w:r>
            <w:r>
              <w:rPr>
                <w:rFonts w:hint="eastAsia"/>
                <w:b/>
                <w:bCs/>
                <w:color w:val="auto"/>
                <w:sz w:val="21"/>
                <w:szCs w:val="21"/>
                <w:u w:val="none" w:color="auto"/>
              </w:rPr>
              <w:t>固废产生及处置情况</w:t>
            </w:r>
          </w:p>
          <w:tbl>
            <w:tblPr>
              <w:tblStyle w:val="28"/>
              <w:tblW w:w="8298" w:type="dxa"/>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2"/>
              <w:gridCol w:w="1358"/>
              <w:gridCol w:w="915"/>
              <w:gridCol w:w="1080"/>
              <w:gridCol w:w="1480"/>
              <w:gridCol w:w="2053"/>
              <w:gridCol w:w="930"/>
            </w:tblGrid>
            <w:tr w14:paraId="633BA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dxa"/>
                  <w:noWrap w:val="0"/>
                  <w:vAlign w:val="center"/>
                </w:tcPr>
                <w:p w14:paraId="1073E429">
                  <w:pPr>
                    <w:pStyle w:val="46"/>
                    <w:rPr>
                      <w:rFonts w:hint="eastAsia"/>
                      <w:color w:val="auto"/>
                      <w:u w:val="none" w:color="auto"/>
                    </w:rPr>
                  </w:pPr>
                  <w:r>
                    <w:rPr>
                      <w:rFonts w:hint="eastAsia"/>
                      <w:color w:val="auto"/>
                      <w:u w:val="none" w:color="auto"/>
                    </w:rPr>
                    <w:t>序号</w:t>
                  </w:r>
                </w:p>
              </w:tc>
              <w:tc>
                <w:tcPr>
                  <w:tcW w:w="1358" w:type="dxa"/>
                  <w:noWrap w:val="0"/>
                  <w:vAlign w:val="center"/>
                </w:tcPr>
                <w:p w14:paraId="25794655">
                  <w:pPr>
                    <w:pStyle w:val="46"/>
                    <w:rPr>
                      <w:rFonts w:hint="eastAsia"/>
                      <w:color w:val="auto"/>
                      <w:u w:val="none" w:color="auto"/>
                    </w:rPr>
                  </w:pPr>
                  <w:r>
                    <w:rPr>
                      <w:rFonts w:hint="eastAsia"/>
                      <w:color w:val="auto"/>
                      <w:u w:val="none" w:color="auto"/>
                    </w:rPr>
                    <w:t>名称</w:t>
                  </w:r>
                </w:p>
              </w:tc>
              <w:tc>
                <w:tcPr>
                  <w:tcW w:w="915" w:type="dxa"/>
                  <w:noWrap w:val="0"/>
                  <w:vAlign w:val="center"/>
                </w:tcPr>
                <w:p w14:paraId="23CEEFEA">
                  <w:pPr>
                    <w:pStyle w:val="46"/>
                    <w:rPr>
                      <w:rFonts w:hint="eastAsia"/>
                      <w:color w:val="auto"/>
                      <w:u w:val="none" w:color="auto"/>
                    </w:rPr>
                  </w:pPr>
                  <w:r>
                    <w:rPr>
                      <w:rFonts w:hint="eastAsia"/>
                      <w:color w:val="auto"/>
                      <w:u w:val="none" w:color="auto"/>
                    </w:rPr>
                    <w:t>产生量（t/a）</w:t>
                  </w:r>
                </w:p>
              </w:tc>
              <w:tc>
                <w:tcPr>
                  <w:tcW w:w="1080" w:type="dxa"/>
                  <w:noWrap w:val="0"/>
                  <w:vAlign w:val="center"/>
                </w:tcPr>
                <w:p w14:paraId="43CE3138">
                  <w:pPr>
                    <w:pStyle w:val="46"/>
                    <w:rPr>
                      <w:rFonts w:hint="eastAsia"/>
                      <w:color w:val="auto"/>
                      <w:u w:val="none" w:color="auto"/>
                    </w:rPr>
                  </w:pPr>
                  <w:r>
                    <w:rPr>
                      <w:rFonts w:hint="eastAsia"/>
                      <w:color w:val="auto"/>
                      <w:u w:val="none" w:color="auto"/>
                    </w:rPr>
                    <w:t>分类编号</w:t>
                  </w:r>
                </w:p>
              </w:tc>
              <w:tc>
                <w:tcPr>
                  <w:tcW w:w="1480" w:type="dxa"/>
                  <w:noWrap w:val="0"/>
                  <w:vAlign w:val="center"/>
                </w:tcPr>
                <w:p w14:paraId="33A55A27">
                  <w:pPr>
                    <w:pStyle w:val="46"/>
                    <w:rPr>
                      <w:rFonts w:hint="eastAsia"/>
                      <w:color w:val="auto"/>
                      <w:u w:val="none" w:color="auto"/>
                    </w:rPr>
                  </w:pPr>
                  <w:r>
                    <w:rPr>
                      <w:rFonts w:hint="eastAsia"/>
                      <w:color w:val="auto"/>
                      <w:u w:val="none" w:color="auto"/>
                    </w:rPr>
                    <w:t>固废代码</w:t>
                  </w:r>
                </w:p>
              </w:tc>
              <w:tc>
                <w:tcPr>
                  <w:tcW w:w="2053" w:type="dxa"/>
                  <w:noWrap w:val="0"/>
                  <w:vAlign w:val="center"/>
                </w:tcPr>
                <w:p w14:paraId="131E2E91">
                  <w:pPr>
                    <w:pStyle w:val="46"/>
                    <w:rPr>
                      <w:rFonts w:hint="eastAsia"/>
                      <w:color w:val="auto"/>
                      <w:u w:val="none" w:color="auto"/>
                    </w:rPr>
                  </w:pPr>
                  <w:r>
                    <w:rPr>
                      <w:rFonts w:hint="eastAsia"/>
                      <w:color w:val="auto"/>
                      <w:u w:val="none" w:color="auto"/>
                    </w:rPr>
                    <w:t>处理处置方式</w:t>
                  </w:r>
                </w:p>
              </w:tc>
              <w:tc>
                <w:tcPr>
                  <w:tcW w:w="930" w:type="dxa"/>
                  <w:noWrap w:val="0"/>
                  <w:vAlign w:val="center"/>
                </w:tcPr>
                <w:p w14:paraId="31EABBEC">
                  <w:pPr>
                    <w:pStyle w:val="46"/>
                    <w:rPr>
                      <w:rFonts w:hint="eastAsia"/>
                      <w:color w:val="auto"/>
                      <w:u w:val="none" w:color="auto"/>
                    </w:rPr>
                  </w:pPr>
                  <w:r>
                    <w:rPr>
                      <w:rFonts w:hint="eastAsia"/>
                      <w:color w:val="auto"/>
                      <w:u w:val="none" w:color="auto"/>
                    </w:rPr>
                    <w:t>排放量（t/a）</w:t>
                  </w:r>
                </w:p>
              </w:tc>
            </w:tr>
            <w:tr w14:paraId="1E576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dxa"/>
                  <w:noWrap w:val="0"/>
                  <w:vAlign w:val="center"/>
                </w:tcPr>
                <w:p w14:paraId="4CFB723E">
                  <w:pPr>
                    <w:pStyle w:val="46"/>
                    <w:rPr>
                      <w:rFonts w:hint="eastAsia"/>
                      <w:color w:val="auto"/>
                      <w:u w:val="none" w:color="auto"/>
                    </w:rPr>
                  </w:pPr>
                  <w:r>
                    <w:rPr>
                      <w:rFonts w:hint="eastAsia"/>
                      <w:color w:val="auto"/>
                      <w:u w:val="none" w:color="auto"/>
                    </w:rPr>
                    <w:t>1</w:t>
                  </w:r>
                </w:p>
              </w:tc>
              <w:tc>
                <w:tcPr>
                  <w:tcW w:w="1358" w:type="dxa"/>
                  <w:noWrap w:val="0"/>
                  <w:vAlign w:val="center"/>
                </w:tcPr>
                <w:p w14:paraId="77070D9E">
                  <w:pPr>
                    <w:pStyle w:val="46"/>
                    <w:rPr>
                      <w:rFonts w:hint="eastAsia"/>
                      <w:color w:val="auto"/>
                      <w:u w:val="none" w:color="auto"/>
                    </w:rPr>
                  </w:pPr>
                  <w:r>
                    <w:rPr>
                      <w:rFonts w:hint="eastAsia"/>
                      <w:color w:val="auto"/>
                      <w:u w:val="none" w:color="auto"/>
                    </w:rPr>
                    <w:t>不合格电池</w:t>
                  </w:r>
                </w:p>
              </w:tc>
              <w:tc>
                <w:tcPr>
                  <w:tcW w:w="915" w:type="dxa"/>
                  <w:noWrap w:val="0"/>
                  <w:vAlign w:val="center"/>
                </w:tcPr>
                <w:p w14:paraId="41DC9FDB">
                  <w:pPr>
                    <w:pStyle w:val="46"/>
                    <w:rPr>
                      <w:rFonts w:hint="eastAsia" w:eastAsia="宋体"/>
                      <w:color w:val="auto"/>
                      <w:u w:val="none" w:color="auto"/>
                      <w:lang w:eastAsia="zh-CN"/>
                    </w:rPr>
                  </w:pPr>
                  <w:r>
                    <w:rPr>
                      <w:rFonts w:hint="eastAsia"/>
                      <w:color w:val="auto"/>
                      <w:u w:val="none" w:color="auto"/>
                      <w:lang w:val="en-US" w:eastAsia="zh-CN"/>
                    </w:rPr>
                    <w:t>1</w:t>
                  </w:r>
                </w:p>
              </w:tc>
              <w:tc>
                <w:tcPr>
                  <w:tcW w:w="1080" w:type="dxa"/>
                  <w:noWrap w:val="0"/>
                  <w:vAlign w:val="center"/>
                </w:tcPr>
                <w:p w14:paraId="3542FF1C">
                  <w:pPr>
                    <w:pStyle w:val="46"/>
                    <w:rPr>
                      <w:rFonts w:hint="eastAsia"/>
                      <w:color w:val="auto"/>
                      <w:u w:val="none" w:color="auto"/>
                    </w:rPr>
                  </w:pPr>
                  <w:r>
                    <w:rPr>
                      <w:rFonts w:hint="eastAsia"/>
                      <w:color w:val="auto"/>
                      <w:u w:val="none" w:color="auto"/>
                    </w:rPr>
                    <w:t>一般固体废物</w:t>
                  </w:r>
                </w:p>
              </w:tc>
              <w:tc>
                <w:tcPr>
                  <w:tcW w:w="1480" w:type="dxa"/>
                  <w:noWrap w:val="0"/>
                  <w:vAlign w:val="center"/>
                </w:tcPr>
                <w:p w14:paraId="355B6830">
                  <w:pPr>
                    <w:keepNext w:val="0"/>
                    <w:keepLines w:val="0"/>
                    <w:widowControl/>
                    <w:suppressLineNumbers w:val="0"/>
                    <w:spacing w:line="240" w:lineRule="auto"/>
                    <w:ind w:left="0" w:leftChars="0" w:firstLine="0" w:firstLineChars="0"/>
                    <w:jc w:val="left"/>
                    <w:rPr>
                      <w:rFonts w:hint="eastAsia" w:ascii="Times New Roman" w:hAnsi="Times New Roman" w:eastAsia="宋体" w:cs="Times New Roman"/>
                      <w:color w:val="auto"/>
                      <w:spacing w:val="2"/>
                      <w:kern w:val="2"/>
                      <w:sz w:val="21"/>
                      <w:szCs w:val="24"/>
                      <w:u w:val="none" w:color="auto"/>
                      <w:lang w:val="en-US" w:eastAsia="zh-CN" w:bidi="ar-SA"/>
                    </w:rPr>
                  </w:pPr>
                  <w:r>
                    <w:rPr>
                      <w:rFonts w:hint="eastAsia" w:ascii="Times New Roman" w:hAnsi="Times New Roman" w:eastAsia="宋体" w:cs="Times New Roman"/>
                      <w:color w:val="auto"/>
                      <w:spacing w:val="2"/>
                      <w:kern w:val="2"/>
                      <w:sz w:val="21"/>
                      <w:szCs w:val="24"/>
                      <w:u w:val="none" w:color="auto"/>
                      <w:lang w:val="en-US" w:eastAsia="zh-CN" w:bidi="ar-SA"/>
                    </w:rPr>
                    <w:t>900-099-S59</w:t>
                  </w:r>
                </w:p>
              </w:tc>
              <w:tc>
                <w:tcPr>
                  <w:tcW w:w="2053" w:type="dxa"/>
                  <w:noWrap w:val="0"/>
                  <w:vAlign w:val="center"/>
                </w:tcPr>
                <w:p w14:paraId="647A7B50">
                  <w:pPr>
                    <w:pStyle w:val="46"/>
                    <w:rPr>
                      <w:rFonts w:hint="eastAsia"/>
                      <w:color w:val="auto"/>
                      <w:u w:val="none" w:color="auto"/>
                    </w:rPr>
                  </w:pPr>
                  <w:r>
                    <w:rPr>
                      <w:rFonts w:hint="eastAsia"/>
                      <w:color w:val="auto"/>
                      <w:u w:val="none" w:color="auto"/>
                    </w:rPr>
                    <w:t>收集后定期交专业公司回收处理</w:t>
                  </w:r>
                </w:p>
              </w:tc>
              <w:tc>
                <w:tcPr>
                  <w:tcW w:w="930" w:type="dxa"/>
                  <w:noWrap w:val="0"/>
                  <w:vAlign w:val="center"/>
                </w:tcPr>
                <w:p w14:paraId="120F01F4">
                  <w:pPr>
                    <w:pStyle w:val="46"/>
                    <w:rPr>
                      <w:rFonts w:hint="eastAsia"/>
                      <w:color w:val="auto"/>
                      <w:u w:val="none" w:color="auto"/>
                    </w:rPr>
                  </w:pPr>
                  <w:r>
                    <w:rPr>
                      <w:rFonts w:hint="eastAsia"/>
                      <w:color w:val="auto"/>
                      <w:u w:val="none" w:color="auto"/>
                    </w:rPr>
                    <w:t>0</w:t>
                  </w:r>
                </w:p>
              </w:tc>
            </w:tr>
            <w:tr w14:paraId="7F421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dxa"/>
                  <w:noWrap w:val="0"/>
                  <w:vAlign w:val="center"/>
                </w:tcPr>
                <w:p w14:paraId="44D96937">
                  <w:pPr>
                    <w:pStyle w:val="46"/>
                    <w:rPr>
                      <w:rFonts w:hint="eastAsia"/>
                      <w:color w:val="auto"/>
                      <w:u w:val="none" w:color="auto"/>
                    </w:rPr>
                  </w:pPr>
                  <w:r>
                    <w:rPr>
                      <w:rFonts w:hint="eastAsia"/>
                      <w:color w:val="auto"/>
                      <w:u w:val="none" w:color="auto"/>
                    </w:rPr>
                    <w:t>2</w:t>
                  </w:r>
                </w:p>
              </w:tc>
              <w:tc>
                <w:tcPr>
                  <w:tcW w:w="1358" w:type="dxa"/>
                  <w:noWrap w:val="0"/>
                  <w:vAlign w:val="center"/>
                </w:tcPr>
                <w:p w14:paraId="67188EF2">
                  <w:pPr>
                    <w:pStyle w:val="46"/>
                    <w:rPr>
                      <w:rFonts w:hint="eastAsia"/>
                      <w:color w:val="auto"/>
                      <w:u w:val="none" w:color="auto"/>
                    </w:rPr>
                  </w:pPr>
                  <w:r>
                    <w:rPr>
                      <w:rFonts w:hint="eastAsia"/>
                      <w:color w:val="auto"/>
                      <w:u w:val="none" w:color="auto"/>
                    </w:rPr>
                    <w:t>边角料</w:t>
                  </w:r>
                </w:p>
              </w:tc>
              <w:tc>
                <w:tcPr>
                  <w:tcW w:w="915" w:type="dxa"/>
                  <w:noWrap w:val="0"/>
                  <w:vAlign w:val="center"/>
                </w:tcPr>
                <w:p w14:paraId="38A88280">
                  <w:pPr>
                    <w:pStyle w:val="46"/>
                    <w:rPr>
                      <w:rFonts w:hint="eastAsia"/>
                      <w:color w:val="auto"/>
                      <w:u w:val="none" w:color="auto"/>
                    </w:rPr>
                  </w:pPr>
                  <w:r>
                    <w:rPr>
                      <w:rFonts w:hint="eastAsia"/>
                      <w:color w:val="auto"/>
                      <w:u w:val="none" w:color="auto"/>
                      <w:lang w:val="en-US" w:eastAsia="zh-CN"/>
                    </w:rPr>
                    <w:t>0</w:t>
                  </w:r>
                  <w:r>
                    <w:rPr>
                      <w:rFonts w:hint="eastAsia"/>
                      <w:color w:val="auto"/>
                      <w:u w:val="none" w:color="auto"/>
                    </w:rPr>
                    <w:t>.5</w:t>
                  </w:r>
                </w:p>
              </w:tc>
              <w:tc>
                <w:tcPr>
                  <w:tcW w:w="1080" w:type="dxa"/>
                  <w:noWrap w:val="0"/>
                  <w:vAlign w:val="center"/>
                </w:tcPr>
                <w:p w14:paraId="5DFA4923">
                  <w:pPr>
                    <w:pStyle w:val="46"/>
                    <w:rPr>
                      <w:rFonts w:hint="eastAsia"/>
                      <w:color w:val="auto"/>
                      <w:u w:val="none" w:color="auto"/>
                    </w:rPr>
                  </w:pPr>
                  <w:r>
                    <w:rPr>
                      <w:rFonts w:hint="eastAsia"/>
                      <w:color w:val="auto"/>
                      <w:u w:val="none" w:color="auto"/>
                    </w:rPr>
                    <w:t>一般固体废物</w:t>
                  </w:r>
                </w:p>
              </w:tc>
              <w:tc>
                <w:tcPr>
                  <w:tcW w:w="1480" w:type="dxa"/>
                  <w:noWrap w:val="0"/>
                  <w:vAlign w:val="center"/>
                </w:tcPr>
                <w:p w14:paraId="49CC204F">
                  <w:pPr>
                    <w:keepNext w:val="0"/>
                    <w:keepLines w:val="0"/>
                    <w:widowControl/>
                    <w:suppressLineNumbers w:val="0"/>
                    <w:spacing w:line="240" w:lineRule="auto"/>
                    <w:ind w:left="0" w:leftChars="0" w:firstLine="0" w:firstLineChars="0"/>
                    <w:jc w:val="left"/>
                    <w:rPr>
                      <w:rFonts w:hint="eastAsia" w:ascii="Times New Roman" w:hAnsi="Times New Roman" w:eastAsia="宋体" w:cs="Times New Roman"/>
                      <w:color w:val="auto"/>
                      <w:spacing w:val="2"/>
                      <w:kern w:val="2"/>
                      <w:sz w:val="21"/>
                      <w:szCs w:val="24"/>
                      <w:u w:val="none" w:color="auto"/>
                      <w:lang w:val="en-US" w:eastAsia="zh-CN" w:bidi="ar-SA"/>
                    </w:rPr>
                  </w:pPr>
                  <w:r>
                    <w:rPr>
                      <w:rFonts w:hint="eastAsia" w:ascii="Times New Roman" w:hAnsi="Times New Roman" w:eastAsia="宋体" w:cs="Times New Roman"/>
                      <w:color w:val="auto"/>
                      <w:spacing w:val="2"/>
                      <w:kern w:val="2"/>
                      <w:sz w:val="21"/>
                      <w:szCs w:val="24"/>
                      <w:u w:val="none" w:color="auto"/>
                      <w:lang w:val="en-US" w:eastAsia="zh-CN" w:bidi="ar-SA"/>
                    </w:rPr>
                    <w:t>900-002-S17</w:t>
                  </w:r>
                </w:p>
              </w:tc>
              <w:tc>
                <w:tcPr>
                  <w:tcW w:w="2053" w:type="dxa"/>
                  <w:noWrap w:val="0"/>
                  <w:vAlign w:val="center"/>
                </w:tcPr>
                <w:p w14:paraId="45513ED5">
                  <w:pPr>
                    <w:pStyle w:val="46"/>
                    <w:rPr>
                      <w:rFonts w:hint="eastAsia"/>
                      <w:color w:val="auto"/>
                      <w:u w:val="none" w:color="auto"/>
                    </w:rPr>
                  </w:pPr>
                  <w:r>
                    <w:rPr>
                      <w:rFonts w:hint="eastAsia"/>
                      <w:color w:val="auto"/>
                      <w:u w:val="none" w:color="auto"/>
                    </w:rPr>
                    <w:t>收集后定期交专业公司回收处理</w:t>
                  </w:r>
                </w:p>
              </w:tc>
              <w:tc>
                <w:tcPr>
                  <w:tcW w:w="930" w:type="dxa"/>
                  <w:noWrap w:val="0"/>
                  <w:vAlign w:val="center"/>
                </w:tcPr>
                <w:p w14:paraId="06EAC6A9">
                  <w:pPr>
                    <w:pStyle w:val="46"/>
                    <w:rPr>
                      <w:rFonts w:hint="eastAsia"/>
                      <w:color w:val="auto"/>
                      <w:u w:val="none" w:color="auto"/>
                    </w:rPr>
                  </w:pPr>
                  <w:r>
                    <w:rPr>
                      <w:rFonts w:hint="eastAsia"/>
                      <w:color w:val="auto"/>
                      <w:u w:val="none" w:color="auto"/>
                    </w:rPr>
                    <w:t>0</w:t>
                  </w:r>
                </w:p>
              </w:tc>
            </w:tr>
            <w:tr w14:paraId="75997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dxa"/>
                  <w:noWrap w:val="0"/>
                  <w:vAlign w:val="center"/>
                </w:tcPr>
                <w:p w14:paraId="68FA53D3">
                  <w:pPr>
                    <w:pStyle w:val="46"/>
                    <w:rPr>
                      <w:rFonts w:hint="eastAsia"/>
                      <w:color w:val="auto"/>
                      <w:u w:val="none" w:color="auto"/>
                    </w:rPr>
                  </w:pPr>
                  <w:r>
                    <w:rPr>
                      <w:rFonts w:hint="eastAsia"/>
                      <w:color w:val="auto"/>
                      <w:u w:val="none" w:color="auto"/>
                    </w:rPr>
                    <w:t>3</w:t>
                  </w:r>
                </w:p>
              </w:tc>
              <w:tc>
                <w:tcPr>
                  <w:tcW w:w="1358" w:type="dxa"/>
                  <w:noWrap w:val="0"/>
                  <w:vAlign w:val="center"/>
                </w:tcPr>
                <w:p w14:paraId="5F14179C">
                  <w:pPr>
                    <w:pStyle w:val="46"/>
                    <w:rPr>
                      <w:rFonts w:hint="eastAsia"/>
                      <w:color w:val="auto"/>
                      <w:u w:val="none" w:color="auto"/>
                    </w:rPr>
                  </w:pPr>
                  <w:r>
                    <w:rPr>
                      <w:rFonts w:hint="eastAsia"/>
                      <w:color w:val="auto"/>
                      <w:u w:val="none" w:color="auto"/>
                    </w:rPr>
                    <w:t>包装废料</w:t>
                  </w:r>
                </w:p>
              </w:tc>
              <w:tc>
                <w:tcPr>
                  <w:tcW w:w="915" w:type="dxa"/>
                  <w:noWrap w:val="0"/>
                  <w:vAlign w:val="center"/>
                </w:tcPr>
                <w:p w14:paraId="6F671C4C">
                  <w:pPr>
                    <w:pStyle w:val="46"/>
                    <w:rPr>
                      <w:rFonts w:hint="eastAsia"/>
                      <w:color w:val="auto"/>
                      <w:u w:val="none" w:color="auto"/>
                    </w:rPr>
                  </w:pPr>
                  <w:r>
                    <w:rPr>
                      <w:rFonts w:hint="eastAsia"/>
                      <w:color w:val="auto"/>
                      <w:u w:val="none" w:color="auto"/>
                    </w:rPr>
                    <w:t>0.3</w:t>
                  </w:r>
                </w:p>
              </w:tc>
              <w:tc>
                <w:tcPr>
                  <w:tcW w:w="1080" w:type="dxa"/>
                  <w:noWrap w:val="0"/>
                  <w:vAlign w:val="center"/>
                </w:tcPr>
                <w:p w14:paraId="00D80647">
                  <w:pPr>
                    <w:pStyle w:val="46"/>
                    <w:rPr>
                      <w:rFonts w:hint="eastAsia"/>
                      <w:color w:val="auto"/>
                      <w:u w:val="none" w:color="auto"/>
                    </w:rPr>
                  </w:pPr>
                  <w:r>
                    <w:rPr>
                      <w:rFonts w:hint="eastAsia"/>
                      <w:color w:val="auto"/>
                      <w:u w:val="none" w:color="auto"/>
                    </w:rPr>
                    <w:t>一般固体废物</w:t>
                  </w:r>
                </w:p>
              </w:tc>
              <w:tc>
                <w:tcPr>
                  <w:tcW w:w="1480" w:type="dxa"/>
                  <w:noWrap w:val="0"/>
                  <w:vAlign w:val="center"/>
                </w:tcPr>
                <w:p w14:paraId="01D902A2">
                  <w:pPr>
                    <w:keepNext w:val="0"/>
                    <w:keepLines w:val="0"/>
                    <w:widowControl/>
                    <w:suppressLineNumbers w:val="0"/>
                    <w:spacing w:line="240" w:lineRule="auto"/>
                    <w:ind w:left="0" w:leftChars="0" w:firstLine="0" w:firstLineChars="0"/>
                    <w:jc w:val="left"/>
                    <w:rPr>
                      <w:rFonts w:hint="eastAsia" w:ascii="Times New Roman" w:hAnsi="Times New Roman" w:eastAsia="宋体" w:cs="Times New Roman"/>
                      <w:color w:val="auto"/>
                      <w:spacing w:val="2"/>
                      <w:kern w:val="2"/>
                      <w:sz w:val="21"/>
                      <w:szCs w:val="24"/>
                      <w:u w:val="none" w:color="auto"/>
                      <w:lang w:val="en-US" w:eastAsia="zh-CN" w:bidi="ar-SA"/>
                    </w:rPr>
                  </w:pPr>
                  <w:r>
                    <w:rPr>
                      <w:rFonts w:hint="eastAsia" w:ascii="Times New Roman" w:hAnsi="Times New Roman" w:eastAsia="宋体" w:cs="Times New Roman"/>
                      <w:color w:val="auto"/>
                      <w:spacing w:val="2"/>
                      <w:kern w:val="2"/>
                      <w:sz w:val="21"/>
                      <w:szCs w:val="24"/>
                      <w:u w:val="none" w:color="auto"/>
                      <w:lang w:val="en-US" w:eastAsia="zh-CN" w:bidi="ar-SA"/>
                    </w:rPr>
                    <w:t>900-005-S17、900-003-S17</w:t>
                  </w:r>
                </w:p>
              </w:tc>
              <w:tc>
                <w:tcPr>
                  <w:tcW w:w="2053" w:type="dxa"/>
                  <w:noWrap w:val="0"/>
                  <w:vAlign w:val="center"/>
                </w:tcPr>
                <w:p w14:paraId="6EA776AA">
                  <w:pPr>
                    <w:pStyle w:val="46"/>
                    <w:rPr>
                      <w:rFonts w:hint="eastAsia"/>
                      <w:color w:val="auto"/>
                      <w:u w:val="none" w:color="auto"/>
                    </w:rPr>
                  </w:pPr>
                  <w:r>
                    <w:rPr>
                      <w:rFonts w:hint="eastAsia"/>
                      <w:color w:val="auto"/>
                      <w:u w:val="none" w:color="auto"/>
                    </w:rPr>
                    <w:t>收集后送至收集箱中，外卖综合利用</w:t>
                  </w:r>
                </w:p>
              </w:tc>
              <w:tc>
                <w:tcPr>
                  <w:tcW w:w="930" w:type="dxa"/>
                  <w:noWrap w:val="0"/>
                  <w:vAlign w:val="center"/>
                </w:tcPr>
                <w:p w14:paraId="67D62469">
                  <w:pPr>
                    <w:pStyle w:val="46"/>
                    <w:rPr>
                      <w:rFonts w:hint="eastAsia"/>
                      <w:color w:val="auto"/>
                      <w:u w:val="none" w:color="auto"/>
                    </w:rPr>
                  </w:pPr>
                  <w:r>
                    <w:rPr>
                      <w:rFonts w:hint="eastAsia"/>
                      <w:color w:val="auto"/>
                      <w:u w:val="none" w:color="auto"/>
                    </w:rPr>
                    <w:t>0</w:t>
                  </w:r>
                </w:p>
              </w:tc>
            </w:tr>
            <w:tr w14:paraId="254A3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dxa"/>
                  <w:noWrap w:val="0"/>
                  <w:vAlign w:val="center"/>
                </w:tcPr>
                <w:p w14:paraId="687FD1AB">
                  <w:pPr>
                    <w:pStyle w:val="46"/>
                    <w:rPr>
                      <w:rFonts w:hint="eastAsia"/>
                      <w:color w:val="auto"/>
                      <w:u w:val="none" w:color="auto"/>
                    </w:rPr>
                  </w:pPr>
                  <w:r>
                    <w:rPr>
                      <w:rFonts w:hint="eastAsia"/>
                      <w:color w:val="auto"/>
                      <w:u w:val="none" w:color="auto"/>
                    </w:rPr>
                    <w:t>4</w:t>
                  </w:r>
                </w:p>
              </w:tc>
              <w:tc>
                <w:tcPr>
                  <w:tcW w:w="1358" w:type="dxa"/>
                  <w:noWrap w:val="0"/>
                  <w:vAlign w:val="center"/>
                </w:tcPr>
                <w:p w14:paraId="7B4D00F6">
                  <w:pPr>
                    <w:pStyle w:val="46"/>
                    <w:rPr>
                      <w:rFonts w:hint="eastAsia"/>
                      <w:color w:val="auto"/>
                      <w:u w:val="none" w:color="auto"/>
                    </w:rPr>
                  </w:pPr>
                  <w:r>
                    <w:rPr>
                      <w:rFonts w:hint="eastAsia"/>
                      <w:color w:val="auto"/>
                      <w:u w:val="none" w:color="auto"/>
                    </w:rPr>
                    <w:t>NMP回收液</w:t>
                  </w:r>
                </w:p>
              </w:tc>
              <w:tc>
                <w:tcPr>
                  <w:tcW w:w="915" w:type="dxa"/>
                  <w:noWrap w:val="0"/>
                  <w:vAlign w:val="center"/>
                </w:tcPr>
                <w:p w14:paraId="26EA2FE2">
                  <w:pPr>
                    <w:pStyle w:val="46"/>
                    <w:rPr>
                      <w:rFonts w:hint="default" w:eastAsia="宋体"/>
                      <w:color w:val="auto"/>
                      <w:u w:val="none" w:color="auto"/>
                      <w:lang w:val="en-US" w:eastAsia="zh-CN"/>
                    </w:rPr>
                  </w:pPr>
                  <w:r>
                    <w:rPr>
                      <w:rFonts w:hint="eastAsia"/>
                      <w:color w:val="auto"/>
                      <w:u w:val="none" w:color="auto"/>
                      <w:lang w:val="en-US" w:eastAsia="zh-CN"/>
                    </w:rPr>
                    <w:t>11.674</w:t>
                  </w:r>
                </w:p>
              </w:tc>
              <w:tc>
                <w:tcPr>
                  <w:tcW w:w="1080" w:type="dxa"/>
                  <w:noWrap w:val="0"/>
                  <w:vAlign w:val="center"/>
                </w:tcPr>
                <w:p w14:paraId="7181A397">
                  <w:pPr>
                    <w:pStyle w:val="46"/>
                    <w:rPr>
                      <w:rFonts w:hint="eastAsia"/>
                      <w:color w:val="auto"/>
                      <w:u w:val="none" w:color="auto"/>
                    </w:rPr>
                  </w:pPr>
                  <w:r>
                    <w:rPr>
                      <w:rFonts w:hint="eastAsia"/>
                      <w:color w:val="auto"/>
                      <w:u w:val="none" w:color="auto"/>
                    </w:rPr>
                    <w:t>一般固体废物</w:t>
                  </w:r>
                </w:p>
              </w:tc>
              <w:tc>
                <w:tcPr>
                  <w:tcW w:w="1480" w:type="dxa"/>
                  <w:noWrap w:val="0"/>
                  <w:vAlign w:val="center"/>
                </w:tcPr>
                <w:p w14:paraId="2BF6AE0C">
                  <w:pPr>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pacing w:val="2"/>
                      <w:kern w:val="2"/>
                      <w:sz w:val="21"/>
                      <w:szCs w:val="24"/>
                      <w:u w:val="none" w:color="auto"/>
                      <w:lang w:val="en-US" w:eastAsia="zh-CN" w:bidi="ar-SA"/>
                    </w:rPr>
                  </w:pPr>
                  <w:r>
                    <w:rPr>
                      <w:rFonts w:hint="eastAsia" w:ascii="Times New Roman" w:hAnsi="Times New Roman" w:eastAsia="宋体" w:cs="Times New Roman"/>
                      <w:color w:val="auto"/>
                      <w:spacing w:val="2"/>
                      <w:kern w:val="2"/>
                      <w:sz w:val="21"/>
                      <w:szCs w:val="24"/>
                      <w:u w:val="none" w:color="auto"/>
                      <w:lang w:val="en-US" w:eastAsia="zh-CN" w:bidi="ar-SA"/>
                    </w:rPr>
                    <w:t>900-099-S59</w:t>
                  </w:r>
                </w:p>
              </w:tc>
              <w:tc>
                <w:tcPr>
                  <w:tcW w:w="2053" w:type="dxa"/>
                  <w:noWrap w:val="0"/>
                  <w:vAlign w:val="center"/>
                </w:tcPr>
                <w:p w14:paraId="2FDC8C88">
                  <w:pPr>
                    <w:pStyle w:val="46"/>
                    <w:rPr>
                      <w:rFonts w:hint="eastAsia"/>
                      <w:color w:val="auto"/>
                      <w:u w:val="none" w:color="auto"/>
                    </w:rPr>
                  </w:pPr>
                  <w:r>
                    <w:rPr>
                      <w:rFonts w:hint="eastAsia"/>
                      <w:color w:val="auto"/>
                      <w:u w:val="none" w:color="auto"/>
                    </w:rPr>
                    <w:t>定期交供货厂家回收</w:t>
                  </w:r>
                  <w:r>
                    <w:rPr>
                      <w:rFonts w:hint="eastAsia"/>
                      <w:color w:val="auto"/>
                      <w:u w:val="none" w:color="auto"/>
                      <w:lang w:eastAsia="zh-CN"/>
                    </w:rPr>
                    <w:t>综合利用</w:t>
                  </w:r>
                </w:p>
              </w:tc>
              <w:tc>
                <w:tcPr>
                  <w:tcW w:w="930" w:type="dxa"/>
                  <w:noWrap w:val="0"/>
                  <w:vAlign w:val="center"/>
                </w:tcPr>
                <w:p w14:paraId="091F90E3">
                  <w:pPr>
                    <w:pStyle w:val="46"/>
                    <w:rPr>
                      <w:rFonts w:hint="eastAsia"/>
                      <w:color w:val="auto"/>
                      <w:u w:val="none" w:color="auto"/>
                    </w:rPr>
                  </w:pPr>
                  <w:r>
                    <w:rPr>
                      <w:rFonts w:hint="eastAsia"/>
                      <w:color w:val="auto"/>
                      <w:u w:val="none" w:color="auto"/>
                    </w:rPr>
                    <w:t>0</w:t>
                  </w:r>
                </w:p>
              </w:tc>
            </w:tr>
            <w:tr w14:paraId="2719F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dxa"/>
                  <w:noWrap w:val="0"/>
                  <w:vAlign w:val="center"/>
                </w:tcPr>
                <w:p w14:paraId="2CA93265">
                  <w:pPr>
                    <w:pStyle w:val="46"/>
                    <w:rPr>
                      <w:rFonts w:hint="eastAsia"/>
                      <w:color w:val="auto"/>
                      <w:u w:val="none" w:color="auto"/>
                    </w:rPr>
                  </w:pPr>
                  <w:r>
                    <w:rPr>
                      <w:rFonts w:hint="eastAsia"/>
                      <w:color w:val="auto"/>
                      <w:u w:val="none" w:color="auto"/>
                    </w:rPr>
                    <w:t>5</w:t>
                  </w:r>
                </w:p>
              </w:tc>
              <w:tc>
                <w:tcPr>
                  <w:tcW w:w="1358" w:type="dxa"/>
                  <w:noWrap w:val="0"/>
                  <w:vAlign w:val="center"/>
                </w:tcPr>
                <w:p w14:paraId="18C8C692">
                  <w:pPr>
                    <w:pStyle w:val="46"/>
                    <w:rPr>
                      <w:rFonts w:hint="eastAsia"/>
                      <w:color w:val="auto"/>
                      <w:u w:val="none" w:color="auto"/>
                    </w:rPr>
                  </w:pPr>
                  <w:r>
                    <w:rPr>
                      <w:rFonts w:hint="eastAsia"/>
                      <w:color w:val="auto"/>
                      <w:u w:val="none" w:color="auto"/>
                    </w:rPr>
                    <w:t>原料空桶</w:t>
                  </w:r>
                </w:p>
              </w:tc>
              <w:tc>
                <w:tcPr>
                  <w:tcW w:w="915" w:type="dxa"/>
                  <w:noWrap w:val="0"/>
                  <w:vAlign w:val="center"/>
                </w:tcPr>
                <w:p w14:paraId="161995D6">
                  <w:pPr>
                    <w:pStyle w:val="46"/>
                    <w:rPr>
                      <w:rFonts w:hint="eastAsia"/>
                      <w:color w:val="auto"/>
                      <w:u w:val="none" w:color="auto"/>
                    </w:rPr>
                  </w:pPr>
                  <w:r>
                    <w:rPr>
                      <w:rFonts w:hint="eastAsia"/>
                      <w:color w:val="auto"/>
                      <w:u w:val="none" w:color="auto"/>
                    </w:rPr>
                    <w:t>0.8</w:t>
                  </w:r>
                </w:p>
              </w:tc>
              <w:tc>
                <w:tcPr>
                  <w:tcW w:w="1080" w:type="dxa"/>
                  <w:noWrap w:val="0"/>
                  <w:vAlign w:val="center"/>
                </w:tcPr>
                <w:p w14:paraId="4B29B041">
                  <w:pPr>
                    <w:pStyle w:val="46"/>
                    <w:rPr>
                      <w:rFonts w:hint="eastAsia"/>
                      <w:color w:val="auto"/>
                      <w:u w:val="none" w:color="auto"/>
                    </w:rPr>
                  </w:pPr>
                  <w:r>
                    <w:rPr>
                      <w:rFonts w:hint="eastAsia"/>
                      <w:color w:val="auto"/>
                      <w:u w:val="none" w:color="auto"/>
                    </w:rPr>
                    <w:t>一般固体废物</w:t>
                  </w:r>
                </w:p>
              </w:tc>
              <w:tc>
                <w:tcPr>
                  <w:tcW w:w="1480" w:type="dxa"/>
                  <w:noWrap w:val="0"/>
                  <w:vAlign w:val="center"/>
                </w:tcPr>
                <w:p w14:paraId="4EE1145A">
                  <w:pPr>
                    <w:keepNext w:val="0"/>
                    <w:keepLines w:val="0"/>
                    <w:widowControl/>
                    <w:suppressLineNumbers w:val="0"/>
                    <w:spacing w:line="240" w:lineRule="auto"/>
                    <w:ind w:left="0" w:leftChars="0" w:firstLine="0" w:firstLineChars="0"/>
                    <w:jc w:val="center"/>
                    <w:rPr>
                      <w:rFonts w:hint="eastAsia" w:ascii="Times New Roman" w:hAnsi="Times New Roman" w:eastAsia="宋体" w:cs="Times New Roman"/>
                      <w:color w:val="auto"/>
                      <w:spacing w:val="2"/>
                      <w:kern w:val="2"/>
                      <w:sz w:val="21"/>
                      <w:szCs w:val="24"/>
                      <w:u w:val="none" w:color="auto"/>
                      <w:lang w:val="en-US" w:eastAsia="zh-CN" w:bidi="ar-SA"/>
                    </w:rPr>
                  </w:pPr>
                  <w:r>
                    <w:rPr>
                      <w:rFonts w:hint="eastAsia" w:ascii="Times New Roman" w:hAnsi="Times New Roman" w:eastAsia="宋体" w:cs="Times New Roman"/>
                      <w:color w:val="auto"/>
                      <w:spacing w:val="2"/>
                      <w:kern w:val="2"/>
                      <w:sz w:val="21"/>
                      <w:szCs w:val="24"/>
                      <w:u w:val="none" w:color="auto"/>
                      <w:lang w:val="en-US" w:eastAsia="zh-CN" w:bidi="ar-SA"/>
                    </w:rPr>
                    <w:t>900-003-S17</w:t>
                  </w:r>
                </w:p>
              </w:tc>
              <w:tc>
                <w:tcPr>
                  <w:tcW w:w="2053" w:type="dxa"/>
                  <w:noWrap w:val="0"/>
                  <w:vAlign w:val="center"/>
                </w:tcPr>
                <w:p w14:paraId="4E845DE8">
                  <w:pPr>
                    <w:pStyle w:val="46"/>
                    <w:rPr>
                      <w:rFonts w:hint="eastAsia"/>
                      <w:color w:val="auto"/>
                      <w:u w:val="none" w:color="auto"/>
                    </w:rPr>
                  </w:pPr>
                  <w:r>
                    <w:rPr>
                      <w:rFonts w:hint="eastAsia"/>
                      <w:color w:val="auto"/>
                      <w:u w:val="none" w:color="auto"/>
                    </w:rPr>
                    <w:t>在厂内原料仓库暂存，定期交供货厂家回收</w:t>
                  </w:r>
                </w:p>
              </w:tc>
              <w:tc>
                <w:tcPr>
                  <w:tcW w:w="930" w:type="dxa"/>
                  <w:noWrap w:val="0"/>
                  <w:vAlign w:val="center"/>
                </w:tcPr>
                <w:p w14:paraId="7287ED3B">
                  <w:pPr>
                    <w:pStyle w:val="46"/>
                    <w:rPr>
                      <w:rFonts w:hint="eastAsia"/>
                      <w:color w:val="auto"/>
                      <w:u w:val="none" w:color="auto"/>
                    </w:rPr>
                  </w:pPr>
                  <w:r>
                    <w:rPr>
                      <w:rFonts w:hint="eastAsia"/>
                      <w:color w:val="auto"/>
                      <w:u w:val="none" w:color="auto"/>
                    </w:rPr>
                    <w:t>0</w:t>
                  </w:r>
                </w:p>
              </w:tc>
            </w:tr>
            <w:tr w14:paraId="0417B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dxa"/>
                  <w:noWrap w:val="0"/>
                  <w:vAlign w:val="center"/>
                </w:tcPr>
                <w:p w14:paraId="3F55A3E2">
                  <w:pPr>
                    <w:pStyle w:val="46"/>
                    <w:rPr>
                      <w:rFonts w:hint="eastAsia"/>
                      <w:color w:val="auto"/>
                      <w:u w:val="none" w:color="auto"/>
                    </w:rPr>
                  </w:pPr>
                  <w:r>
                    <w:rPr>
                      <w:rFonts w:hint="eastAsia"/>
                      <w:color w:val="auto"/>
                      <w:u w:val="none" w:color="auto"/>
                    </w:rPr>
                    <w:t>6</w:t>
                  </w:r>
                </w:p>
              </w:tc>
              <w:tc>
                <w:tcPr>
                  <w:tcW w:w="1358" w:type="dxa"/>
                  <w:noWrap w:val="0"/>
                  <w:vAlign w:val="center"/>
                </w:tcPr>
                <w:p w14:paraId="606F1369">
                  <w:pPr>
                    <w:pStyle w:val="46"/>
                    <w:rPr>
                      <w:rFonts w:hint="eastAsia" w:eastAsia="宋体"/>
                      <w:color w:val="auto"/>
                      <w:u w:val="none" w:color="auto"/>
                      <w:lang w:eastAsia="zh-CN"/>
                    </w:rPr>
                  </w:pPr>
                  <w:r>
                    <w:rPr>
                      <w:rFonts w:hint="eastAsia"/>
                      <w:color w:val="auto"/>
                      <w:u w:val="none" w:color="auto"/>
                    </w:rPr>
                    <w:t>纯水制备废</w:t>
                  </w:r>
                  <w:r>
                    <w:rPr>
                      <w:rFonts w:hint="eastAsia"/>
                      <w:color w:val="auto"/>
                      <w:u w:val="none" w:color="auto"/>
                      <w:lang w:eastAsia="zh-CN"/>
                    </w:rPr>
                    <w:t>滤芯</w:t>
                  </w:r>
                </w:p>
              </w:tc>
              <w:tc>
                <w:tcPr>
                  <w:tcW w:w="915" w:type="dxa"/>
                  <w:noWrap w:val="0"/>
                  <w:vAlign w:val="center"/>
                </w:tcPr>
                <w:p w14:paraId="56CB075B">
                  <w:pPr>
                    <w:pStyle w:val="46"/>
                    <w:rPr>
                      <w:rFonts w:hint="eastAsia"/>
                      <w:color w:val="auto"/>
                      <w:u w:val="none" w:color="auto"/>
                    </w:rPr>
                  </w:pPr>
                  <w:r>
                    <w:rPr>
                      <w:rFonts w:hint="eastAsia"/>
                      <w:color w:val="auto"/>
                      <w:u w:val="none" w:color="auto"/>
                    </w:rPr>
                    <w:t>0.1</w:t>
                  </w:r>
                </w:p>
              </w:tc>
              <w:tc>
                <w:tcPr>
                  <w:tcW w:w="1080" w:type="dxa"/>
                  <w:noWrap w:val="0"/>
                  <w:vAlign w:val="center"/>
                </w:tcPr>
                <w:p w14:paraId="598057DF">
                  <w:pPr>
                    <w:pStyle w:val="46"/>
                    <w:rPr>
                      <w:rFonts w:hint="eastAsia"/>
                      <w:color w:val="auto"/>
                      <w:u w:val="none" w:color="auto"/>
                    </w:rPr>
                  </w:pPr>
                  <w:r>
                    <w:rPr>
                      <w:rFonts w:hint="eastAsia"/>
                      <w:color w:val="auto"/>
                      <w:u w:val="none" w:color="auto"/>
                    </w:rPr>
                    <w:t>一般固体废物</w:t>
                  </w:r>
                </w:p>
              </w:tc>
              <w:tc>
                <w:tcPr>
                  <w:tcW w:w="1480" w:type="dxa"/>
                  <w:noWrap w:val="0"/>
                  <w:vAlign w:val="center"/>
                </w:tcPr>
                <w:p w14:paraId="63966296">
                  <w:pPr>
                    <w:keepNext w:val="0"/>
                    <w:keepLines w:val="0"/>
                    <w:widowControl/>
                    <w:suppressLineNumbers w:val="0"/>
                    <w:spacing w:line="240" w:lineRule="auto"/>
                    <w:ind w:left="0" w:leftChars="0" w:firstLine="0" w:firstLineChars="0"/>
                    <w:jc w:val="center"/>
                    <w:rPr>
                      <w:rFonts w:hint="eastAsia" w:ascii="Times New Roman" w:hAnsi="Times New Roman" w:eastAsia="宋体" w:cs="Times New Roman"/>
                      <w:color w:val="auto"/>
                      <w:spacing w:val="2"/>
                      <w:kern w:val="2"/>
                      <w:sz w:val="21"/>
                      <w:szCs w:val="24"/>
                      <w:u w:val="none" w:color="auto"/>
                      <w:lang w:val="en-US" w:eastAsia="zh-CN" w:bidi="ar-SA"/>
                    </w:rPr>
                  </w:pPr>
                  <w:r>
                    <w:rPr>
                      <w:rFonts w:hint="eastAsia" w:ascii="Times New Roman" w:hAnsi="Times New Roman" w:eastAsia="宋体" w:cs="Times New Roman"/>
                      <w:color w:val="auto"/>
                      <w:spacing w:val="2"/>
                      <w:kern w:val="2"/>
                      <w:sz w:val="21"/>
                      <w:szCs w:val="24"/>
                      <w:u w:val="none" w:color="auto"/>
                      <w:lang w:val="en-US" w:eastAsia="zh-CN" w:bidi="ar-SA"/>
                    </w:rPr>
                    <w:t>900-009-S59</w:t>
                  </w:r>
                </w:p>
              </w:tc>
              <w:tc>
                <w:tcPr>
                  <w:tcW w:w="2053" w:type="dxa"/>
                  <w:noWrap w:val="0"/>
                  <w:vAlign w:val="center"/>
                </w:tcPr>
                <w:p w14:paraId="0514E8A2">
                  <w:pPr>
                    <w:pStyle w:val="46"/>
                    <w:rPr>
                      <w:rFonts w:hint="eastAsia"/>
                      <w:color w:val="auto"/>
                      <w:u w:val="none" w:color="auto"/>
                    </w:rPr>
                  </w:pPr>
                  <w:r>
                    <w:rPr>
                      <w:rFonts w:hint="eastAsia"/>
                      <w:color w:val="auto"/>
                      <w:u w:val="none" w:color="auto"/>
                    </w:rPr>
                    <w:t>经统一收集后由厂家回收处理</w:t>
                  </w:r>
                </w:p>
              </w:tc>
              <w:tc>
                <w:tcPr>
                  <w:tcW w:w="930" w:type="dxa"/>
                  <w:noWrap w:val="0"/>
                  <w:vAlign w:val="center"/>
                </w:tcPr>
                <w:p w14:paraId="03844FC7">
                  <w:pPr>
                    <w:pStyle w:val="46"/>
                    <w:rPr>
                      <w:rFonts w:hint="eastAsia"/>
                      <w:color w:val="auto"/>
                      <w:u w:val="none" w:color="auto"/>
                    </w:rPr>
                  </w:pPr>
                  <w:r>
                    <w:rPr>
                      <w:rFonts w:hint="eastAsia"/>
                      <w:color w:val="auto"/>
                      <w:u w:val="none" w:color="auto"/>
                    </w:rPr>
                    <w:t>0</w:t>
                  </w:r>
                </w:p>
              </w:tc>
            </w:tr>
            <w:tr w14:paraId="6AB0E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dxa"/>
                  <w:shd w:val="clear" w:color="auto" w:fill="auto"/>
                  <w:noWrap w:val="0"/>
                  <w:vAlign w:val="center"/>
                </w:tcPr>
                <w:p w14:paraId="36A64102">
                  <w:pPr>
                    <w:pStyle w:val="46"/>
                    <w:ind w:firstLine="0" w:firstLineChars="0"/>
                    <w:rPr>
                      <w:rFonts w:hint="eastAsia" w:ascii="Times New Roman" w:hAnsi="Times New Roman" w:eastAsia="宋体" w:cs="Times New Roman"/>
                      <w:color w:val="auto"/>
                      <w:spacing w:val="2"/>
                      <w:kern w:val="2"/>
                      <w:sz w:val="21"/>
                      <w:szCs w:val="24"/>
                      <w:u w:val="none" w:color="auto"/>
                      <w:lang w:val="en-US" w:eastAsia="zh-CN" w:bidi="ar-SA"/>
                    </w:rPr>
                  </w:pPr>
                  <w:r>
                    <w:rPr>
                      <w:rFonts w:hint="eastAsia"/>
                      <w:color w:val="auto"/>
                      <w:u w:val="none" w:color="auto"/>
                    </w:rPr>
                    <w:t>7</w:t>
                  </w:r>
                </w:p>
              </w:tc>
              <w:tc>
                <w:tcPr>
                  <w:tcW w:w="1358" w:type="dxa"/>
                  <w:noWrap w:val="0"/>
                  <w:vAlign w:val="center"/>
                </w:tcPr>
                <w:p w14:paraId="70645A07">
                  <w:pPr>
                    <w:pStyle w:val="46"/>
                    <w:rPr>
                      <w:rFonts w:hint="default" w:eastAsia="宋体"/>
                      <w:color w:val="auto"/>
                      <w:u w:val="none" w:color="auto"/>
                      <w:lang w:val="en-US" w:eastAsia="zh-CN"/>
                    </w:rPr>
                  </w:pPr>
                  <w:r>
                    <w:rPr>
                      <w:rFonts w:hint="eastAsia"/>
                      <w:color w:val="auto"/>
                      <w:u w:val="none" w:color="auto"/>
                      <w:lang w:val="en-US" w:eastAsia="zh-CN"/>
                    </w:rPr>
                    <w:t>沉淀池渣</w:t>
                  </w:r>
                </w:p>
              </w:tc>
              <w:tc>
                <w:tcPr>
                  <w:tcW w:w="915" w:type="dxa"/>
                  <w:noWrap w:val="0"/>
                  <w:vAlign w:val="center"/>
                </w:tcPr>
                <w:p w14:paraId="0C98ECBE">
                  <w:pPr>
                    <w:pStyle w:val="46"/>
                    <w:rPr>
                      <w:rFonts w:hint="default" w:eastAsia="宋体"/>
                      <w:color w:val="auto"/>
                      <w:u w:val="none" w:color="auto"/>
                      <w:lang w:val="en-US" w:eastAsia="zh-CN"/>
                    </w:rPr>
                  </w:pPr>
                  <w:r>
                    <w:rPr>
                      <w:rFonts w:hint="eastAsia"/>
                      <w:color w:val="auto"/>
                      <w:u w:val="none" w:color="auto"/>
                      <w:lang w:val="en-US" w:eastAsia="zh-CN"/>
                    </w:rPr>
                    <w:t>0.05</w:t>
                  </w:r>
                </w:p>
              </w:tc>
              <w:tc>
                <w:tcPr>
                  <w:tcW w:w="1080" w:type="dxa"/>
                  <w:noWrap w:val="0"/>
                  <w:vAlign w:val="center"/>
                </w:tcPr>
                <w:p w14:paraId="40A2FBEC">
                  <w:pPr>
                    <w:pStyle w:val="46"/>
                    <w:rPr>
                      <w:rFonts w:hint="eastAsia"/>
                      <w:color w:val="auto"/>
                      <w:u w:val="none" w:color="auto"/>
                    </w:rPr>
                  </w:pPr>
                  <w:r>
                    <w:rPr>
                      <w:rFonts w:hint="eastAsia"/>
                      <w:color w:val="auto"/>
                      <w:u w:val="none" w:color="auto"/>
                    </w:rPr>
                    <w:t>一般固体废物</w:t>
                  </w:r>
                </w:p>
              </w:tc>
              <w:tc>
                <w:tcPr>
                  <w:tcW w:w="1480" w:type="dxa"/>
                  <w:noWrap w:val="0"/>
                  <w:vAlign w:val="center"/>
                </w:tcPr>
                <w:p w14:paraId="51E5763C">
                  <w:pPr>
                    <w:keepNext w:val="0"/>
                    <w:keepLines w:val="0"/>
                    <w:widowControl/>
                    <w:suppressLineNumbers w:val="0"/>
                    <w:spacing w:line="240" w:lineRule="auto"/>
                    <w:ind w:left="0" w:leftChars="0" w:firstLine="0" w:firstLineChars="0"/>
                    <w:jc w:val="center"/>
                    <w:rPr>
                      <w:rFonts w:hint="eastAsia" w:ascii="Times New Roman" w:hAnsi="Times New Roman" w:eastAsia="宋体" w:cs="Times New Roman"/>
                      <w:color w:val="auto"/>
                      <w:spacing w:val="2"/>
                      <w:kern w:val="2"/>
                      <w:sz w:val="21"/>
                      <w:szCs w:val="24"/>
                      <w:u w:val="none" w:color="auto"/>
                      <w:lang w:val="en-US" w:eastAsia="zh-CN" w:bidi="ar-SA"/>
                    </w:rPr>
                  </w:pPr>
                  <w:r>
                    <w:rPr>
                      <w:rFonts w:hint="eastAsia" w:ascii="Times New Roman" w:hAnsi="Times New Roman" w:eastAsia="宋体" w:cs="Times New Roman"/>
                      <w:color w:val="auto"/>
                      <w:spacing w:val="2"/>
                      <w:kern w:val="2"/>
                      <w:sz w:val="21"/>
                      <w:szCs w:val="24"/>
                      <w:u w:val="none" w:color="auto"/>
                      <w:lang w:val="en-US" w:eastAsia="zh-CN" w:bidi="ar-SA"/>
                    </w:rPr>
                    <w:t>900-099-S59</w:t>
                  </w:r>
                </w:p>
              </w:tc>
              <w:tc>
                <w:tcPr>
                  <w:tcW w:w="2053" w:type="dxa"/>
                  <w:noWrap w:val="0"/>
                  <w:vAlign w:val="center"/>
                </w:tcPr>
                <w:p w14:paraId="7C358C14">
                  <w:pPr>
                    <w:pStyle w:val="46"/>
                    <w:rPr>
                      <w:rFonts w:hint="eastAsia"/>
                      <w:color w:val="auto"/>
                      <w:u w:val="none" w:color="auto"/>
                    </w:rPr>
                  </w:pPr>
                  <w:r>
                    <w:rPr>
                      <w:rFonts w:hint="eastAsia"/>
                      <w:color w:val="auto"/>
                      <w:u w:val="none" w:color="auto"/>
                    </w:rPr>
                    <w:t>收集后定期交专业公司回收处理</w:t>
                  </w:r>
                </w:p>
              </w:tc>
              <w:tc>
                <w:tcPr>
                  <w:tcW w:w="930" w:type="dxa"/>
                  <w:noWrap w:val="0"/>
                  <w:vAlign w:val="center"/>
                </w:tcPr>
                <w:p w14:paraId="320174FE">
                  <w:pPr>
                    <w:pStyle w:val="46"/>
                    <w:rPr>
                      <w:rFonts w:hint="eastAsia"/>
                      <w:color w:val="auto"/>
                      <w:u w:val="none" w:color="auto"/>
                    </w:rPr>
                  </w:pPr>
                  <w:r>
                    <w:rPr>
                      <w:rFonts w:hint="eastAsia"/>
                      <w:color w:val="auto"/>
                      <w:u w:val="none" w:color="auto"/>
                    </w:rPr>
                    <w:t>0</w:t>
                  </w:r>
                </w:p>
              </w:tc>
            </w:tr>
            <w:tr w14:paraId="76E76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dxa"/>
                  <w:shd w:val="clear" w:color="auto" w:fill="auto"/>
                  <w:noWrap w:val="0"/>
                  <w:vAlign w:val="center"/>
                </w:tcPr>
                <w:p w14:paraId="6D2A05AF">
                  <w:pPr>
                    <w:pStyle w:val="46"/>
                    <w:ind w:firstLine="0" w:firstLineChars="0"/>
                    <w:rPr>
                      <w:rFonts w:hint="eastAsia" w:ascii="Times New Roman" w:hAnsi="Times New Roman" w:eastAsia="宋体" w:cs="Times New Roman"/>
                      <w:color w:val="auto"/>
                      <w:spacing w:val="2"/>
                      <w:kern w:val="2"/>
                      <w:sz w:val="21"/>
                      <w:szCs w:val="24"/>
                      <w:u w:val="none" w:color="auto"/>
                      <w:lang w:val="en-US" w:eastAsia="zh-CN" w:bidi="ar-SA"/>
                    </w:rPr>
                  </w:pPr>
                  <w:r>
                    <w:rPr>
                      <w:rFonts w:hint="eastAsia"/>
                      <w:color w:val="auto"/>
                      <w:u w:val="none" w:color="auto"/>
                      <w:lang w:val="en-US" w:eastAsia="zh-CN"/>
                    </w:rPr>
                    <w:t>8</w:t>
                  </w:r>
                </w:p>
              </w:tc>
              <w:tc>
                <w:tcPr>
                  <w:tcW w:w="1358" w:type="dxa"/>
                  <w:noWrap w:val="0"/>
                  <w:vAlign w:val="center"/>
                </w:tcPr>
                <w:p w14:paraId="146D6F49">
                  <w:pPr>
                    <w:pStyle w:val="46"/>
                    <w:ind w:firstLine="0" w:firstLineChars="0"/>
                    <w:rPr>
                      <w:rFonts w:hint="eastAsia" w:ascii="Times New Roman" w:hAnsi="Times New Roman" w:eastAsia="宋体" w:cs="Times New Roman"/>
                      <w:color w:val="auto"/>
                      <w:spacing w:val="2"/>
                      <w:kern w:val="2"/>
                      <w:sz w:val="21"/>
                      <w:szCs w:val="24"/>
                      <w:u w:val="none" w:color="auto"/>
                      <w:lang w:val="en-US" w:eastAsia="zh-CN" w:bidi="ar-SA"/>
                    </w:rPr>
                  </w:pPr>
                  <w:r>
                    <w:rPr>
                      <w:rFonts w:hint="eastAsia"/>
                      <w:color w:val="auto"/>
                      <w:u w:val="none" w:color="auto"/>
                    </w:rPr>
                    <w:t>生活垃圾</w:t>
                  </w:r>
                </w:p>
              </w:tc>
              <w:tc>
                <w:tcPr>
                  <w:tcW w:w="915" w:type="dxa"/>
                  <w:noWrap w:val="0"/>
                  <w:vAlign w:val="center"/>
                </w:tcPr>
                <w:p w14:paraId="3243DD9B">
                  <w:pPr>
                    <w:pStyle w:val="46"/>
                    <w:ind w:firstLine="0" w:firstLineChars="0"/>
                    <w:rPr>
                      <w:rFonts w:hint="default" w:ascii="Times New Roman" w:hAnsi="Times New Roman" w:eastAsia="宋体" w:cs="Times New Roman"/>
                      <w:color w:val="auto"/>
                      <w:spacing w:val="2"/>
                      <w:kern w:val="2"/>
                      <w:sz w:val="21"/>
                      <w:szCs w:val="24"/>
                      <w:u w:val="none" w:color="auto"/>
                      <w:lang w:val="en-US" w:eastAsia="zh-CN" w:bidi="ar-SA"/>
                    </w:rPr>
                  </w:pPr>
                  <w:r>
                    <w:rPr>
                      <w:rFonts w:hint="eastAsia"/>
                      <w:color w:val="auto"/>
                      <w:u w:val="none" w:color="auto"/>
                      <w:lang w:val="en-US" w:eastAsia="zh-CN"/>
                    </w:rPr>
                    <w:t>18</w:t>
                  </w:r>
                </w:p>
              </w:tc>
              <w:tc>
                <w:tcPr>
                  <w:tcW w:w="1080" w:type="dxa"/>
                  <w:noWrap w:val="0"/>
                  <w:vAlign w:val="center"/>
                </w:tcPr>
                <w:p w14:paraId="6E0ED97C">
                  <w:pPr>
                    <w:pStyle w:val="46"/>
                    <w:ind w:firstLine="0" w:firstLineChars="0"/>
                    <w:rPr>
                      <w:rFonts w:hint="eastAsia" w:ascii="Times New Roman" w:hAnsi="Times New Roman" w:eastAsia="宋体" w:cs="Times New Roman"/>
                      <w:color w:val="auto"/>
                      <w:spacing w:val="2"/>
                      <w:kern w:val="2"/>
                      <w:sz w:val="21"/>
                      <w:szCs w:val="24"/>
                      <w:u w:val="none" w:color="auto"/>
                      <w:lang w:val="en-US" w:eastAsia="zh-CN" w:bidi="ar-SA"/>
                    </w:rPr>
                  </w:pPr>
                  <w:r>
                    <w:rPr>
                      <w:rFonts w:hint="eastAsia"/>
                      <w:color w:val="auto"/>
                      <w:u w:val="none" w:color="auto"/>
                    </w:rPr>
                    <w:t>/</w:t>
                  </w:r>
                </w:p>
              </w:tc>
              <w:tc>
                <w:tcPr>
                  <w:tcW w:w="1480" w:type="dxa"/>
                  <w:noWrap w:val="0"/>
                  <w:vAlign w:val="center"/>
                </w:tcPr>
                <w:p w14:paraId="0F45E9ED">
                  <w:pPr>
                    <w:keepNext w:val="0"/>
                    <w:keepLines w:val="0"/>
                    <w:widowControl/>
                    <w:suppressLineNumbers w:val="0"/>
                    <w:spacing w:line="240" w:lineRule="auto"/>
                    <w:ind w:left="0" w:leftChars="0" w:firstLine="0" w:firstLineChars="0"/>
                    <w:jc w:val="center"/>
                    <w:rPr>
                      <w:rFonts w:hint="eastAsia" w:ascii="Times New Roman" w:hAnsi="Times New Roman" w:eastAsia="宋体" w:cs="Times New Roman"/>
                      <w:color w:val="auto"/>
                      <w:spacing w:val="2"/>
                      <w:kern w:val="2"/>
                      <w:sz w:val="21"/>
                      <w:szCs w:val="24"/>
                      <w:u w:val="none" w:color="auto"/>
                      <w:lang w:val="en-US" w:eastAsia="zh-CN" w:bidi="ar-SA"/>
                    </w:rPr>
                  </w:pPr>
                  <w:r>
                    <w:rPr>
                      <w:rFonts w:hint="eastAsia" w:ascii="Times New Roman" w:hAnsi="Times New Roman" w:eastAsia="宋体" w:cs="Times New Roman"/>
                      <w:color w:val="auto"/>
                      <w:spacing w:val="2"/>
                      <w:kern w:val="2"/>
                      <w:sz w:val="21"/>
                      <w:szCs w:val="24"/>
                      <w:u w:val="none" w:color="auto"/>
                      <w:lang w:val="en-US" w:eastAsia="zh-CN" w:bidi="ar-SA"/>
                    </w:rPr>
                    <w:t>/</w:t>
                  </w:r>
                </w:p>
              </w:tc>
              <w:tc>
                <w:tcPr>
                  <w:tcW w:w="2053" w:type="dxa"/>
                  <w:noWrap w:val="0"/>
                  <w:vAlign w:val="center"/>
                </w:tcPr>
                <w:p w14:paraId="42FBC9F4">
                  <w:pPr>
                    <w:pStyle w:val="46"/>
                    <w:ind w:firstLine="0" w:firstLineChars="0"/>
                    <w:rPr>
                      <w:rFonts w:hint="eastAsia" w:ascii="Times New Roman" w:hAnsi="Times New Roman" w:eastAsia="宋体" w:cs="Times New Roman"/>
                      <w:color w:val="auto"/>
                      <w:spacing w:val="2"/>
                      <w:kern w:val="2"/>
                      <w:sz w:val="21"/>
                      <w:szCs w:val="24"/>
                      <w:u w:val="none" w:color="auto"/>
                      <w:lang w:val="en-US" w:eastAsia="zh-CN" w:bidi="ar-SA"/>
                    </w:rPr>
                  </w:pPr>
                  <w:r>
                    <w:rPr>
                      <w:rFonts w:hint="eastAsia"/>
                      <w:color w:val="auto"/>
                      <w:u w:val="none" w:color="auto"/>
                    </w:rPr>
                    <w:t>委托当地环卫部门进行清运处理</w:t>
                  </w:r>
                </w:p>
              </w:tc>
              <w:tc>
                <w:tcPr>
                  <w:tcW w:w="930" w:type="dxa"/>
                  <w:noWrap w:val="0"/>
                  <w:vAlign w:val="center"/>
                </w:tcPr>
                <w:p w14:paraId="4900D0DA">
                  <w:pPr>
                    <w:pStyle w:val="46"/>
                    <w:ind w:firstLine="0" w:firstLineChars="0"/>
                    <w:rPr>
                      <w:rFonts w:hint="eastAsia" w:ascii="Times New Roman" w:hAnsi="Times New Roman" w:eastAsia="宋体" w:cs="Times New Roman"/>
                      <w:color w:val="auto"/>
                      <w:spacing w:val="2"/>
                      <w:kern w:val="2"/>
                      <w:sz w:val="21"/>
                      <w:szCs w:val="24"/>
                      <w:u w:val="none" w:color="auto"/>
                      <w:lang w:val="en-US" w:eastAsia="zh-CN" w:bidi="ar-SA"/>
                    </w:rPr>
                  </w:pPr>
                  <w:r>
                    <w:rPr>
                      <w:rFonts w:hint="eastAsia"/>
                      <w:color w:val="auto"/>
                      <w:u w:val="none" w:color="auto"/>
                    </w:rPr>
                    <w:t>0</w:t>
                  </w:r>
                </w:p>
              </w:tc>
            </w:tr>
            <w:tr w14:paraId="114AD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dxa"/>
                  <w:shd w:val="clear" w:color="auto" w:fill="auto"/>
                  <w:noWrap w:val="0"/>
                  <w:vAlign w:val="center"/>
                </w:tcPr>
                <w:p w14:paraId="7A246F71">
                  <w:pPr>
                    <w:pStyle w:val="46"/>
                    <w:ind w:firstLine="0" w:firstLineChars="0"/>
                    <w:rPr>
                      <w:rFonts w:hint="eastAsia" w:ascii="Times New Roman" w:hAnsi="Times New Roman" w:eastAsia="宋体" w:cs="Times New Roman"/>
                      <w:color w:val="auto"/>
                      <w:spacing w:val="2"/>
                      <w:kern w:val="2"/>
                      <w:sz w:val="21"/>
                      <w:szCs w:val="24"/>
                      <w:u w:val="none" w:color="auto"/>
                      <w:lang w:val="en-US" w:eastAsia="zh-CN" w:bidi="ar-SA"/>
                    </w:rPr>
                  </w:pPr>
                  <w:r>
                    <w:rPr>
                      <w:rFonts w:hint="eastAsia"/>
                      <w:color w:val="auto"/>
                      <w:u w:val="none" w:color="auto"/>
                      <w:lang w:val="en-US" w:eastAsia="zh-CN"/>
                    </w:rPr>
                    <w:t>9</w:t>
                  </w:r>
                </w:p>
              </w:tc>
              <w:tc>
                <w:tcPr>
                  <w:tcW w:w="1358" w:type="dxa"/>
                  <w:noWrap w:val="0"/>
                  <w:vAlign w:val="center"/>
                </w:tcPr>
                <w:p w14:paraId="0ABA7C97">
                  <w:pPr>
                    <w:pStyle w:val="46"/>
                    <w:rPr>
                      <w:rFonts w:hint="eastAsia"/>
                      <w:color w:val="auto"/>
                      <w:u w:val="none" w:color="auto"/>
                    </w:rPr>
                  </w:pPr>
                  <w:r>
                    <w:rPr>
                      <w:rFonts w:hint="eastAsia"/>
                      <w:color w:val="auto"/>
                      <w:u w:val="none" w:color="auto"/>
                    </w:rPr>
                    <w:t>含电解液的废料</w:t>
                  </w:r>
                </w:p>
              </w:tc>
              <w:tc>
                <w:tcPr>
                  <w:tcW w:w="915" w:type="dxa"/>
                  <w:noWrap w:val="0"/>
                  <w:vAlign w:val="center"/>
                </w:tcPr>
                <w:p w14:paraId="291D1015">
                  <w:pPr>
                    <w:pStyle w:val="46"/>
                    <w:rPr>
                      <w:rFonts w:hint="default" w:eastAsia="宋体"/>
                      <w:color w:val="auto"/>
                      <w:u w:val="none" w:color="auto"/>
                      <w:lang w:val="en-US" w:eastAsia="zh-CN"/>
                    </w:rPr>
                  </w:pPr>
                  <w:r>
                    <w:rPr>
                      <w:rFonts w:hint="eastAsia"/>
                      <w:color w:val="auto"/>
                      <w:u w:val="none" w:color="auto"/>
                    </w:rPr>
                    <w:t>0.</w:t>
                  </w:r>
                  <w:r>
                    <w:rPr>
                      <w:rFonts w:hint="eastAsia"/>
                      <w:color w:val="auto"/>
                      <w:u w:val="none" w:color="auto"/>
                      <w:lang w:val="en-US" w:eastAsia="zh-CN"/>
                    </w:rPr>
                    <w:t>02</w:t>
                  </w:r>
                </w:p>
              </w:tc>
              <w:tc>
                <w:tcPr>
                  <w:tcW w:w="1080" w:type="dxa"/>
                  <w:vMerge w:val="restart"/>
                  <w:noWrap w:val="0"/>
                  <w:vAlign w:val="center"/>
                </w:tcPr>
                <w:p w14:paraId="337C79D6">
                  <w:pPr>
                    <w:pStyle w:val="46"/>
                    <w:rPr>
                      <w:rFonts w:hint="eastAsia"/>
                      <w:color w:val="auto"/>
                      <w:u w:val="none" w:color="auto"/>
                    </w:rPr>
                  </w:pPr>
                  <w:r>
                    <w:rPr>
                      <w:rFonts w:hint="eastAsia"/>
                      <w:color w:val="auto"/>
                      <w:u w:val="none" w:color="auto"/>
                    </w:rPr>
                    <w:t>危险废物</w:t>
                  </w:r>
                </w:p>
              </w:tc>
              <w:tc>
                <w:tcPr>
                  <w:tcW w:w="1480" w:type="dxa"/>
                  <w:noWrap w:val="0"/>
                  <w:vAlign w:val="center"/>
                </w:tcPr>
                <w:p w14:paraId="5294276C">
                  <w:pPr>
                    <w:pStyle w:val="46"/>
                    <w:rPr>
                      <w:rFonts w:hint="eastAsia"/>
                      <w:color w:val="auto"/>
                      <w:u w:val="none" w:color="auto"/>
                    </w:rPr>
                  </w:pPr>
                  <w:r>
                    <w:rPr>
                      <w:rFonts w:hint="eastAsia"/>
                      <w:color w:val="auto"/>
                      <w:u w:val="none" w:color="auto"/>
                    </w:rPr>
                    <w:t>900-</w:t>
                  </w:r>
                  <w:r>
                    <w:rPr>
                      <w:rFonts w:hint="eastAsia"/>
                      <w:color w:val="auto"/>
                      <w:u w:val="none" w:color="auto"/>
                      <w:lang w:val="en-US" w:eastAsia="zh-CN"/>
                    </w:rPr>
                    <w:t>041</w:t>
                  </w:r>
                  <w:r>
                    <w:rPr>
                      <w:rFonts w:hint="eastAsia"/>
                      <w:color w:val="auto"/>
                      <w:u w:val="none" w:color="auto"/>
                    </w:rPr>
                    <w:t>-</w:t>
                  </w:r>
                  <w:r>
                    <w:rPr>
                      <w:rFonts w:hint="eastAsia"/>
                      <w:color w:val="auto"/>
                      <w:u w:val="none" w:color="auto"/>
                      <w:lang w:val="en-US" w:eastAsia="zh-CN"/>
                    </w:rPr>
                    <w:t>49</w:t>
                  </w:r>
                </w:p>
              </w:tc>
              <w:tc>
                <w:tcPr>
                  <w:tcW w:w="2053" w:type="dxa"/>
                  <w:vMerge w:val="restart"/>
                  <w:noWrap w:val="0"/>
                  <w:vAlign w:val="center"/>
                </w:tcPr>
                <w:p w14:paraId="43CE3F14">
                  <w:pPr>
                    <w:pStyle w:val="46"/>
                    <w:rPr>
                      <w:rFonts w:hint="eastAsia"/>
                      <w:color w:val="auto"/>
                      <w:u w:val="none" w:color="auto"/>
                    </w:rPr>
                  </w:pPr>
                  <w:r>
                    <w:rPr>
                      <w:rFonts w:hint="eastAsia"/>
                      <w:color w:val="auto"/>
                      <w:u w:val="none" w:color="auto"/>
                    </w:rPr>
                    <w:t>定期交有危险废物处理资质的单位处理，不自行处理和外排</w:t>
                  </w:r>
                </w:p>
              </w:tc>
              <w:tc>
                <w:tcPr>
                  <w:tcW w:w="930" w:type="dxa"/>
                  <w:noWrap w:val="0"/>
                  <w:vAlign w:val="center"/>
                </w:tcPr>
                <w:p w14:paraId="5C82F0E8">
                  <w:pPr>
                    <w:pStyle w:val="46"/>
                    <w:rPr>
                      <w:rFonts w:hint="eastAsia"/>
                      <w:color w:val="auto"/>
                      <w:u w:val="none" w:color="auto"/>
                    </w:rPr>
                  </w:pPr>
                  <w:r>
                    <w:rPr>
                      <w:rFonts w:hint="eastAsia"/>
                      <w:color w:val="auto"/>
                      <w:u w:val="none" w:color="auto"/>
                    </w:rPr>
                    <w:t>0</w:t>
                  </w:r>
                </w:p>
              </w:tc>
            </w:tr>
            <w:tr w14:paraId="4DF6F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dxa"/>
                  <w:noWrap w:val="0"/>
                  <w:vAlign w:val="center"/>
                </w:tcPr>
                <w:p w14:paraId="6FA69AC8">
                  <w:pPr>
                    <w:pStyle w:val="46"/>
                    <w:rPr>
                      <w:rFonts w:hint="default" w:eastAsia="宋体"/>
                      <w:color w:val="auto"/>
                      <w:u w:val="none" w:color="auto"/>
                      <w:lang w:val="en-US" w:eastAsia="zh-CN"/>
                    </w:rPr>
                  </w:pPr>
                  <w:r>
                    <w:rPr>
                      <w:rFonts w:hint="eastAsia"/>
                      <w:color w:val="auto"/>
                      <w:u w:val="none" w:color="auto"/>
                      <w:lang w:val="en-US" w:eastAsia="zh-CN"/>
                    </w:rPr>
                    <w:t>10</w:t>
                  </w:r>
                </w:p>
              </w:tc>
              <w:tc>
                <w:tcPr>
                  <w:tcW w:w="1358" w:type="dxa"/>
                  <w:noWrap w:val="0"/>
                  <w:vAlign w:val="center"/>
                </w:tcPr>
                <w:p w14:paraId="7CB2238B">
                  <w:pPr>
                    <w:pStyle w:val="46"/>
                    <w:rPr>
                      <w:rFonts w:hint="eastAsia" w:ascii="Times New Roman" w:hAnsi="Times New Roman" w:eastAsia="宋体" w:cs="Times New Roman"/>
                      <w:color w:val="auto"/>
                      <w:u w:val="none" w:color="auto"/>
                      <w:lang w:eastAsia="zh-CN"/>
                    </w:rPr>
                  </w:pPr>
                  <w:r>
                    <w:rPr>
                      <w:rFonts w:hint="eastAsia" w:ascii="Times New Roman" w:hAnsi="Times New Roman" w:eastAsia="宋体" w:cs="Times New Roman"/>
                      <w:color w:val="auto"/>
                      <w:u w:val="none" w:color="auto"/>
                    </w:rPr>
                    <w:t>废机油</w:t>
                  </w:r>
                  <w:r>
                    <w:rPr>
                      <w:rFonts w:hint="eastAsia" w:ascii="Times New Roman" w:hAnsi="Times New Roman" w:eastAsia="宋体" w:cs="Times New Roman"/>
                      <w:color w:val="auto"/>
                      <w:u w:val="none" w:color="auto"/>
                      <w:lang w:eastAsia="zh-CN"/>
                    </w:rPr>
                    <w:t>、废抹布</w:t>
                  </w:r>
                </w:p>
              </w:tc>
              <w:tc>
                <w:tcPr>
                  <w:tcW w:w="915" w:type="dxa"/>
                  <w:noWrap w:val="0"/>
                  <w:vAlign w:val="center"/>
                </w:tcPr>
                <w:p w14:paraId="5C520A3C">
                  <w:pPr>
                    <w:pStyle w:val="46"/>
                    <w:rPr>
                      <w:rFonts w:hint="eastAsia" w:ascii="Times New Roman" w:hAnsi="Times New Roman" w:eastAsia="宋体" w:cs="Times New Roman"/>
                      <w:color w:val="auto"/>
                      <w:u w:val="none" w:color="auto"/>
                    </w:rPr>
                  </w:pPr>
                  <w:r>
                    <w:rPr>
                      <w:rFonts w:hint="eastAsia" w:ascii="Times New Roman" w:hAnsi="Times New Roman" w:eastAsia="宋体" w:cs="Times New Roman"/>
                      <w:color w:val="auto"/>
                      <w:u w:val="none" w:color="auto"/>
                    </w:rPr>
                    <w:t>0.</w:t>
                  </w:r>
                  <w:r>
                    <w:rPr>
                      <w:rFonts w:hint="eastAsia" w:ascii="Times New Roman" w:hAnsi="Times New Roman" w:eastAsia="宋体" w:cs="Times New Roman"/>
                      <w:color w:val="auto"/>
                      <w:u w:val="none" w:color="auto"/>
                      <w:lang w:val="en-US" w:eastAsia="zh-CN"/>
                    </w:rPr>
                    <w:t>0</w:t>
                  </w:r>
                  <w:r>
                    <w:rPr>
                      <w:rFonts w:hint="eastAsia" w:ascii="Times New Roman" w:hAnsi="Times New Roman" w:eastAsia="宋体" w:cs="Times New Roman"/>
                      <w:color w:val="auto"/>
                      <w:u w:val="none" w:color="auto"/>
                    </w:rPr>
                    <w:t>1</w:t>
                  </w:r>
                </w:p>
              </w:tc>
              <w:tc>
                <w:tcPr>
                  <w:tcW w:w="1080" w:type="dxa"/>
                  <w:vMerge w:val="continue"/>
                  <w:noWrap w:val="0"/>
                  <w:vAlign w:val="center"/>
                </w:tcPr>
                <w:p w14:paraId="7E55813B">
                  <w:pPr>
                    <w:pStyle w:val="46"/>
                    <w:rPr>
                      <w:rFonts w:hint="eastAsia"/>
                      <w:color w:val="auto"/>
                      <w:u w:val="none" w:color="auto"/>
                    </w:rPr>
                  </w:pPr>
                </w:p>
              </w:tc>
              <w:tc>
                <w:tcPr>
                  <w:tcW w:w="1480" w:type="dxa"/>
                  <w:noWrap w:val="0"/>
                  <w:vAlign w:val="center"/>
                </w:tcPr>
                <w:p w14:paraId="7D03BA46">
                  <w:pPr>
                    <w:pStyle w:val="46"/>
                    <w:rPr>
                      <w:rFonts w:hint="eastAsia"/>
                      <w:color w:val="auto"/>
                      <w:u w:val="none" w:color="auto"/>
                    </w:rPr>
                  </w:pPr>
                  <w:r>
                    <w:rPr>
                      <w:rFonts w:hint="eastAsia"/>
                      <w:color w:val="auto"/>
                      <w:u w:val="none" w:color="auto"/>
                    </w:rPr>
                    <w:t>900-214-08</w:t>
                  </w:r>
                </w:p>
              </w:tc>
              <w:tc>
                <w:tcPr>
                  <w:tcW w:w="2053" w:type="dxa"/>
                  <w:vMerge w:val="continue"/>
                  <w:noWrap w:val="0"/>
                  <w:vAlign w:val="center"/>
                </w:tcPr>
                <w:p w14:paraId="586DF05E">
                  <w:pPr>
                    <w:pStyle w:val="46"/>
                    <w:rPr>
                      <w:rFonts w:hint="eastAsia"/>
                      <w:color w:val="auto"/>
                      <w:u w:val="none" w:color="auto"/>
                    </w:rPr>
                  </w:pPr>
                </w:p>
              </w:tc>
              <w:tc>
                <w:tcPr>
                  <w:tcW w:w="930" w:type="dxa"/>
                  <w:noWrap w:val="0"/>
                  <w:vAlign w:val="center"/>
                </w:tcPr>
                <w:p w14:paraId="7DC7CF71">
                  <w:pPr>
                    <w:pStyle w:val="46"/>
                    <w:rPr>
                      <w:rFonts w:hint="eastAsia"/>
                      <w:color w:val="auto"/>
                      <w:u w:val="none" w:color="auto"/>
                    </w:rPr>
                  </w:pPr>
                  <w:r>
                    <w:rPr>
                      <w:rFonts w:hint="eastAsia"/>
                      <w:color w:val="auto"/>
                      <w:u w:val="none" w:color="auto"/>
                    </w:rPr>
                    <w:t>0</w:t>
                  </w:r>
                </w:p>
              </w:tc>
            </w:tr>
            <w:tr w14:paraId="1F5BA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dxa"/>
                  <w:noWrap w:val="0"/>
                  <w:vAlign w:val="center"/>
                </w:tcPr>
                <w:p w14:paraId="3D3D3D9D">
                  <w:pPr>
                    <w:pStyle w:val="46"/>
                    <w:rPr>
                      <w:rFonts w:hint="default"/>
                      <w:color w:val="auto"/>
                      <w:u w:val="none" w:color="auto"/>
                      <w:lang w:val="en-US" w:eastAsia="zh-CN"/>
                    </w:rPr>
                  </w:pPr>
                  <w:r>
                    <w:rPr>
                      <w:rFonts w:hint="eastAsia"/>
                      <w:color w:val="auto"/>
                      <w:u w:val="none" w:color="auto"/>
                      <w:lang w:val="en-US" w:eastAsia="zh-CN"/>
                    </w:rPr>
                    <w:t>11</w:t>
                  </w:r>
                </w:p>
              </w:tc>
              <w:tc>
                <w:tcPr>
                  <w:tcW w:w="1358" w:type="dxa"/>
                  <w:noWrap w:val="0"/>
                  <w:vAlign w:val="center"/>
                </w:tcPr>
                <w:p w14:paraId="06CBCC25">
                  <w:pPr>
                    <w:pStyle w:val="46"/>
                    <w:rPr>
                      <w:rFonts w:hint="eastAsia" w:ascii="Times New Roman" w:hAnsi="Times New Roman" w:eastAsia="宋体" w:cs="Times New Roman"/>
                      <w:color w:val="auto"/>
                      <w:u w:val="none" w:color="auto"/>
                    </w:rPr>
                  </w:pPr>
                  <w:r>
                    <w:rPr>
                      <w:rFonts w:hint="eastAsia" w:ascii="Times New Roman" w:hAnsi="Times New Roman" w:eastAsia="宋体" w:cs="Times New Roman"/>
                      <w:color w:val="auto"/>
                      <w:u w:val="none" w:color="auto"/>
                      <w:lang w:eastAsia="zh-CN"/>
                    </w:rPr>
                    <w:t>搅拌桶擦拭废抹布</w:t>
                  </w:r>
                </w:p>
              </w:tc>
              <w:tc>
                <w:tcPr>
                  <w:tcW w:w="915" w:type="dxa"/>
                  <w:tcBorders>
                    <w:bottom w:val="single" w:color="000000" w:sz="4" w:space="0"/>
                  </w:tcBorders>
                  <w:noWrap w:val="0"/>
                  <w:vAlign w:val="center"/>
                </w:tcPr>
                <w:p w14:paraId="37005240">
                  <w:pPr>
                    <w:pStyle w:val="46"/>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0.01</w:t>
                  </w:r>
                </w:p>
              </w:tc>
              <w:tc>
                <w:tcPr>
                  <w:tcW w:w="1080" w:type="dxa"/>
                  <w:vMerge w:val="continue"/>
                  <w:tcBorders>
                    <w:bottom w:val="single" w:color="000000" w:sz="4" w:space="0"/>
                  </w:tcBorders>
                  <w:noWrap w:val="0"/>
                  <w:vAlign w:val="center"/>
                </w:tcPr>
                <w:p w14:paraId="32178BA0">
                  <w:pPr>
                    <w:pStyle w:val="46"/>
                    <w:rPr>
                      <w:rFonts w:hint="eastAsia"/>
                      <w:color w:val="auto"/>
                      <w:u w:val="none" w:color="auto"/>
                    </w:rPr>
                  </w:pPr>
                </w:p>
              </w:tc>
              <w:tc>
                <w:tcPr>
                  <w:tcW w:w="1480" w:type="dxa"/>
                  <w:tcBorders>
                    <w:bottom w:val="single" w:color="000000" w:sz="4" w:space="0"/>
                  </w:tcBorders>
                  <w:noWrap w:val="0"/>
                  <w:vAlign w:val="center"/>
                </w:tcPr>
                <w:p w14:paraId="6E74839A">
                  <w:pPr>
                    <w:pStyle w:val="46"/>
                    <w:rPr>
                      <w:rFonts w:hint="eastAsia"/>
                      <w:color w:val="auto"/>
                      <w:u w:val="none" w:color="auto"/>
                    </w:rPr>
                  </w:pPr>
                  <w:r>
                    <w:rPr>
                      <w:rFonts w:hint="eastAsia"/>
                      <w:color w:val="auto"/>
                      <w:u w:val="none" w:color="auto"/>
                    </w:rPr>
                    <w:t>900-</w:t>
                  </w:r>
                  <w:r>
                    <w:rPr>
                      <w:rFonts w:hint="eastAsia"/>
                      <w:color w:val="auto"/>
                      <w:u w:val="none" w:color="auto"/>
                      <w:lang w:val="en-US" w:eastAsia="zh-CN"/>
                    </w:rPr>
                    <w:t>041</w:t>
                  </w:r>
                  <w:r>
                    <w:rPr>
                      <w:rFonts w:hint="eastAsia"/>
                      <w:color w:val="auto"/>
                      <w:u w:val="none" w:color="auto"/>
                    </w:rPr>
                    <w:t>-</w:t>
                  </w:r>
                  <w:r>
                    <w:rPr>
                      <w:rFonts w:hint="eastAsia"/>
                      <w:color w:val="auto"/>
                      <w:u w:val="none" w:color="auto"/>
                      <w:lang w:val="en-US" w:eastAsia="zh-CN"/>
                    </w:rPr>
                    <w:t>49</w:t>
                  </w:r>
                </w:p>
              </w:tc>
              <w:tc>
                <w:tcPr>
                  <w:tcW w:w="2053" w:type="dxa"/>
                  <w:vMerge w:val="continue"/>
                  <w:tcBorders>
                    <w:bottom w:val="single" w:color="000000" w:sz="4" w:space="0"/>
                  </w:tcBorders>
                  <w:noWrap w:val="0"/>
                  <w:vAlign w:val="center"/>
                </w:tcPr>
                <w:p w14:paraId="154128DC">
                  <w:pPr>
                    <w:pStyle w:val="46"/>
                    <w:rPr>
                      <w:rFonts w:hint="eastAsia"/>
                      <w:color w:val="auto"/>
                      <w:u w:val="none" w:color="auto"/>
                    </w:rPr>
                  </w:pPr>
                </w:p>
              </w:tc>
              <w:tc>
                <w:tcPr>
                  <w:tcW w:w="930" w:type="dxa"/>
                  <w:noWrap w:val="0"/>
                  <w:vAlign w:val="center"/>
                </w:tcPr>
                <w:p w14:paraId="40C293F4">
                  <w:pPr>
                    <w:pStyle w:val="46"/>
                    <w:rPr>
                      <w:rFonts w:hint="eastAsia" w:eastAsia="宋体"/>
                      <w:color w:val="auto"/>
                      <w:u w:val="none" w:color="auto"/>
                      <w:lang w:val="en-US" w:eastAsia="zh-CN"/>
                    </w:rPr>
                  </w:pPr>
                  <w:r>
                    <w:rPr>
                      <w:rFonts w:hint="eastAsia"/>
                      <w:color w:val="auto"/>
                      <w:u w:val="none" w:color="auto"/>
                      <w:lang w:val="en-US" w:eastAsia="zh-CN"/>
                    </w:rPr>
                    <w:t>0</w:t>
                  </w:r>
                </w:p>
              </w:tc>
            </w:tr>
          </w:tbl>
          <w:p w14:paraId="2BD5CF11">
            <w:pPr>
              <w:ind w:firstLine="480"/>
              <w:rPr>
                <w:rFonts w:hint="eastAsia"/>
                <w:color w:val="auto"/>
                <w:u w:val="none" w:color="auto"/>
              </w:rPr>
            </w:pPr>
            <w:r>
              <w:rPr>
                <w:rFonts w:hint="eastAsia"/>
                <w:color w:val="auto"/>
                <w:u w:val="none" w:color="auto"/>
              </w:rPr>
              <w:t>2、固废处理处置措施</w:t>
            </w:r>
          </w:p>
          <w:p w14:paraId="651708C0">
            <w:pPr>
              <w:ind w:firstLine="480"/>
              <w:rPr>
                <w:rFonts w:hint="eastAsia"/>
                <w:color w:val="auto"/>
                <w:u w:val="none" w:color="auto"/>
              </w:rPr>
            </w:pPr>
            <w:r>
              <w:rPr>
                <w:rFonts w:hint="eastAsia"/>
                <w:color w:val="auto"/>
                <w:u w:val="none" w:color="auto"/>
              </w:rPr>
              <w:t>（1）一般工业固废</w:t>
            </w:r>
          </w:p>
          <w:p w14:paraId="56B9F7D3">
            <w:pPr>
              <w:bidi w:val="0"/>
              <w:rPr>
                <w:rFonts w:hint="eastAsia"/>
                <w:color w:val="auto"/>
                <w:u w:val="none" w:color="auto"/>
              </w:rPr>
            </w:pPr>
            <w:r>
              <w:rPr>
                <w:rFonts w:hint="eastAsia"/>
                <w:color w:val="auto"/>
                <w:u w:val="none" w:color="auto"/>
              </w:rPr>
              <w:t>本项目产生的不合格电池、边角料、包装废料、原料桶、纯水制备</w:t>
            </w:r>
            <w:r>
              <w:rPr>
                <w:rFonts w:hint="eastAsia"/>
                <w:color w:val="auto"/>
                <w:u w:val="none" w:color="auto"/>
                <w:lang w:eastAsia="zh-CN"/>
              </w:rPr>
              <w:t>废滤芯等</w:t>
            </w:r>
            <w:r>
              <w:rPr>
                <w:rFonts w:hint="eastAsia"/>
                <w:color w:val="auto"/>
                <w:u w:val="none" w:color="auto"/>
              </w:rPr>
              <w:t>属于一般固废，由本项目企业收集后暂存于一般固废暂存区。不合格电池收集后定期交专业公司回收处理；边角料收集后定期交专业公司回收处理；包装废料收集后送至收集箱中，</w:t>
            </w:r>
            <w:r>
              <w:rPr>
                <w:rFonts w:hint="eastAsia"/>
                <w:color w:val="auto"/>
                <w:u w:val="none" w:color="auto"/>
                <w:lang w:eastAsia="zh-CN"/>
              </w:rPr>
              <w:t>外售</w:t>
            </w:r>
            <w:r>
              <w:rPr>
                <w:rFonts w:hint="eastAsia"/>
                <w:color w:val="auto"/>
                <w:u w:val="none" w:color="auto"/>
              </w:rPr>
              <w:t>综合利用；原料桶定期交供货厂家回收；纯水制备</w:t>
            </w:r>
            <w:r>
              <w:rPr>
                <w:rFonts w:hint="eastAsia"/>
                <w:color w:val="auto"/>
                <w:u w:val="none" w:color="auto"/>
                <w:lang w:eastAsia="zh-CN"/>
              </w:rPr>
              <w:t>废滤芯</w:t>
            </w:r>
            <w:r>
              <w:rPr>
                <w:rFonts w:hint="eastAsia"/>
                <w:color w:val="auto"/>
                <w:u w:val="none" w:color="auto"/>
              </w:rPr>
              <w:t>统一收集后由厂家回收处理。</w:t>
            </w:r>
          </w:p>
          <w:p w14:paraId="28D4B807">
            <w:pPr>
              <w:bidi w:val="0"/>
              <w:rPr>
                <w:rFonts w:hint="eastAsia"/>
                <w:color w:val="auto"/>
                <w:u w:val="none" w:color="auto"/>
              </w:rPr>
            </w:pPr>
            <w:r>
              <w:rPr>
                <w:rFonts w:hint="eastAsia"/>
                <w:color w:val="auto"/>
                <w:u w:val="none" w:color="auto"/>
                <w:lang w:eastAsia="zh-CN"/>
              </w:rPr>
              <w:t>项目一般固废贮存间标识标牌等规范建设目前不满足，需按照要求进行整改。一般固废</w:t>
            </w:r>
            <w:r>
              <w:rPr>
                <w:rFonts w:hint="eastAsia"/>
                <w:color w:val="auto"/>
                <w:u w:val="none" w:color="auto"/>
              </w:rPr>
              <w:t>贮存场所</w:t>
            </w:r>
            <w:r>
              <w:rPr>
                <w:rFonts w:hint="eastAsia"/>
                <w:color w:val="auto"/>
                <w:u w:val="none" w:color="auto"/>
                <w:lang w:eastAsia="zh-CN"/>
              </w:rPr>
              <w:t>按照</w:t>
            </w:r>
            <w:r>
              <w:rPr>
                <w:rFonts w:hint="eastAsia"/>
                <w:color w:val="auto"/>
                <w:u w:val="none" w:color="auto"/>
              </w:rPr>
              <w:t>GB15562.2设置环境保护图形标志，不相容的一般工业固体废物应设置不同的分区进行贮存，贮存场禁止危险废物和生活垃圾混入，建立检查维护制度，定期检查维护一般固废库，发现有损坏可能或异常，应及时采取必要措施，以保障正常运行，建立档案制度。将入场的一般工业固体废物的种类和数量以及下列资料，详细记录在案，长期保存，供随时查阅。</w:t>
            </w:r>
          </w:p>
          <w:p w14:paraId="415FD57E">
            <w:pPr>
              <w:ind w:firstLine="480"/>
              <w:rPr>
                <w:rFonts w:hint="eastAsia"/>
                <w:color w:val="auto"/>
                <w:u w:val="none" w:color="auto"/>
              </w:rPr>
            </w:pPr>
            <w:r>
              <w:rPr>
                <w:rFonts w:hint="eastAsia"/>
                <w:color w:val="auto"/>
                <w:u w:val="none" w:color="auto"/>
              </w:rPr>
              <w:t>（2）危险固废</w:t>
            </w:r>
          </w:p>
          <w:p w14:paraId="67149AE5">
            <w:pPr>
              <w:ind w:firstLine="480"/>
              <w:rPr>
                <w:rFonts w:hint="eastAsia"/>
                <w:color w:val="auto"/>
                <w:u w:val="none" w:color="auto"/>
              </w:rPr>
            </w:pPr>
            <w:r>
              <w:rPr>
                <w:rFonts w:hint="eastAsia"/>
                <w:color w:val="auto"/>
                <w:u w:val="none" w:color="auto"/>
              </w:rPr>
              <w:t>本项目产生的危险固废主要是含电解液的废料、机修废机油</w:t>
            </w:r>
            <w:r>
              <w:rPr>
                <w:rFonts w:hint="eastAsia"/>
                <w:color w:val="auto"/>
                <w:u w:val="none" w:color="auto"/>
                <w:lang w:eastAsia="zh-CN"/>
              </w:rPr>
              <w:t>、废抹布等。</w:t>
            </w:r>
            <w:r>
              <w:rPr>
                <w:rFonts w:hint="eastAsia"/>
                <w:color w:val="auto"/>
                <w:u w:val="none" w:color="auto"/>
              </w:rPr>
              <w:t>项目</w:t>
            </w:r>
            <w:r>
              <w:rPr>
                <w:rFonts w:hint="eastAsia"/>
                <w:color w:val="auto"/>
                <w:u w:val="none" w:color="auto"/>
                <w:lang w:eastAsia="zh-CN"/>
              </w:rPr>
              <w:t>厂房四楼</w:t>
            </w:r>
            <w:r>
              <w:rPr>
                <w:rFonts w:hint="eastAsia"/>
                <w:color w:val="auto"/>
                <w:u w:val="none" w:color="auto"/>
              </w:rPr>
              <w:t>设置危废</w:t>
            </w:r>
            <w:r>
              <w:rPr>
                <w:rFonts w:hint="eastAsia"/>
                <w:color w:val="auto"/>
                <w:u w:val="none" w:color="auto"/>
                <w:lang w:eastAsia="zh-CN"/>
              </w:rPr>
              <w:t>暂存间</w:t>
            </w:r>
            <w:r>
              <w:rPr>
                <w:rFonts w:hint="eastAsia"/>
                <w:color w:val="auto"/>
                <w:u w:val="none" w:color="auto"/>
              </w:rPr>
              <w:t>，</w:t>
            </w:r>
            <w:r>
              <w:rPr>
                <w:rFonts w:hint="eastAsia"/>
                <w:color w:val="auto"/>
                <w:u w:val="none" w:color="auto"/>
                <w:lang w:eastAsia="zh-CN"/>
              </w:rPr>
              <w:t>项目危险废物管理及危废暂存间标识标牌等规范建设存在不规范等问题，</w:t>
            </w:r>
            <w:r>
              <w:rPr>
                <w:rFonts w:hint="eastAsia"/>
                <w:color w:val="auto"/>
                <w:u w:val="none" w:color="auto"/>
                <w:lang w:val="en-US" w:eastAsia="zh-CN"/>
              </w:rPr>
              <w:t>建设单位需</w:t>
            </w:r>
            <w:r>
              <w:rPr>
                <w:rFonts w:hint="eastAsia"/>
                <w:color w:val="auto"/>
                <w:u w:val="none" w:color="auto"/>
              </w:rPr>
              <w:t>按照《危险废物贮存污染控制标准》(</w:t>
            </w:r>
            <w:r>
              <w:rPr>
                <w:rFonts w:hint="eastAsia"/>
                <w:color w:val="auto"/>
                <w:u w:val="none" w:color="auto"/>
                <w:lang w:eastAsia="zh-CN"/>
              </w:rPr>
              <w:t>GB 18597-2023</w:t>
            </w:r>
            <w:r>
              <w:rPr>
                <w:rFonts w:hint="eastAsia"/>
                <w:color w:val="auto"/>
                <w:u w:val="none" w:color="auto"/>
              </w:rPr>
              <w:t>)相关要求</w:t>
            </w:r>
            <w:r>
              <w:rPr>
                <w:rFonts w:hint="eastAsia"/>
                <w:color w:val="auto"/>
                <w:u w:val="none" w:color="auto"/>
                <w:lang w:eastAsia="zh-CN"/>
              </w:rPr>
              <w:t>进行整改</w:t>
            </w:r>
            <w:r>
              <w:rPr>
                <w:rFonts w:hint="eastAsia"/>
                <w:color w:val="auto"/>
                <w:u w:val="none" w:color="auto"/>
              </w:rPr>
              <w:t>，并在危废仓醒目的地方设置危险废物警告标识。本项目企业产生的危废应定期委托有资质具备相应处理能力的公司进行处置。</w:t>
            </w:r>
          </w:p>
          <w:p w14:paraId="0283744D">
            <w:pPr>
              <w:tabs>
                <w:tab w:val="left" w:pos="1440"/>
                <w:tab w:val="left" w:pos="1800"/>
              </w:tabs>
              <w:adjustRightInd w:val="0"/>
              <w:ind w:firstLine="482"/>
              <w:jc w:val="left"/>
              <w:rPr>
                <w:rFonts w:hint="eastAsia"/>
                <w:b/>
                <w:bCs/>
                <w:color w:val="auto"/>
                <w:u w:val="none" w:color="auto"/>
              </w:rPr>
            </w:pPr>
            <w:r>
              <w:rPr>
                <w:rFonts w:hint="eastAsia"/>
                <w:color w:val="auto"/>
                <w:u w:val="none" w:color="auto"/>
              </w:rPr>
              <w:t>NMP回收液在厂内原料仓库暂存，定期交供货厂家回收</w:t>
            </w:r>
            <w:r>
              <w:rPr>
                <w:rFonts w:hint="eastAsia"/>
                <w:color w:val="auto"/>
                <w:u w:val="none" w:color="auto"/>
                <w:lang w:eastAsia="zh-CN"/>
              </w:rPr>
              <w:t>综合利用；</w:t>
            </w:r>
            <w:r>
              <w:rPr>
                <w:rFonts w:hint="eastAsia"/>
                <w:color w:val="auto"/>
                <w:u w:val="none" w:color="auto"/>
              </w:rPr>
              <w:t>NMP</w:t>
            </w:r>
            <w:r>
              <w:rPr>
                <w:rFonts w:hint="eastAsia"/>
                <w:color w:val="auto"/>
                <w:u w:val="none" w:color="auto"/>
                <w:lang w:eastAsia="zh-CN"/>
              </w:rPr>
              <w:t>为有机溶剂，厂内暂存期间按危险废物的要求进行管理。</w:t>
            </w:r>
          </w:p>
          <w:p w14:paraId="5BFDB228">
            <w:pPr>
              <w:tabs>
                <w:tab w:val="left" w:pos="1440"/>
                <w:tab w:val="left" w:pos="1800"/>
              </w:tabs>
              <w:adjustRightInd w:val="0"/>
              <w:ind w:firstLine="482"/>
              <w:jc w:val="left"/>
              <w:rPr>
                <w:rFonts w:hint="eastAsia"/>
                <w:b/>
                <w:bCs/>
                <w:color w:val="auto"/>
                <w:u w:val="none" w:color="auto"/>
              </w:rPr>
            </w:pPr>
            <w:r>
              <w:rPr>
                <w:rFonts w:hint="eastAsia"/>
                <w:b/>
                <w:bCs/>
                <w:color w:val="auto"/>
                <w:u w:val="none" w:color="auto"/>
              </w:rPr>
              <w:t>本</w:t>
            </w:r>
            <w:r>
              <w:rPr>
                <w:rFonts w:hint="eastAsia"/>
                <w:b/>
                <w:bCs/>
                <w:color w:val="auto"/>
                <w:u w:val="none" w:color="auto"/>
                <w:lang w:eastAsia="zh-CN"/>
              </w:rPr>
              <w:t>次评价对</w:t>
            </w:r>
            <w:r>
              <w:rPr>
                <w:rFonts w:hint="eastAsia"/>
                <w:b/>
                <w:bCs/>
                <w:color w:val="auto"/>
                <w:u w:val="none" w:color="auto"/>
              </w:rPr>
              <w:t>危废贮存场所</w:t>
            </w:r>
            <w:r>
              <w:rPr>
                <w:rFonts w:hint="eastAsia"/>
                <w:b/>
                <w:bCs/>
                <w:color w:val="auto"/>
                <w:u w:val="none" w:color="auto"/>
                <w:lang w:eastAsia="zh-CN"/>
              </w:rPr>
              <w:t>提出如下整改要求</w:t>
            </w:r>
            <w:r>
              <w:rPr>
                <w:rFonts w:hint="eastAsia"/>
                <w:b/>
                <w:bCs/>
                <w:color w:val="auto"/>
                <w:u w:val="none" w:color="auto"/>
              </w:rPr>
              <w:t>：</w:t>
            </w:r>
          </w:p>
          <w:p w14:paraId="650471B9">
            <w:pPr>
              <w:ind w:firstLine="480"/>
              <w:rPr>
                <w:rFonts w:hint="eastAsia"/>
                <w:color w:val="auto"/>
                <w:u w:val="none" w:color="auto"/>
              </w:rPr>
            </w:pPr>
            <w:r>
              <w:rPr>
                <w:rFonts w:hint="eastAsia"/>
                <w:color w:val="auto"/>
                <w:u w:val="none" w:color="auto"/>
              </w:rPr>
              <w:t>1）产生危废的车间，必须使用专用储存设施，并将危险废物装入专用容器中，无法装入常用容器的危险废物可用防漏胶袋等盛装，盛装危险废物的容器和胶带必须贴符合《危险废物贮存污染控制标准》（</w:t>
            </w:r>
            <w:r>
              <w:rPr>
                <w:rFonts w:hint="eastAsia"/>
                <w:color w:val="auto"/>
                <w:u w:val="none" w:color="auto"/>
                <w:lang w:eastAsia="zh-CN"/>
              </w:rPr>
              <w:t>GB 18597-2023</w:t>
            </w:r>
            <w:r>
              <w:rPr>
                <w:rFonts w:hint="eastAsia"/>
                <w:color w:val="auto"/>
                <w:u w:val="none" w:color="auto"/>
              </w:rPr>
              <w:t>）附录A所示的标签等，防止造成二次污染。危险废物暂存时需有塑料内衬密封，并设有专用暂存区，不得混存，且须做好防淋防渗措施，以避免固废中的挥发物质对环境造成污染。</w:t>
            </w:r>
          </w:p>
          <w:p w14:paraId="787CC98E">
            <w:pPr>
              <w:ind w:firstLine="480"/>
              <w:rPr>
                <w:rFonts w:hint="eastAsia"/>
                <w:color w:val="auto"/>
                <w:u w:val="none" w:color="auto"/>
              </w:rPr>
            </w:pPr>
            <w:r>
              <w:rPr>
                <w:rFonts w:hint="eastAsia"/>
                <w:color w:val="auto"/>
                <w:u w:val="none" w:color="auto"/>
              </w:rPr>
              <w:t>2）对于危废的收集及贮存，应根据危险固废的成分，用符合国家标准的耐腐蚀、不易破损、变形和老化的容器贮存，并按规定在贮存危废容器上贴上标签，详细注明危废的名称、重量、成分、特性以及发生泄漏、扩散污染事故时的应急措施和补救办法。</w:t>
            </w:r>
          </w:p>
          <w:p w14:paraId="3EB16D84">
            <w:pPr>
              <w:ind w:firstLine="480"/>
              <w:rPr>
                <w:rFonts w:hint="eastAsia"/>
                <w:color w:val="auto"/>
                <w:u w:val="none" w:color="auto"/>
              </w:rPr>
            </w:pPr>
            <w:r>
              <w:rPr>
                <w:rFonts w:hint="eastAsia"/>
                <w:color w:val="auto"/>
                <w:u w:val="none" w:color="auto"/>
              </w:rPr>
              <w:t>3）危险废物的收集和转运过程中，应采取相应的安全防护和污染防治措施，包括防爆、防火、防中毒、防感染、防</w:t>
            </w:r>
            <w:r>
              <w:rPr>
                <w:rFonts w:hint="eastAsia"/>
                <w:color w:val="auto"/>
                <w:u w:val="none" w:color="auto"/>
                <w:lang w:eastAsia="zh-CN"/>
              </w:rPr>
              <w:t>泄漏</w:t>
            </w:r>
            <w:r>
              <w:rPr>
                <w:rFonts w:hint="eastAsia"/>
                <w:color w:val="auto"/>
                <w:u w:val="none" w:color="auto"/>
              </w:rPr>
              <w:t>、防飞扬、防雨或</w:t>
            </w:r>
            <w:r>
              <w:rPr>
                <w:rFonts w:hint="eastAsia"/>
                <w:color w:val="auto"/>
                <w:u w:val="none" w:color="auto"/>
                <w:lang w:eastAsia="zh-CN"/>
              </w:rPr>
              <w:t>其他</w:t>
            </w:r>
            <w:r>
              <w:rPr>
                <w:rFonts w:hint="eastAsia"/>
                <w:color w:val="auto"/>
                <w:u w:val="none" w:color="auto"/>
              </w:rPr>
              <w:t>防止污染环境的措施。</w:t>
            </w:r>
          </w:p>
          <w:p w14:paraId="3CBBE5AD">
            <w:pPr>
              <w:ind w:firstLine="480"/>
              <w:rPr>
                <w:rFonts w:hint="eastAsia"/>
                <w:color w:val="auto"/>
                <w:u w:val="none" w:color="auto"/>
              </w:rPr>
            </w:pPr>
            <w:r>
              <w:rPr>
                <w:rFonts w:hint="eastAsia"/>
                <w:color w:val="auto"/>
                <w:u w:val="none" w:color="auto"/>
              </w:rPr>
              <w:t>4）危险废物贮存设施要符合国家危险固废贮存场所的建设要求，危险固废贮存设施要建有堵截泄漏的裙脚，地面与裙脚用坚固的防渗材料建造，并建有隔离设施和防风、防晒、防雨设施，基础防渗层用2mm的高密度聚乙烯材料组成，表面用耐腐蚀材料硬化，衬层上建有渗滤液收集清除系统、径流导出系统、收集池。储存间内清理出来的泄漏物也属于危险废物，必须按照危险废物处理原则处理。</w:t>
            </w:r>
          </w:p>
          <w:p w14:paraId="38BC2846">
            <w:pPr>
              <w:ind w:firstLine="480"/>
              <w:rPr>
                <w:rFonts w:hint="eastAsia"/>
                <w:color w:val="auto"/>
                <w:u w:val="none" w:color="auto"/>
              </w:rPr>
            </w:pPr>
            <w:r>
              <w:rPr>
                <w:rFonts w:hint="eastAsia"/>
                <w:color w:val="auto"/>
                <w:u w:val="none" w:color="auto"/>
              </w:rPr>
              <w:t>5）地面与</w:t>
            </w:r>
            <w:r>
              <w:rPr>
                <w:rFonts w:hint="eastAsia"/>
                <w:color w:val="auto"/>
                <w:u w:val="none" w:color="auto"/>
                <w:lang w:eastAsia="zh-CN"/>
              </w:rPr>
              <w:t>墙脚</w:t>
            </w:r>
            <w:r>
              <w:rPr>
                <w:rFonts w:hint="eastAsia"/>
                <w:color w:val="auto"/>
                <w:u w:val="none" w:color="auto"/>
              </w:rPr>
              <w:t>要用坚固、防渗、防腐的材料建造；危险废物存放间场地防渗处理后，渗透系统要小于1×10</w:t>
            </w:r>
            <w:r>
              <w:rPr>
                <w:rFonts w:hint="eastAsia"/>
                <w:color w:val="auto"/>
                <w:u w:val="none" w:color="auto"/>
                <w:vertAlign w:val="superscript"/>
              </w:rPr>
              <w:t>-10</w:t>
            </w:r>
            <w:r>
              <w:rPr>
                <w:rFonts w:hint="eastAsia"/>
                <w:color w:val="auto"/>
                <w:u w:val="none" w:color="auto"/>
              </w:rPr>
              <w:t>cm/s。</w:t>
            </w:r>
          </w:p>
          <w:p w14:paraId="3E59B563">
            <w:pPr>
              <w:ind w:firstLine="480"/>
              <w:rPr>
                <w:rFonts w:hint="eastAsia"/>
                <w:color w:val="auto"/>
                <w:u w:val="none" w:color="auto"/>
              </w:rPr>
            </w:pPr>
            <w:r>
              <w:rPr>
                <w:rFonts w:hint="eastAsia"/>
                <w:color w:val="auto"/>
                <w:u w:val="none" w:color="auto"/>
              </w:rPr>
              <w:t>6）公司应设置专门的危险固废处置机构，作为厂内环境管理、监测的重要组成部分，主要负责危险固废的收集、贮存及处置。</w:t>
            </w:r>
          </w:p>
          <w:p w14:paraId="7C4D50E5">
            <w:pPr>
              <w:ind w:firstLine="480"/>
              <w:rPr>
                <w:rFonts w:hint="eastAsia"/>
                <w:color w:val="auto"/>
                <w:u w:val="none" w:color="auto"/>
              </w:rPr>
            </w:pPr>
            <w:r>
              <w:rPr>
                <w:rFonts w:hint="eastAsia"/>
                <w:color w:val="auto"/>
                <w:u w:val="none" w:color="auto"/>
              </w:rPr>
              <w:t>7）按月统计公司各车间的危险废物种类、产生量、暂存时间、交由处置时间等除此之外，危险废物存放间还要记录危险废物的名称、来源、数量、特性和包装容器的类别、入库日期、存放库位、出库日期及</w:t>
            </w:r>
            <w:r>
              <w:rPr>
                <w:rFonts w:hint="eastAsia"/>
                <w:color w:val="auto"/>
                <w:u w:val="none" w:color="auto"/>
                <w:lang w:eastAsia="zh-CN"/>
              </w:rPr>
              <w:t>接收单位</w:t>
            </w:r>
            <w:r>
              <w:rPr>
                <w:rFonts w:hint="eastAsia"/>
                <w:color w:val="auto"/>
                <w:u w:val="none" w:color="auto"/>
              </w:rPr>
              <w:t>名称。</w:t>
            </w:r>
          </w:p>
          <w:p w14:paraId="2C26C9CB">
            <w:pPr>
              <w:tabs>
                <w:tab w:val="left" w:pos="1440"/>
                <w:tab w:val="left" w:pos="1800"/>
              </w:tabs>
              <w:adjustRightInd w:val="0"/>
              <w:ind w:firstLine="482"/>
              <w:jc w:val="left"/>
              <w:rPr>
                <w:b/>
                <w:bCs/>
                <w:color w:val="auto"/>
                <w:u w:val="none" w:color="auto"/>
              </w:rPr>
            </w:pPr>
            <w:r>
              <w:rPr>
                <w:b/>
                <w:bCs/>
                <w:color w:val="auto"/>
                <w:u w:val="none" w:color="auto"/>
              </w:rPr>
              <w:t>贮存安全管理规定：</w:t>
            </w:r>
          </w:p>
          <w:p w14:paraId="69672328">
            <w:pPr>
              <w:ind w:firstLine="480"/>
              <w:rPr>
                <w:color w:val="auto"/>
                <w:u w:val="none" w:color="auto"/>
              </w:rPr>
            </w:pPr>
            <w:r>
              <w:rPr>
                <w:color w:val="auto"/>
                <w:u w:val="none" w:color="auto"/>
              </w:rPr>
              <w:t>根据《危险废物贮存污染控制标准》（</w:t>
            </w:r>
            <w:r>
              <w:rPr>
                <w:rFonts w:hint="eastAsia"/>
                <w:color w:val="auto"/>
                <w:u w:val="none" w:color="auto"/>
                <w:lang w:eastAsia="zh-CN"/>
              </w:rPr>
              <w:t>GB 18597-2023</w:t>
            </w:r>
            <w:r>
              <w:rPr>
                <w:color w:val="auto"/>
                <w:u w:val="none" w:color="auto"/>
              </w:rPr>
              <w:t>），本项目产生的废润滑油和废机油应存放于阴凉、通风、干燥的场所，储存于专用收集容器，防止阳光直射，保持容器密封。</w:t>
            </w:r>
          </w:p>
          <w:p w14:paraId="0EF34493">
            <w:pPr>
              <w:ind w:firstLine="482"/>
              <w:rPr>
                <w:b/>
                <w:bCs/>
                <w:color w:val="auto"/>
                <w:u w:val="none" w:color="auto"/>
              </w:rPr>
            </w:pPr>
            <w:r>
              <w:rPr>
                <w:b/>
                <w:bCs/>
                <w:color w:val="auto"/>
                <w:u w:val="none" w:color="auto"/>
              </w:rPr>
              <w:t>运输注意事项：</w:t>
            </w:r>
          </w:p>
          <w:p w14:paraId="29487050">
            <w:pPr>
              <w:ind w:firstLine="480"/>
              <w:rPr>
                <w:color w:val="auto"/>
                <w:u w:val="none" w:color="auto"/>
              </w:rPr>
            </w:pPr>
            <w:r>
              <w:rPr>
                <w:rFonts w:hint="default" w:ascii="Times New Roman" w:hAnsi="Times New Roman" w:cs="Times New Roman" w:eastAsiaTheme="minorEastAsia"/>
                <w:b w:val="0"/>
                <w:bCs/>
                <w:color w:val="auto"/>
                <w:sz w:val="24"/>
                <w:szCs w:val="24"/>
                <w:u w:val="none" w:color="auto"/>
              </w:rPr>
              <w:t>危险废物产生单位应制定危险废物管理计划，获得转移批准并取得转移联单后方能转移</w:t>
            </w:r>
            <w:r>
              <w:rPr>
                <w:color w:val="auto"/>
                <w:u w:val="none" w:color="auto"/>
              </w:rPr>
              <w:t>。</w:t>
            </w:r>
          </w:p>
          <w:p w14:paraId="2F385F97">
            <w:pPr>
              <w:ind w:firstLine="480"/>
              <w:rPr>
                <w:color w:val="auto"/>
                <w:u w:val="none" w:color="auto"/>
              </w:rPr>
            </w:pPr>
            <w:r>
              <w:rPr>
                <w:rFonts w:hint="eastAsia"/>
                <w:color w:val="auto"/>
                <w:u w:val="none" w:color="auto"/>
                <w:lang w:eastAsia="zh-CN"/>
              </w:rPr>
              <w:t>（</w:t>
            </w:r>
            <w:r>
              <w:rPr>
                <w:rFonts w:hint="eastAsia"/>
                <w:color w:val="auto"/>
                <w:u w:val="none" w:color="auto"/>
                <w:lang w:val="en-US" w:eastAsia="zh-CN"/>
              </w:rPr>
              <w:t>3</w:t>
            </w:r>
            <w:r>
              <w:rPr>
                <w:rFonts w:hint="eastAsia"/>
                <w:color w:val="auto"/>
                <w:u w:val="none" w:color="auto"/>
                <w:lang w:eastAsia="zh-CN"/>
              </w:rPr>
              <w:t>）</w:t>
            </w:r>
            <w:r>
              <w:rPr>
                <w:rFonts w:hint="eastAsia"/>
                <w:color w:val="auto"/>
                <w:u w:val="none" w:color="auto"/>
              </w:rPr>
              <w:t>生活垃圾</w:t>
            </w:r>
          </w:p>
          <w:p w14:paraId="289BF316">
            <w:pPr>
              <w:ind w:firstLine="480"/>
              <w:rPr>
                <w:color w:val="auto"/>
                <w:u w:val="none" w:color="auto"/>
              </w:rPr>
            </w:pPr>
            <w:r>
              <w:rPr>
                <w:rFonts w:hint="eastAsia"/>
                <w:color w:val="auto"/>
                <w:u w:val="none" w:color="auto"/>
              </w:rPr>
              <w:t>本项目生活垃圾由建设单位收集后，暂存于生活垃圾桶，每天交环卫部门统一处理。</w:t>
            </w:r>
          </w:p>
          <w:p w14:paraId="04FB8F9C">
            <w:pPr>
              <w:ind w:firstLine="480"/>
              <w:jc w:val="left"/>
              <w:rPr>
                <w:color w:val="auto"/>
                <w:u w:val="none" w:color="auto"/>
              </w:rPr>
            </w:pPr>
            <w:r>
              <w:rPr>
                <w:rFonts w:hint="eastAsia"/>
                <w:color w:val="auto"/>
                <w:u w:val="none" w:color="auto"/>
              </w:rPr>
              <w:t>综上所述，本项目固废均得到合理处置，不会造成二次污染，对项目周边的环境影响很小。</w:t>
            </w:r>
          </w:p>
          <w:p w14:paraId="423B1E29">
            <w:pPr>
              <w:spacing w:line="240" w:lineRule="auto"/>
              <w:ind w:firstLine="422"/>
              <w:jc w:val="center"/>
              <w:rPr>
                <w:rFonts w:hint="eastAsia"/>
                <w:b/>
                <w:bCs/>
                <w:color w:val="auto"/>
                <w:sz w:val="21"/>
                <w:szCs w:val="21"/>
                <w:u w:val="none" w:color="auto"/>
              </w:rPr>
            </w:pPr>
            <w:r>
              <w:rPr>
                <w:rFonts w:hint="eastAsia"/>
                <w:b/>
                <w:bCs/>
                <w:color w:val="auto"/>
                <w:sz w:val="21"/>
                <w:szCs w:val="21"/>
                <w:u w:val="none" w:color="auto"/>
              </w:rPr>
              <w:t>表4-1</w:t>
            </w:r>
            <w:r>
              <w:rPr>
                <w:rFonts w:hint="eastAsia"/>
                <w:b/>
                <w:bCs/>
                <w:color w:val="auto"/>
                <w:sz w:val="21"/>
                <w:szCs w:val="21"/>
                <w:u w:val="none" w:color="auto"/>
                <w:lang w:val="en-US" w:eastAsia="zh-CN"/>
              </w:rPr>
              <w:t>4</w:t>
            </w:r>
            <w:r>
              <w:rPr>
                <w:rFonts w:hint="eastAsia"/>
                <w:b/>
                <w:bCs/>
                <w:color w:val="auto"/>
                <w:sz w:val="21"/>
                <w:szCs w:val="21"/>
                <w:u w:val="none" w:color="auto"/>
              </w:rPr>
              <w:t>建设项目危险废物产生及处置情况汇总表</w:t>
            </w:r>
          </w:p>
          <w:tbl>
            <w:tblPr>
              <w:tblStyle w:val="28"/>
              <w:tblW w:w="8313"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672"/>
              <w:gridCol w:w="672"/>
              <w:gridCol w:w="672"/>
              <w:gridCol w:w="755"/>
              <w:gridCol w:w="690"/>
              <w:gridCol w:w="735"/>
              <w:gridCol w:w="360"/>
              <w:gridCol w:w="645"/>
              <w:gridCol w:w="578"/>
              <w:gridCol w:w="742"/>
              <w:gridCol w:w="1120"/>
            </w:tblGrid>
            <w:tr w14:paraId="0E7ED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672" w:type="dxa"/>
                  <w:noWrap w:val="0"/>
                  <w:vAlign w:val="center"/>
                </w:tcPr>
                <w:p w14:paraId="003127F1">
                  <w:pPr>
                    <w:pStyle w:val="46"/>
                    <w:rPr>
                      <w:rFonts w:hint="eastAsia"/>
                      <w:color w:val="auto"/>
                      <w:u w:val="none" w:color="auto"/>
                    </w:rPr>
                  </w:pPr>
                  <w:r>
                    <w:rPr>
                      <w:rFonts w:hint="eastAsia"/>
                      <w:color w:val="auto"/>
                      <w:u w:val="none" w:color="auto"/>
                    </w:rPr>
                    <w:t>贮存场所名称</w:t>
                  </w:r>
                </w:p>
              </w:tc>
              <w:tc>
                <w:tcPr>
                  <w:tcW w:w="672" w:type="dxa"/>
                  <w:noWrap w:val="0"/>
                  <w:vAlign w:val="center"/>
                </w:tcPr>
                <w:p w14:paraId="578C26E1">
                  <w:pPr>
                    <w:pStyle w:val="46"/>
                    <w:rPr>
                      <w:rFonts w:hint="eastAsia"/>
                      <w:color w:val="auto"/>
                      <w:u w:val="none" w:color="auto"/>
                    </w:rPr>
                  </w:pPr>
                  <w:r>
                    <w:rPr>
                      <w:rFonts w:hint="eastAsia"/>
                      <w:color w:val="auto"/>
                      <w:u w:val="none" w:color="auto"/>
                    </w:rPr>
                    <w:t>危险废物名称</w:t>
                  </w:r>
                </w:p>
              </w:tc>
              <w:tc>
                <w:tcPr>
                  <w:tcW w:w="672" w:type="dxa"/>
                  <w:noWrap w:val="0"/>
                  <w:vAlign w:val="center"/>
                </w:tcPr>
                <w:p w14:paraId="3C77671C">
                  <w:pPr>
                    <w:pStyle w:val="46"/>
                    <w:rPr>
                      <w:rFonts w:hint="eastAsia"/>
                      <w:color w:val="auto"/>
                      <w:u w:val="none" w:color="auto"/>
                    </w:rPr>
                  </w:pPr>
                  <w:r>
                    <w:rPr>
                      <w:rFonts w:hint="eastAsia"/>
                      <w:color w:val="auto"/>
                      <w:u w:val="none" w:color="auto"/>
                    </w:rPr>
                    <w:t>危险废物类别</w:t>
                  </w:r>
                </w:p>
              </w:tc>
              <w:tc>
                <w:tcPr>
                  <w:tcW w:w="672" w:type="dxa"/>
                  <w:noWrap w:val="0"/>
                  <w:vAlign w:val="center"/>
                </w:tcPr>
                <w:p w14:paraId="2ACBA2F5">
                  <w:pPr>
                    <w:pStyle w:val="46"/>
                    <w:rPr>
                      <w:rFonts w:hint="eastAsia"/>
                      <w:color w:val="auto"/>
                      <w:u w:val="none" w:color="auto"/>
                    </w:rPr>
                  </w:pPr>
                  <w:r>
                    <w:rPr>
                      <w:rFonts w:hint="eastAsia"/>
                      <w:color w:val="auto"/>
                      <w:u w:val="none" w:color="auto"/>
                    </w:rPr>
                    <w:t>危险废物代码</w:t>
                  </w:r>
                </w:p>
              </w:tc>
              <w:tc>
                <w:tcPr>
                  <w:tcW w:w="755" w:type="dxa"/>
                  <w:noWrap w:val="0"/>
                  <w:vAlign w:val="center"/>
                </w:tcPr>
                <w:p w14:paraId="3627B8E1">
                  <w:pPr>
                    <w:pStyle w:val="46"/>
                    <w:rPr>
                      <w:rFonts w:hint="eastAsia"/>
                      <w:color w:val="auto"/>
                      <w:u w:val="none" w:color="auto"/>
                    </w:rPr>
                  </w:pPr>
                  <w:r>
                    <w:rPr>
                      <w:rFonts w:hint="eastAsia"/>
                      <w:color w:val="auto"/>
                      <w:u w:val="none" w:color="auto"/>
                    </w:rPr>
                    <w:t>产生量t/a</w:t>
                  </w:r>
                </w:p>
              </w:tc>
              <w:tc>
                <w:tcPr>
                  <w:tcW w:w="690" w:type="dxa"/>
                  <w:noWrap w:val="0"/>
                  <w:vAlign w:val="center"/>
                </w:tcPr>
                <w:p w14:paraId="248116EB">
                  <w:pPr>
                    <w:pStyle w:val="46"/>
                    <w:rPr>
                      <w:rFonts w:hint="eastAsia"/>
                      <w:color w:val="auto"/>
                      <w:u w:val="none" w:color="auto"/>
                    </w:rPr>
                  </w:pPr>
                  <w:r>
                    <w:rPr>
                      <w:rFonts w:hint="eastAsia"/>
                      <w:color w:val="auto"/>
                      <w:u w:val="none" w:color="auto"/>
                    </w:rPr>
                    <w:t>产生工序及装置</w:t>
                  </w:r>
                </w:p>
              </w:tc>
              <w:tc>
                <w:tcPr>
                  <w:tcW w:w="735" w:type="dxa"/>
                  <w:noWrap w:val="0"/>
                  <w:vAlign w:val="center"/>
                </w:tcPr>
                <w:p w14:paraId="48197D20">
                  <w:pPr>
                    <w:pStyle w:val="46"/>
                    <w:rPr>
                      <w:rFonts w:hint="eastAsia"/>
                      <w:color w:val="auto"/>
                      <w:u w:val="none" w:color="auto"/>
                    </w:rPr>
                  </w:pPr>
                  <w:r>
                    <w:rPr>
                      <w:rFonts w:hint="eastAsia"/>
                      <w:color w:val="auto"/>
                      <w:u w:val="none" w:color="auto"/>
                    </w:rPr>
                    <w:t>有害成分</w:t>
                  </w:r>
                </w:p>
              </w:tc>
              <w:tc>
                <w:tcPr>
                  <w:tcW w:w="360" w:type="dxa"/>
                  <w:noWrap w:val="0"/>
                  <w:vAlign w:val="center"/>
                </w:tcPr>
                <w:p w14:paraId="1191D3DA">
                  <w:pPr>
                    <w:pStyle w:val="46"/>
                    <w:rPr>
                      <w:rFonts w:hint="eastAsia"/>
                      <w:color w:val="auto"/>
                      <w:u w:val="none" w:color="auto"/>
                    </w:rPr>
                  </w:pPr>
                  <w:r>
                    <w:rPr>
                      <w:rFonts w:hint="eastAsia"/>
                      <w:color w:val="auto"/>
                      <w:u w:val="none" w:color="auto"/>
                    </w:rPr>
                    <w:t>形态</w:t>
                  </w:r>
                </w:p>
              </w:tc>
              <w:tc>
                <w:tcPr>
                  <w:tcW w:w="645" w:type="dxa"/>
                  <w:noWrap w:val="0"/>
                  <w:vAlign w:val="center"/>
                </w:tcPr>
                <w:p w14:paraId="0B60B1B9">
                  <w:pPr>
                    <w:pStyle w:val="46"/>
                    <w:rPr>
                      <w:rFonts w:hint="eastAsia"/>
                      <w:color w:val="auto"/>
                      <w:u w:val="none" w:color="auto"/>
                    </w:rPr>
                  </w:pPr>
                  <w:r>
                    <w:rPr>
                      <w:rFonts w:hint="eastAsia"/>
                      <w:color w:val="auto"/>
                      <w:u w:val="none" w:color="auto"/>
                    </w:rPr>
                    <w:t>贮存方式</w:t>
                  </w:r>
                </w:p>
              </w:tc>
              <w:tc>
                <w:tcPr>
                  <w:tcW w:w="578" w:type="dxa"/>
                  <w:noWrap w:val="0"/>
                  <w:vAlign w:val="center"/>
                </w:tcPr>
                <w:p w14:paraId="10EB802A">
                  <w:pPr>
                    <w:pStyle w:val="46"/>
                    <w:rPr>
                      <w:rFonts w:hint="eastAsia"/>
                      <w:color w:val="auto"/>
                      <w:u w:val="none" w:color="auto"/>
                    </w:rPr>
                  </w:pPr>
                  <w:r>
                    <w:rPr>
                      <w:rFonts w:hint="eastAsia"/>
                      <w:color w:val="auto"/>
                      <w:u w:val="none" w:color="auto"/>
                    </w:rPr>
                    <w:t>产废周期</w:t>
                  </w:r>
                </w:p>
              </w:tc>
              <w:tc>
                <w:tcPr>
                  <w:tcW w:w="742" w:type="dxa"/>
                  <w:noWrap w:val="0"/>
                  <w:vAlign w:val="center"/>
                </w:tcPr>
                <w:p w14:paraId="0CD1F536">
                  <w:pPr>
                    <w:pStyle w:val="46"/>
                    <w:rPr>
                      <w:rFonts w:hint="eastAsia"/>
                      <w:color w:val="auto"/>
                      <w:u w:val="none" w:color="auto"/>
                    </w:rPr>
                  </w:pPr>
                  <w:r>
                    <w:rPr>
                      <w:rFonts w:hint="eastAsia"/>
                      <w:color w:val="auto"/>
                      <w:u w:val="none" w:color="auto"/>
                    </w:rPr>
                    <w:t>危险特性</w:t>
                  </w:r>
                </w:p>
              </w:tc>
              <w:tc>
                <w:tcPr>
                  <w:tcW w:w="1120" w:type="dxa"/>
                  <w:noWrap w:val="0"/>
                  <w:vAlign w:val="center"/>
                </w:tcPr>
                <w:p w14:paraId="38A338C8">
                  <w:pPr>
                    <w:pStyle w:val="46"/>
                    <w:rPr>
                      <w:rFonts w:hint="eastAsia"/>
                      <w:color w:val="auto"/>
                      <w:u w:val="none" w:color="auto"/>
                    </w:rPr>
                  </w:pPr>
                  <w:r>
                    <w:rPr>
                      <w:rFonts w:hint="eastAsia"/>
                      <w:color w:val="auto"/>
                      <w:u w:val="none" w:color="auto"/>
                    </w:rPr>
                    <w:t>治理措施</w:t>
                  </w:r>
                </w:p>
              </w:tc>
            </w:tr>
            <w:tr w14:paraId="6D9AA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672" w:type="dxa"/>
                  <w:vMerge w:val="restart"/>
                  <w:noWrap w:val="0"/>
                  <w:vAlign w:val="center"/>
                </w:tcPr>
                <w:p w14:paraId="16B686E5">
                  <w:pPr>
                    <w:pStyle w:val="46"/>
                    <w:rPr>
                      <w:rFonts w:hint="eastAsia" w:eastAsia="宋体"/>
                      <w:color w:val="auto"/>
                      <w:u w:val="none" w:color="auto"/>
                      <w:lang w:eastAsia="zh-CN"/>
                    </w:rPr>
                  </w:pPr>
                  <w:r>
                    <w:rPr>
                      <w:rFonts w:hint="eastAsia"/>
                      <w:color w:val="auto"/>
                      <w:u w:val="none" w:color="auto"/>
                    </w:rPr>
                    <w:t>危废</w:t>
                  </w:r>
                  <w:r>
                    <w:rPr>
                      <w:rFonts w:hint="eastAsia"/>
                      <w:color w:val="auto"/>
                      <w:u w:val="none" w:color="auto"/>
                      <w:lang w:eastAsia="zh-CN"/>
                    </w:rPr>
                    <w:t>暂存间</w:t>
                  </w:r>
                </w:p>
              </w:tc>
              <w:tc>
                <w:tcPr>
                  <w:tcW w:w="672" w:type="dxa"/>
                  <w:noWrap w:val="0"/>
                  <w:vAlign w:val="center"/>
                </w:tcPr>
                <w:p w14:paraId="043149FB">
                  <w:pPr>
                    <w:pStyle w:val="46"/>
                    <w:rPr>
                      <w:rFonts w:hint="eastAsia" w:eastAsia="宋体"/>
                      <w:color w:val="auto"/>
                      <w:u w:val="none" w:color="auto"/>
                      <w:lang w:eastAsia="zh-CN"/>
                    </w:rPr>
                  </w:pPr>
                  <w:r>
                    <w:rPr>
                      <w:rFonts w:hint="eastAsia"/>
                      <w:color w:val="auto"/>
                      <w:u w:val="none" w:color="auto"/>
                    </w:rPr>
                    <w:t>废机油</w:t>
                  </w:r>
                  <w:r>
                    <w:rPr>
                      <w:rFonts w:hint="eastAsia"/>
                      <w:color w:val="auto"/>
                      <w:u w:val="none" w:color="auto"/>
                      <w:lang w:eastAsia="zh-CN"/>
                    </w:rPr>
                    <w:t>、废抹布</w:t>
                  </w:r>
                </w:p>
              </w:tc>
              <w:tc>
                <w:tcPr>
                  <w:tcW w:w="672" w:type="dxa"/>
                  <w:noWrap w:val="0"/>
                  <w:vAlign w:val="center"/>
                </w:tcPr>
                <w:p w14:paraId="2D967F71">
                  <w:pPr>
                    <w:pStyle w:val="46"/>
                    <w:rPr>
                      <w:rFonts w:hint="eastAsia"/>
                      <w:color w:val="auto"/>
                      <w:u w:val="none" w:color="auto"/>
                      <w:lang w:val="zh-CN"/>
                    </w:rPr>
                  </w:pPr>
                  <w:r>
                    <w:rPr>
                      <w:rFonts w:hint="eastAsia"/>
                      <w:color w:val="auto"/>
                      <w:u w:val="none" w:color="auto"/>
                      <w:lang w:val="zh-CN"/>
                    </w:rPr>
                    <w:t>HW08</w:t>
                  </w:r>
                </w:p>
              </w:tc>
              <w:tc>
                <w:tcPr>
                  <w:tcW w:w="672" w:type="dxa"/>
                  <w:noWrap w:val="0"/>
                  <w:vAlign w:val="center"/>
                </w:tcPr>
                <w:p w14:paraId="4822C1A2">
                  <w:pPr>
                    <w:pStyle w:val="46"/>
                    <w:rPr>
                      <w:rFonts w:hint="eastAsia"/>
                      <w:color w:val="auto"/>
                      <w:u w:val="none" w:color="auto"/>
                    </w:rPr>
                  </w:pPr>
                  <w:r>
                    <w:rPr>
                      <w:rFonts w:hint="eastAsia"/>
                      <w:color w:val="auto"/>
                      <w:u w:val="none" w:color="auto"/>
                    </w:rPr>
                    <w:t>900-214-08</w:t>
                  </w:r>
                </w:p>
              </w:tc>
              <w:tc>
                <w:tcPr>
                  <w:tcW w:w="755" w:type="dxa"/>
                  <w:noWrap w:val="0"/>
                  <w:vAlign w:val="center"/>
                </w:tcPr>
                <w:p w14:paraId="57ADB187">
                  <w:pPr>
                    <w:pStyle w:val="46"/>
                    <w:rPr>
                      <w:rFonts w:hint="default" w:eastAsia="宋体"/>
                      <w:color w:val="auto"/>
                      <w:u w:val="none" w:color="auto"/>
                      <w:lang w:val="en-US" w:eastAsia="zh-CN"/>
                    </w:rPr>
                  </w:pPr>
                  <w:r>
                    <w:rPr>
                      <w:rFonts w:hint="eastAsia"/>
                      <w:color w:val="auto"/>
                      <w:u w:val="none" w:color="auto"/>
                    </w:rPr>
                    <w:t>0.</w:t>
                  </w:r>
                  <w:r>
                    <w:rPr>
                      <w:rFonts w:hint="eastAsia"/>
                      <w:color w:val="auto"/>
                      <w:u w:val="none" w:color="auto"/>
                      <w:lang w:val="en-US" w:eastAsia="zh-CN"/>
                    </w:rPr>
                    <w:t>01</w:t>
                  </w:r>
                </w:p>
              </w:tc>
              <w:tc>
                <w:tcPr>
                  <w:tcW w:w="690" w:type="dxa"/>
                  <w:noWrap w:val="0"/>
                  <w:vAlign w:val="center"/>
                </w:tcPr>
                <w:p w14:paraId="530762F9">
                  <w:pPr>
                    <w:pStyle w:val="46"/>
                    <w:rPr>
                      <w:rFonts w:hint="eastAsia"/>
                      <w:color w:val="auto"/>
                      <w:u w:val="none" w:color="auto"/>
                    </w:rPr>
                  </w:pPr>
                  <w:r>
                    <w:rPr>
                      <w:rFonts w:hint="eastAsia"/>
                      <w:color w:val="auto"/>
                      <w:u w:val="none" w:color="auto"/>
                    </w:rPr>
                    <w:t>机械维修</w:t>
                  </w:r>
                </w:p>
              </w:tc>
              <w:tc>
                <w:tcPr>
                  <w:tcW w:w="735" w:type="dxa"/>
                  <w:noWrap w:val="0"/>
                  <w:vAlign w:val="center"/>
                </w:tcPr>
                <w:p w14:paraId="2D64C285">
                  <w:pPr>
                    <w:pStyle w:val="46"/>
                    <w:rPr>
                      <w:rFonts w:hint="eastAsia"/>
                      <w:color w:val="auto"/>
                      <w:u w:val="none" w:color="auto"/>
                    </w:rPr>
                  </w:pPr>
                  <w:r>
                    <w:rPr>
                      <w:rFonts w:hint="eastAsia"/>
                      <w:color w:val="auto"/>
                      <w:u w:val="none" w:color="auto"/>
                    </w:rPr>
                    <w:t>废矿物油</w:t>
                  </w:r>
                </w:p>
              </w:tc>
              <w:tc>
                <w:tcPr>
                  <w:tcW w:w="360" w:type="dxa"/>
                  <w:noWrap w:val="0"/>
                  <w:vAlign w:val="center"/>
                </w:tcPr>
                <w:p w14:paraId="36B888D3">
                  <w:pPr>
                    <w:pStyle w:val="46"/>
                    <w:rPr>
                      <w:rFonts w:hint="eastAsia"/>
                      <w:color w:val="auto"/>
                      <w:u w:val="none" w:color="auto"/>
                    </w:rPr>
                  </w:pPr>
                  <w:r>
                    <w:rPr>
                      <w:rFonts w:hint="eastAsia"/>
                      <w:color w:val="auto"/>
                      <w:u w:val="none" w:color="auto"/>
                    </w:rPr>
                    <w:t>液态</w:t>
                  </w:r>
                </w:p>
              </w:tc>
              <w:tc>
                <w:tcPr>
                  <w:tcW w:w="645" w:type="dxa"/>
                  <w:noWrap w:val="0"/>
                  <w:vAlign w:val="center"/>
                </w:tcPr>
                <w:p w14:paraId="18144D91">
                  <w:pPr>
                    <w:pStyle w:val="46"/>
                    <w:rPr>
                      <w:rFonts w:hint="eastAsia"/>
                      <w:color w:val="auto"/>
                      <w:u w:val="none" w:color="auto"/>
                    </w:rPr>
                  </w:pPr>
                  <w:r>
                    <w:rPr>
                      <w:rFonts w:hint="eastAsia"/>
                      <w:color w:val="auto"/>
                      <w:u w:val="none" w:color="auto"/>
                    </w:rPr>
                    <w:t>桶装</w:t>
                  </w:r>
                </w:p>
              </w:tc>
              <w:tc>
                <w:tcPr>
                  <w:tcW w:w="578" w:type="dxa"/>
                  <w:noWrap w:val="0"/>
                  <w:vAlign w:val="center"/>
                </w:tcPr>
                <w:p w14:paraId="1F7636CD">
                  <w:pPr>
                    <w:pStyle w:val="46"/>
                    <w:rPr>
                      <w:rFonts w:hint="eastAsia"/>
                      <w:color w:val="auto"/>
                      <w:u w:val="none" w:color="auto"/>
                    </w:rPr>
                  </w:pPr>
                  <w:r>
                    <w:rPr>
                      <w:rFonts w:hint="eastAsia"/>
                      <w:color w:val="auto"/>
                      <w:u w:val="none" w:color="auto"/>
                    </w:rPr>
                    <w:t>1年/次</w:t>
                  </w:r>
                </w:p>
              </w:tc>
              <w:tc>
                <w:tcPr>
                  <w:tcW w:w="742" w:type="dxa"/>
                  <w:noWrap w:val="0"/>
                  <w:vAlign w:val="center"/>
                </w:tcPr>
                <w:p w14:paraId="16E906CD">
                  <w:pPr>
                    <w:pStyle w:val="46"/>
                    <w:rPr>
                      <w:rFonts w:hint="eastAsia"/>
                      <w:color w:val="auto"/>
                      <w:u w:val="none" w:color="auto"/>
                    </w:rPr>
                  </w:pPr>
                  <w:r>
                    <w:rPr>
                      <w:rFonts w:hint="eastAsia"/>
                      <w:color w:val="auto"/>
                      <w:u w:val="none" w:color="auto"/>
                    </w:rPr>
                    <w:t>T</w:t>
                  </w:r>
                  <w:r>
                    <w:rPr>
                      <w:rFonts w:hint="eastAsia"/>
                      <w:color w:val="auto"/>
                      <w:u w:val="none" w:color="auto"/>
                      <w:lang w:eastAsia="zh-CN"/>
                    </w:rPr>
                    <w:t>,</w:t>
                  </w:r>
                  <w:r>
                    <w:rPr>
                      <w:rFonts w:hint="eastAsia"/>
                      <w:color w:val="auto"/>
                      <w:u w:val="none" w:color="auto"/>
                    </w:rPr>
                    <w:t>I</w:t>
                  </w:r>
                </w:p>
              </w:tc>
              <w:tc>
                <w:tcPr>
                  <w:tcW w:w="1120" w:type="dxa"/>
                  <w:vMerge w:val="restart"/>
                  <w:noWrap w:val="0"/>
                  <w:vAlign w:val="center"/>
                </w:tcPr>
                <w:p w14:paraId="2C72CA3E">
                  <w:pPr>
                    <w:pStyle w:val="46"/>
                    <w:rPr>
                      <w:rFonts w:hint="eastAsia"/>
                      <w:color w:val="auto"/>
                      <w:u w:val="none" w:color="auto"/>
                    </w:rPr>
                  </w:pPr>
                  <w:r>
                    <w:rPr>
                      <w:rFonts w:hint="eastAsia"/>
                      <w:color w:val="auto"/>
                      <w:u w:val="none" w:color="auto"/>
                    </w:rPr>
                    <w:t>委托有资质单位处理</w:t>
                  </w:r>
                </w:p>
              </w:tc>
            </w:tr>
            <w:tr w14:paraId="0523C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672" w:type="dxa"/>
                  <w:vMerge w:val="continue"/>
                  <w:noWrap w:val="0"/>
                  <w:vAlign w:val="center"/>
                </w:tcPr>
                <w:p w14:paraId="7B1B537E">
                  <w:pPr>
                    <w:pStyle w:val="46"/>
                    <w:rPr>
                      <w:rFonts w:hint="eastAsia"/>
                      <w:color w:val="auto"/>
                      <w:u w:val="none" w:color="auto"/>
                    </w:rPr>
                  </w:pPr>
                </w:p>
              </w:tc>
              <w:tc>
                <w:tcPr>
                  <w:tcW w:w="672" w:type="dxa"/>
                  <w:noWrap w:val="0"/>
                  <w:vAlign w:val="center"/>
                </w:tcPr>
                <w:p w14:paraId="50881DB2">
                  <w:pPr>
                    <w:pStyle w:val="46"/>
                    <w:rPr>
                      <w:rFonts w:hint="eastAsia"/>
                      <w:color w:val="auto"/>
                      <w:u w:val="none" w:color="auto"/>
                    </w:rPr>
                  </w:pPr>
                  <w:r>
                    <w:rPr>
                      <w:rFonts w:hint="eastAsia"/>
                      <w:color w:val="auto"/>
                      <w:u w:val="none" w:color="auto"/>
                    </w:rPr>
                    <w:t>含电解液的废料</w:t>
                  </w:r>
                </w:p>
              </w:tc>
              <w:tc>
                <w:tcPr>
                  <w:tcW w:w="672" w:type="dxa"/>
                  <w:noWrap w:val="0"/>
                  <w:vAlign w:val="center"/>
                </w:tcPr>
                <w:p w14:paraId="38384A36">
                  <w:pPr>
                    <w:pStyle w:val="46"/>
                    <w:rPr>
                      <w:rFonts w:hint="eastAsia"/>
                      <w:color w:val="auto"/>
                      <w:u w:val="none" w:color="auto"/>
                      <w:lang w:val="zh-CN"/>
                    </w:rPr>
                  </w:pPr>
                  <w:r>
                    <w:rPr>
                      <w:rFonts w:hint="eastAsia"/>
                      <w:color w:val="auto"/>
                      <w:u w:val="none" w:color="auto"/>
                    </w:rPr>
                    <w:t>HW49</w:t>
                  </w:r>
                </w:p>
              </w:tc>
              <w:tc>
                <w:tcPr>
                  <w:tcW w:w="672" w:type="dxa"/>
                  <w:noWrap w:val="0"/>
                  <w:vAlign w:val="center"/>
                </w:tcPr>
                <w:p w14:paraId="4CA1AAC2">
                  <w:pPr>
                    <w:pStyle w:val="46"/>
                    <w:rPr>
                      <w:rFonts w:hint="eastAsia"/>
                      <w:color w:val="auto"/>
                      <w:u w:val="none" w:color="auto"/>
                      <w:lang w:val="zh-CN"/>
                    </w:rPr>
                  </w:pPr>
                  <w:r>
                    <w:rPr>
                      <w:rFonts w:hint="eastAsia"/>
                      <w:color w:val="auto"/>
                      <w:u w:val="none" w:color="auto"/>
                    </w:rPr>
                    <w:t>900-</w:t>
                  </w:r>
                  <w:r>
                    <w:rPr>
                      <w:rFonts w:hint="eastAsia"/>
                      <w:color w:val="auto"/>
                      <w:u w:val="none" w:color="auto"/>
                      <w:lang w:val="en-US" w:eastAsia="zh-CN"/>
                    </w:rPr>
                    <w:t>041</w:t>
                  </w:r>
                  <w:r>
                    <w:rPr>
                      <w:rFonts w:hint="eastAsia"/>
                      <w:color w:val="auto"/>
                      <w:u w:val="none" w:color="auto"/>
                    </w:rPr>
                    <w:t>-</w:t>
                  </w:r>
                  <w:r>
                    <w:rPr>
                      <w:rFonts w:hint="eastAsia"/>
                      <w:color w:val="auto"/>
                      <w:u w:val="none" w:color="auto"/>
                      <w:lang w:val="en-US" w:eastAsia="zh-CN"/>
                    </w:rPr>
                    <w:t>49</w:t>
                  </w:r>
                </w:p>
              </w:tc>
              <w:tc>
                <w:tcPr>
                  <w:tcW w:w="755" w:type="dxa"/>
                  <w:noWrap w:val="0"/>
                  <w:vAlign w:val="center"/>
                </w:tcPr>
                <w:p w14:paraId="112283B7">
                  <w:pPr>
                    <w:pStyle w:val="46"/>
                    <w:rPr>
                      <w:rFonts w:hint="eastAsia" w:eastAsia="宋体"/>
                      <w:color w:val="auto"/>
                      <w:u w:val="none" w:color="auto"/>
                      <w:lang w:eastAsia="zh-CN"/>
                    </w:rPr>
                  </w:pPr>
                  <w:r>
                    <w:rPr>
                      <w:rFonts w:hint="eastAsia"/>
                      <w:color w:val="auto"/>
                      <w:u w:val="none" w:color="auto"/>
                    </w:rPr>
                    <w:t>0.</w:t>
                  </w:r>
                  <w:r>
                    <w:rPr>
                      <w:rFonts w:hint="eastAsia"/>
                      <w:color w:val="auto"/>
                      <w:u w:val="none" w:color="auto"/>
                      <w:lang w:val="en-US" w:eastAsia="zh-CN"/>
                    </w:rPr>
                    <w:t>02</w:t>
                  </w:r>
                </w:p>
              </w:tc>
              <w:tc>
                <w:tcPr>
                  <w:tcW w:w="690" w:type="dxa"/>
                  <w:noWrap w:val="0"/>
                  <w:vAlign w:val="center"/>
                </w:tcPr>
                <w:p w14:paraId="772C8182">
                  <w:pPr>
                    <w:pStyle w:val="46"/>
                    <w:rPr>
                      <w:rFonts w:hint="eastAsia"/>
                      <w:color w:val="auto"/>
                      <w:u w:val="none" w:color="auto"/>
                    </w:rPr>
                  </w:pPr>
                  <w:r>
                    <w:rPr>
                      <w:rFonts w:hint="eastAsia"/>
                      <w:color w:val="auto"/>
                      <w:u w:val="none" w:color="auto"/>
                    </w:rPr>
                    <w:t>生产工序</w:t>
                  </w:r>
                </w:p>
              </w:tc>
              <w:tc>
                <w:tcPr>
                  <w:tcW w:w="735" w:type="dxa"/>
                  <w:noWrap w:val="0"/>
                  <w:vAlign w:val="center"/>
                </w:tcPr>
                <w:p w14:paraId="3E3DFCFF">
                  <w:pPr>
                    <w:pStyle w:val="46"/>
                    <w:rPr>
                      <w:rFonts w:hint="eastAsia"/>
                      <w:color w:val="auto"/>
                      <w:u w:val="none" w:color="auto"/>
                    </w:rPr>
                  </w:pPr>
                  <w:r>
                    <w:rPr>
                      <w:rFonts w:hint="eastAsia"/>
                      <w:color w:val="auto"/>
                      <w:u w:val="none" w:color="auto"/>
                    </w:rPr>
                    <w:t>电解液</w:t>
                  </w:r>
                </w:p>
              </w:tc>
              <w:tc>
                <w:tcPr>
                  <w:tcW w:w="360" w:type="dxa"/>
                  <w:noWrap w:val="0"/>
                  <w:vAlign w:val="center"/>
                </w:tcPr>
                <w:p w14:paraId="209EF0B8">
                  <w:pPr>
                    <w:pStyle w:val="46"/>
                    <w:rPr>
                      <w:rFonts w:hint="eastAsia"/>
                      <w:color w:val="auto"/>
                      <w:u w:val="none" w:color="auto"/>
                    </w:rPr>
                  </w:pPr>
                  <w:r>
                    <w:rPr>
                      <w:rFonts w:hint="eastAsia"/>
                      <w:color w:val="auto"/>
                      <w:u w:val="none" w:color="auto"/>
                    </w:rPr>
                    <w:t>液态、固态</w:t>
                  </w:r>
                </w:p>
              </w:tc>
              <w:tc>
                <w:tcPr>
                  <w:tcW w:w="645" w:type="dxa"/>
                  <w:noWrap w:val="0"/>
                  <w:vAlign w:val="center"/>
                </w:tcPr>
                <w:p w14:paraId="1974B6E6">
                  <w:pPr>
                    <w:pStyle w:val="46"/>
                    <w:rPr>
                      <w:rFonts w:hint="eastAsia"/>
                      <w:color w:val="auto"/>
                      <w:u w:val="none" w:color="auto"/>
                    </w:rPr>
                  </w:pPr>
                  <w:r>
                    <w:rPr>
                      <w:rFonts w:hint="eastAsia"/>
                      <w:color w:val="auto"/>
                      <w:u w:val="none" w:color="auto"/>
                    </w:rPr>
                    <w:t>桶装</w:t>
                  </w:r>
                </w:p>
              </w:tc>
              <w:tc>
                <w:tcPr>
                  <w:tcW w:w="578" w:type="dxa"/>
                  <w:noWrap w:val="0"/>
                  <w:vAlign w:val="center"/>
                </w:tcPr>
                <w:p w14:paraId="5A313A3D">
                  <w:pPr>
                    <w:pStyle w:val="46"/>
                    <w:rPr>
                      <w:rFonts w:hint="eastAsia"/>
                      <w:color w:val="auto"/>
                      <w:u w:val="none" w:color="auto"/>
                    </w:rPr>
                  </w:pPr>
                  <w:r>
                    <w:rPr>
                      <w:rFonts w:hint="eastAsia"/>
                      <w:color w:val="auto"/>
                      <w:u w:val="none" w:color="auto"/>
                    </w:rPr>
                    <w:t>1年/次</w:t>
                  </w:r>
                </w:p>
              </w:tc>
              <w:tc>
                <w:tcPr>
                  <w:tcW w:w="742" w:type="dxa"/>
                  <w:noWrap w:val="0"/>
                  <w:vAlign w:val="center"/>
                </w:tcPr>
                <w:p w14:paraId="16109430">
                  <w:pPr>
                    <w:pStyle w:val="46"/>
                    <w:rPr>
                      <w:rFonts w:hint="eastAsia"/>
                      <w:color w:val="auto"/>
                      <w:u w:val="none" w:color="auto"/>
                    </w:rPr>
                  </w:pPr>
                  <w:r>
                    <w:rPr>
                      <w:rFonts w:hint="eastAsia"/>
                      <w:color w:val="auto"/>
                      <w:u w:val="none" w:color="auto"/>
                    </w:rPr>
                    <w:t>T</w:t>
                  </w:r>
                  <w:r>
                    <w:rPr>
                      <w:rFonts w:hint="eastAsia"/>
                      <w:color w:val="auto"/>
                      <w:u w:val="none" w:color="auto"/>
                      <w:lang w:eastAsia="zh-CN"/>
                    </w:rPr>
                    <w:t>,</w:t>
                  </w:r>
                  <w:r>
                    <w:rPr>
                      <w:rFonts w:hint="eastAsia"/>
                      <w:color w:val="auto"/>
                      <w:u w:val="none" w:color="auto"/>
                    </w:rPr>
                    <w:t>I</w:t>
                  </w:r>
                  <w:r>
                    <w:rPr>
                      <w:rFonts w:hint="eastAsia"/>
                      <w:color w:val="auto"/>
                      <w:u w:val="none" w:color="auto"/>
                      <w:lang w:val="en-US" w:eastAsia="zh-CN"/>
                    </w:rPr>
                    <w:t>n</w:t>
                  </w:r>
                </w:p>
              </w:tc>
              <w:tc>
                <w:tcPr>
                  <w:tcW w:w="1120" w:type="dxa"/>
                  <w:vMerge w:val="continue"/>
                  <w:noWrap w:val="0"/>
                  <w:vAlign w:val="center"/>
                </w:tcPr>
                <w:p w14:paraId="7626A4DD">
                  <w:pPr>
                    <w:pStyle w:val="46"/>
                    <w:rPr>
                      <w:rFonts w:hint="eastAsia"/>
                      <w:color w:val="auto"/>
                      <w:u w:val="none" w:color="auto"/>
                    </w:rPr>
                  </w:pPr>
                </w:p>
              </w:tc>
            </w:tr>
            <w:tr w14:paraId="4559B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672" w:type="dxa"/>
                  <w:vMerge w:val="continue"/>
                  <w:tcBorders>
                    <w:bottom w:val="single" w:color="000000" w:sz="4" w:space="0"/>
                  </w:tcBorders>
                  <w:noWrap w:val="0"/>
                  <w:vAlign w:val="center"/>
                </w:tcPr>
                <w:p w14:paraId="79D15808">
                  <w:pPr>
                    <w:pStyle w:val="46"/>
                    <w:rPr>
                      <w:rFonts w:hint="eastAsia"/>
                      <w:color w:val="auto"/>
                      <w:u w:val="none" w:color="auto"/>
                    </w:rPr>
                  </w:pPr>
                </w:p>
              </w:tc>
              <w:tc>
                <w:tcPr>
                  <w:tcW w:w="672" w:type="dxa"/>
                  <w:tcBorders>
                    <w:bottom w:val="single" w:color="000000" w:sz="4" w:space="0"/>
                  </w:tcBorders>
                  <w:noWrap w:val="0"/>
                  <w:vAlign w:val="center"/>
                </w:tcPr>
                <w:p w14:paraId="4A7AAB1B">
                  <w:pPr>
                    <w:pStyle w:val="46"/>
                    <w:rPr>
                      <w:rFonts w:hint="eastAsia"/>
                      <w:color w:val="auto"/>
                      <w:u w:val="none" w:color="auto"/>
                    </w:rPr>
                  </w:pPr>
                  <w:r>
                    <w:rPr>
                      <w:rFonts w:hint="eastAsia" w:ascii="Times New Roman" w:hAnsi="Times New Roman" w:eastAsia="宋体" w:cs="Times New Roman"/>
                      <w:color w:val="auto"/>
                      <w:u w:val="none" w:color="auto"/>
                      <w:lang w:eastAsia="zh-CN"/>
                    </w:rPr>
                    <w:t>搅拌桶擦拭废抹布</w:t>
                  </w:r>
                </w:p>
              </w:tc>
              <w:tc>
                <w:tcPr>
                  <w:tcW w:w="672" w:type="dxa"/>
                  <w:noWrap w:val="0"/>
                  <w:vAlign w:val="center"/>
                </w:tcPr>
                <w:p w14:paraId="19C0AC26">
                  <w:pPr>
                    <w:pStyle w:val="46"/>
                    <w:rPr>
                      <w:rFonts w:hint="eastAsia"/>
                      <w:color w:val="auto"/>
                      <w:u w:val="none" w:color="auto"/>
                    </w:rPr>
                  </w:pPr>
                  <w:r>
                    <w:rPr>
                      <w:rFonts w:hint="eastAsia"/>
                      <w:color w:val="auto"/>
                      <w:u w:val="none" w:color="auto"/>
                    </w:rPr>
                    <w:t>HW49</w:t>
                  </w:r>
                </w:p>
              </w:tc>
              <w:tc>
                <w:tcPr>
                  <w:tcW w:w="672" w:type="dxa"/>
                  <w:noWrap w:val="0"/>
                  <w:vAlign w:val="center"/>
                </w:tcPr>
                <w:p w14:paraId="2587E944">
                  <w:pPr>
                    <w:pStyle w:val="46"/>
                    <w:rPr>
                      <w:rFonts w:hint="eastAsia"/>
                      <w:color w:val="auto"/>
                      <w:u w:val="none" w:color="auto"/>
                    </w:rPr>
                  </w:pPr>
                  <w:r>
                    <w:rPr>
                      <w:rFonts w:hint="eastAsia"/>
                      <w:color w:val="auto"/>
                      <w:u w:val="none" w:color="auto"/>
                    </w:rPr>
                    <w:t>900-</w:t>
                  </w:r>
                  <w:r>
                    <w:rPr>
                      <w:rFonts w:hint="eastAsia"/>
                      <w:color w:val="auto"/>
                      <w:u w:val="none" w:color="auto"/>
                      <w:lang w:val="en-US" w:eastAsia="zh-CN"/>
                    </w:rPr>
                    <w:t>041</w:t>
                  </w:r>
                  <w:r>
                    <w:rPr>
                      <w:rFonts w:hint="eastAsia"/>
                      <w:color w:val="auto"/>
                      <w:u w:val="none" w:color="auto"/>
                    </w:rPr>
                    <w:t>-</w:t>
                  </w:r>
                  <w:r>
                    <w:rPr>
                      <w:rFonts w:hint="eastAsia"/>
                      <w:color w:val="auto"/>
                      <w:u w:val="none" w:color="auto"/>
                      <w:lang w:val="en-US" w:eastAsia="zh-CN"/>
                    </w:rPr>
                    <w:t>49</w:t>
                  </w:r>
                </w:p>
              </w:tc>
              <w:tc>
                <w:tcPr>
                  <w:tcW w:w="755" w:type="dxa"/>
                  <w:noWrap w:val="0"/>
                  <w:vAlign w:val="center"/>
                </w:tcPr>
                <w:p w14:paraId="77B97661">
                  <w:pPr>
                    <w:pStyle w:val="46"/>
                    <w:rPr>
                      <w:rFonts w:hint="default" w:eastAsia="宋体"/>
                      <w:color w:val="auto"/>
                      <w:u w:val="none" w:color="auto"/>
                      <w:lang w:val="en-US" w:eastAsia="zh-CN"/>
                    </w:rPr>
                  </w:pPr>
                  <w:r>
                    <w:rPr>
                      <w:rFonts w:hint="eastAsia"/>
                      <w:color w:val="auto"/>
                      <w:u w:val="none" w:color="auto"/>
                      <w:lang w:val="en-US" w:eastAsia="zh-CN"/>
                    </w:rPr>
                    <w:t>0.01</w:t>
                  </w:r>
                </w:p>
              </w:tc>
              <w:tc>
                <w:tcPr>
                  <w:tcW w:w="690" w:type="dxa"/>
                  <w:noWrap w:val="0"/>
                  <w:vAlign w:val="center"/>
                </w:tcPr>
                <w:p w14:paraId="3672A57F">
                  <w:pPr>
                    <w:pStyle w:val="46"/>
                    <w:rPr>
                      <w:rFonts w:hint="eastAsia"/>
                      <w:color w:val="auto"/>
                      <w:u w:val="none" w:color="auto"/>
                    </w:rPr>
                  </w:pPr>
                  <w:r>
                    <w:rPr>
                      <w:rFonts w:hint="eastAsia"/>
                      <w:color w:val="auto"/>
                      <w:u w:val="none" w:color="auto"/>
                    </w:rPr>
                    <w:t>生产工序</w:t>
                  </w:r>
                </w:p>
              </w:tc>
              <w:tc>
                <w:tcPr>
                  <w:tcW w:w="735" w:type="dxa"/>
                  <w:noWrap w:val="0"/>
                  <w:vAlign w:val="center"/>
                </w:tcPr>
                <w:p w14:paraId="168FD298">
                  <w:pPr>
                    <w:pStyle w:val="46"/>
                    <w:rPr>
                      <w:rFonts w:hint="eastAsia" w:eastAsia="宋体"/>
                      <w:color w:val="auto"/>
                      <w:u w:val="none" w:color="auto"/>
                      <w:lang w:eastAsia="zh-CN"/>
                    </w:rPr>
                  </w:pPr>
                  <w:r>
                    <w:rPr>
                      <w:rFonts w:hint="eastAsia"/>
                      <w:color w:val="auto"/>
                      <w:u w:val="none" w:color="auto"/>
                      <w:lang w:eastAsia="zh-CN"/>
                    </w:rPr>
                    <w:t>废有机溶剂</w:t>
                  </w:r>
                </w:p>
              </w:tc>
              <w:tc>
                <w:tcPr>
                  <w:tcW w:w="360" w:type="dxa"/>
                  <w:noWrap w:val="0"/>
                  <w:vAlign w:val="center"/>
                </w:tcPr>
                <w:p w14:paraId="1CF9B619">
                  <w:pPr>
                    <w:pStyle w:val="46"/>
                    <w:rPr>
                      <w:rFonts w:hint="eastAsia"/>
                      <w:color w:val="auto"/>
                      <w:u w:val="none" w:color="auto"/>
                    </w:rPr>
                  </w:pPr>
                  <w:r>
                    <w:rPr>
                      <w:rFonts w:hint="eastAsia"/>
                      <w:color w:val="auto"/>
                      <w:u w:val="none" w:color="auto"/>
                    </w:rPr>
                    <w:t>固态</w:t>
                  </w:r>
                </w:p>
              </w:tc>
              <w:tc>
                <w:tcPr>
                  <w:tcW w:w="645" w:type="dxa"/>
                  <w:noWrap w:val="0"/>
                  <w:vAlign w:val="center"/>
                </w:tcPr>
                <w:p w14:paraId="32E5A9A0">
                  <w:pPr>
                    <w:pStyle w:val="46"/>
                    <w:rPr>
                      <w:rFonts w:hint="eastAsia"/>
                      <w:color w:val="auto"/>
                      <w:u w:val="none" w:color="auto"/>
                    </w:rPr>
                  </w:pPr>
                  <w:r>
                    <w:rPr>
                      <w:rFonts w:hint="eastAsia"/>
                      <w:color w:val="auto"/>
                      <w:u w:val="none" w:color="auto"/>
                    </w:rPr>
                    <w:t>桶装</w:t>
                  </w:r>
                </w:p>
              </w:tc>
              <w:tc>
                <w:tcPr>
                  <w:tcW w:w="578" w:type="dxa"/>
                  <w:shd w:val="clear" w:color="auto" w:fill="auto"/>
                  <w:noWrap w:val="0"/>
                  <w:vAlign w:val="center"/>
                </w:tcPr>
                <w:p w14:paraId="7805D98C">
                  <w:pPr>
                    <w:pStyle w:val="46"/>
                    <w:ind w:firstLine="0" w:firstLineChars="0"/>
                    <w:rPr>
                      <w:rFonts w:hint="eastAsia" w:ascii="Times New Roman" w:hAnsi="Times New Roman" w:eastAsia="宋体" w:cs="Times New Roman"/>
                      <w:color w:val="auto"/>
                      <w:spacing w:val="2"/>
                      <w:kern w:val="2"/>
                      <w:sz w:val="21"/>
                      <w:szCs w:val="24"/>
                      <w:u w:val="none" w:color="auto"/>
                      <w:lang w:val="en-US" w:eastAsia="zh-CN" w:bidi="ar-SA"/>
                    </w:rPr>
                  </w:pPr>
                  <w:r>
                    <w:rPr>
                      <w:rFonts w:hint="eastAsia"/>
                      <w:color w:val="auto"/>
                      <w:u w:val="none" w:color="auto"/>
                    </w:rPr>
                    <w:t>1年/次</w:t>
                  </w:r>
                </w:p>
              </w:tc>
              <w:tc>
                <w:tcPr>
                  <w:tcW w:w="742" w:type="dxa"/>
                  <w:tcBorders>
                    <w:bottom w:val="single" w:color="000000" w:sz="4" w:space="0"/>
                  </w:tcBorders>
                  <w:shd w:val="clear" w:color="auto" w:fill="auto"/>
                  <w:noWrap w:val="0"/>
                  <w:vAlign w:val="center"/>
                </w:tcPr>
                <w:p w14:paraId="651E2531">
                  <w:pPr>
                    <w:pStyle w:val="46"/>
                    <w:ind w:firstLine="0" w:firstLineChars="0"/>
                    <w:rPr>
                      <w:rFonts w:hint="eastAsia" w:ascii="Times New Roman" w:hAnsi="Times New Roman" w:eastAsia="宋体" w:cs="Times New Roman"/>
                      <w:color w:val="auto"/>
                      <w:spacing w:val="2"/>
                      <w:kern w:val="2"/>
                      <w:sz w:val="21"/>
                      <w:szCs w:val="24"/>
                      <w:u w:val="none" w:color="auto"/>
                      <w:lang w:val="en-US" w:eastAsia="zh-CN" w:bidi="ar-SA"/>
                    </w:rPr>
                  </w:pPr>
                  <w:r>
                    <w:rPr>
                      <w:rFonts w:hint="eastAsia"/>
                      <w:color w:val="auto"/>
                      <w:u w:val="none" w:color="auto"/>
                    </w:rPr>
                    <w:t>T</w:t>
                  </w:r>
                  <w:r>
                    <w:rPr>
                      <w:rFonts w:hint="eastAsia"/>
                      <w:color w:val="auto"/>
                      <w:u w:val="none" w:color="auto"/>
                      <w:lang w:eastAsia="zh-CN"/>
                    </w:rPr>
                    <w:t>,</w:t>
                  </w:r>
                  <w:r>
                    <w:rPr>
                      <w:rFonts w:hint="eastAsia"/>
                      <w:color w:val="auto"/>
                      <w:u w:val="none" w:color="auto"/>
                    </w:rPr>
                    <w:t>I</w:t>
                  </w:r>
                  <w:r>
                    <w:rPr>
                      <w:rFonts w:hint="eastAsia"/>
                      <w:color w:val="auto"/>
                      <w:u w:val="none" w:color="auto"/>
                      <w:lang w:val="en-US" w:eastAsia="zh-CN"/>
                    </w:rPr>
                    <w:t>n</w:t>
                  </w:r>
                </w:p>
              </w:tc>
              <w:tc>
                <w:tcPr>
                  <w:tcW w:w="1120" w:type="dxa"/>
                  <w:vMerge w:val="continue"/>
                  <w:tcBorders>
                    <w:bottom w:val="single" w:color="000000" w:sz="4" w:space="0"/>
                  </w:tcBorders>
                  <w:noWrap w:val="0"/>
                  <w:vAlign w:val="center"/>
                </w:tcPr>
                <w:p w14:paraId="1B4DDCAC">
                  <w:pPr>
                    <w:pStyle w:val="46"/>
                    <w:rPr>
                      <w:rFonts w:hint="eastAsia"/>
                      <w:color w:val="auto"/>
                      <w:u w:val="none" w:color="auto"/>
                    </w:rPr>
                  </w:pPr>
                </w:p>
              </w:tc>
            </w:tr>
          </w:tbl>
          <w:p w14:paraId="46C2C521">
            <w:pPr>
              <w:ind w:firstLine="482"/>
              <w:rPr>
                <w:b/>
                <w:bCs/>
                <w:color w:val="auto"/>
                <w:u w:val="none" w:color="auto"/>
              </w:rPr>
            </w:pPr>
            <w:r>
              <w:rPr>
                <w:rFonts w:hint="eastAsia"/>
                <w:b/>
                <w:bCs/>
                <w:color w:val="auto"/>
                <w:u w:val="none" w:color="auto"/>
              </w:rPr>
              <w:t>（五）</w:t>
            </w:r>
            <w:r>
              <w:rPr>
                <w:b/>
                <w:bCs/>
                <w:color w:val="auto"/>
                <w:u w:val="none" w:color="auto"/>
              </w:rPr>
              <w:t>地下水环境影响及保护措施</w:t>
            </w:r>
          </w:p>
          <w:p w14:paraId="7F468FF2">
            <w:pPr>
              <w:ind w:firstLine="480"/>
              <w:rPr>
                <w:color w:val="auto"/>
                <w:u w:val="none" w:color="auto"/>
              </w:rPr>
            </w:pPr>
            <w:r>
              <w:rPr>
                <w:rFonts w:hint="eastAsia"/>
                <w:color w:val="auto"/>
                <w:u w:val="none" w:color="auto"/>
              </w:rPr>
              <w:t>1、</w:t>
            </w:r>
            <w:r>
              <w:rPr>
                <w:color w:val="auto"/>
                <w:u w:val="none" w:color="auto"/>
              </w:rPr>
              <w:t>污染源、污染物类型及污染</w:t>
            </w:r>
            <w:r>
              <w:rPr>
                <w:rFonts w:hint="eastAsia"/>
                <w:color w:val="auto"/>
                <w:u w:val="none" w:color="auto"/>
                <w:lang w:val="en-US" w:eastAsia="zh-CN"/>
              </w:rPr>
              <w:t>途径</w:t>
            </w:r>
            <w:r>
              <w:rPr>
                <w:color w:val="auto"/>
                <w:u w:val="none" w:color="auto"/>
              </w:rPr>
              <w:t>分析</w:t>
            </w:r>
          </w:p>
          <w:p w14:paraId="6DC88374">
            <w:pPr>
              <w:ind w:firstLine="480"/>
              <w:rPr>
                <w:color w:val="auto"/>
                <w:u w:val="none" w:color="auto"/>
              </w:rPr>
            </w:pPr>
            <w:r>
              <w:rPr>
                <w:color w:val="auto"/>
                <w:u w:val="none" w:color="auto"/>
              </w:rPr>
              <w:t>本项目为锂</w:t>
            </w:r>
            <w:r>
              <w:rPr>
                <w:rFonts w:hint="eastAsia"/>
                <w:color w:val="auto"/>
                <w:u w:val="none" w:color="auto"/>
              </w:rPr>
              <w:t>离子</w:t>
            </w:r>
            <w:r>
              <w:rPr>
                <w:color w:val="auto"/>
                <w:u w:val="none" w:color="auto"/>
              </w:rPr>
              <w:t>电池生产项目，正常工况下，</w:t>
            </w:r>
            <w:r>
              <w:rPr>
                <w:rFonts w:hint="eastAsia"/>
                <w:color w:val="auto"/>
                <w:u w:val="none" w:color="auto"/>
              </w:rPr>
              <w:t>N-甲基吡咯烷酮、电解液等液体化学原料采用不锈钢桶装存放在化学品仓不存在泄漏下渗污染地下水，粉末状原辅料不存在泄漏下渗污染地下水</w:t>
            </w:r>
            <w:r>
              <w:rPr>
                <w:color w:val="auto"/>
                <w:u w:val="none" w:color="auto"/>
              </w:rPr>
              <w:t>。根据生产经验，</w:t>
            </w:r>
            <w:r>
              <w:rPr>
                <w:rFonts w:hint="eastAsia"/>
                <w:color w:val="auto"/>
                <w:u w:val="none" w:color="auto"/>
              </w:rPr>
              <w:t>原辅材料仓库内</w:t>
            </w:r>
            <w:r>
              <w:rPr>
                <w:color w:val="auto"/>
                <w:u w:val="none" w:color="auto"/>
              </w:rPr>
              <w:t>即使有物料泄漏或</w:t>
            </w:r>
            <w:r>
              <w:rPr>
                <w:rFonts w:hint="eastAsia"/>
                <w:color w:val="auto"/>
                <w:u w:val="none" w:color="auto"/>
              </w:rPr>
              <w:t>洒落</w:t>
            </w:r>
            <w:r>
              <w:rPr>
                <w:color w:val="auto"/>
                <w:u w:val="none" w:color="auto"/>
              </w:rPr>
              <w:t>，也能及时采取措施，不会任由物料和污水漫流渗漏</w:t>
            </w:r>
            <w:r>
              <w:rPr>
                <w:rFonts w:hint="eastAsia"/>
                <w:color w:val="auto"/>
                <w:u w:val="none" w:color="auto"/>
              </w:rPr>
              <w:t>污染地下水</w:t>
            </w:r>
            <w:r>
              <w:rPr>
                <w:color w:val="auto"/>
                <w:u w:val="none" w:color="auto"/>
              </w:rPr>
              <w:t>。</w:t>
            </w:r>
          </w:p>
          <w:p w14:paraId="5DA4ED59">
            <w:pPr>
              <w:ind w:firstLine="480"/>
              <w:rPr>
                <w:color w:val="auto"/>
                <w:u w:val="none" w:color="auto"/>
              </w:rPr>
            </w:pPr>
            <w:r>
              <w:rPr>
                <w:color w:val="auto"/>
                <w:u w:val="none" w:color="auto"/>
              </w:rPr>
              <w:t>非正常工况条件主要是指</w:t>
            </w:r>
            <w:r>
              <w:rPr>
                <w:rFonts w:hint="eastAsia"/>
                <w:color w:val="auto"/>
                <w:u w:val="none" w:color="auto"/>
              </w:rPr>
              <w:t>N-甲基吡咯烷酮、电解液等液态原辅材料泄漏、</w:t>
            </w:r>
            <w:r>
              <w:rPr>
                <w:color w:val="auto"/>
                <w:u w:val="none" w:color="auto"/>
              </w:rPr>
              <w:t>硬化</w:t>
            </w:r>
            <w:r>
              <w:rPr>
                <w:rFonts w:hint="eastAsia"/>
                <w:color w:val="auto"/>
                <w:u w:val="none" w:color="auto"/>
              </w:rPr>
              <w:t>地</w:t>
            </w:r>
            <w:r>
              <w:rPr>
                <w:color w:val="auto"/>
                <w:u w:val="none" w:color="auto"/>
              </w:rPr>
              <w:t>面破损</w:t>
            </w:r>
            <w:r>
              <w:rPr>
                <w:rFonts w:hint="eastAsia"/>
                <w:color w:val="auto"/>
                <w:u w:val="none" w:color="auto"/>
              </w:rPr>
              <w:t>渗漏</w:t>
            </w:r>
            <w:r>
              <w:rPr>
                <w:color w:val="auto"/>
                <w:u w:val="none" w:color="auto"/>
              </w:rPr>
              <w:t>对地下水影响等情景。</w:t>
            </w:r>
          </w:p>
          <w:p w14:paraId="5E0F1B76">
            <w:pPr>
              <w:ind w:firstLine="480"/>
              <w:rPr>
                <w:color w:val="auto"/>
                <w:u w:val="none" w:color="auto"/>
              </w:rPr>
            </w:pPr>
            <w:r>
              <w:rPr>
                <w:color w:val="auto"/>
                <w:u w:val="none" w:color="auto"/>
              </w:rPr>
              <w:t>如场内</w:t>
            </w:r>
            <w:r>
              <w:rPr>
                <w:rFonts w:hint="eastAsia"/>
                <w:color w:val="auto"/>
                <w:u w:val="none" w:color="auto"/>
              </w:rPr>
              <w:t>液态原辅材料</w:t>
            </w:r>
            <w:r>
              <w:rPr>
                <w:color w:val="auto"/>
                <w:u w:val="none" w:color="auto"/>
              </w:rPr>
              <w:t>发生小面积渗漏时</w:t>
            </w:r>
            <w:r>
              <w:rPr>
                <w:rFonts w:hint="eastAsia"/>
                <w:color w:val="auto"/>
                <w:u w:val="none" w:color="auto"/>
              </w:rPr>
              <w:t>，</w:t>
            </w:r>
            <w:r>
              <w:rPr>
                <w:color w:val="auto"/>
                <w:u w:val="none" w:color="auto"/>
              </w:rPr>
              <w:t>逐步渗入土壤并</w:t>
            </w:r>
            <w:r>
              <w:rPr>
                <w:rFonts w:hint="eastAsia"/>
                <w:color w:val="auto"/>
                <w:u w:val="none" w:color="auto"/>
              </w:rPr>
              <w:t>渗入</w:t>
            </w:r>
            <w:r>
              <w:rPr>
                <w:color w:val="auto"/>
                <w:u w:val="none" w:color="auto"/>
              </w:rPr>
              <w:t>地下水。综合考虑项目</w:t>
            </w:r>
            <w:r>
              <w:rPr>
                <w:rFonts w:hint="eastAsia"/>
                <w:color w:val="auto"/>
                <w:u w:val="none" w:color="auto"/>
              </w:rPr>
              <w:t>原辅材料及污染物</w:t>
            </w:r>
            <w:r>
              <w:rPr>
                <w:color w:val="auto"/>
                <w:u w:val="none" w:color="auto"/>
              </w:rPr>
              <w:t>特性，确定本项目</w:t>
            </w:r>
            <w:r>
              <w:rPr>
                <w:rFonts w:hint="eastAsia"/>
                <w:color w:val="auto"/>
                <w:u w:val="none" w:color="auto"/>
              </w:rPr>
              <w:t>原辅材料及</w:t>
            </w:r>
            <w:r>
              <w:rPr>
                <w:color w:val="auto"/>
                <w:u w:val="none" w:color="auto"/>
              </w:rPr>
              <w:t>污染物对地下水的影响主要是由于</w:t>
            </w:r>
            <w:r>
              <w:rPr>
                <w:rFonts w:hint="eastAsia"/>
                <w:color w:val="auto"/>
                <w:u w:val="none" w:color="auto"/>
                <w:lang w:eastAsia="zh-CN"/>
              </w:rPr>
              <w:t>原辅材料</w:t>
            </w:r>
            <w:r>
              <w:rPr>
                <w:rFonts w:hint="eastAsia"/>
                <w:color w:val="auto"/>
                <w:u w:val="none" w:color="auto"/>
              </w:rPr>
              <w:t>渗漏、淋雨</w:t>
            </w:r>
            <w:r>
              <w:rPr>
                <w:color w:val="auto"/>
                <w:u w:val="none" w:color="auto"/>
              </w:rPr>
              <w:t>排放等通过垂直渗透进入包气带、溢流污染地下水。</w:t>
            </w:r>
          </w:p>
          <w:p w14:paraId="01290974">
            <w:pPr>
              <w:ind w:firstLine="480"/>
              <w:rPr>
                <w:color w:val="auto"/>
                <w:u w:val="none" w:color="auto"/>
              </w:rPr>
            </w:pPr>
            <w:r>
              <w:rPr>
                <w:color w:val="auto"/>
                <w:u w:val="none" w:color="auto"/>
              </w:rPr>
              <w:t>本项目可能造成的地下水污染途径有以下几种途径：</w:t>
            </w:r>
          </w:p>
          <w:p w14:paraId="749E9251">
            <w:pPr>
              <w:ind w:firstLine="480"/>
              <w:rPr>
                <w:rFonts w:hint="eastAsia"/>
                <w:color w:val="auto"/>
                <w:u w:val="none" w:color="auto"/>
              </w:rPr>
            </w:pPr>
            <w:r>
              <w:rPr>
                <w:color w:val="auto"/>
                <w:u w:val="none" w:color="auto"/>
              </w:rPr>
              <w:t>①</w:t>
            </w:r>
            <w:r>
              <w:rPr>
                <w:rFonts w:hint="eastAsia"/>
                <w:color w:val="auto"/>
                <w:u w:val="none" w:color="auto"/>
              </w:rPr>
              <w:t>原辅材料渗漏，N-甲基吡咯烷酮、电解液等液体化学原料泄漏</w:t>
            </w:r>
            <w:r>
              <w:rPr>
                <w:color w:val="auto"/>
                <w:u w:val="none" w:color="auto"/>
              </w:rPr>
              <w:t>，造成</w:t>
            </w:r>
            <w:r>
              <w:rPr>
                <w:rFonts w:hint="eastAsia"/>
                <w:color w:val="auto"/>
                <w:u w:val="none" w:color="auto"/>
              </w:rPr>
              <w:t>液态原辅材料</w:t>
            </w:r>
            <w:r>
              <w:rPr>
                <w:color w:val="auto"/>
                <w:u w:val="none" w:color="auto"/>
              </w:rPr>
              <w:t>下渗污染地下水</w:t>
            </w:r>
            <w:r>
              <w:rPr>
                <w:rFonts w:hint="eastAsia"/>
                <w:color w:val="auto"/>
                <w:u w:val="none" w:color="auto"/>
              </w:rPr>
              <w:t>；</w:t>
            </w:r>
          </w:p>
          <w:p w14:paraId="471771FF">
            <w:pPr>
              <w:ind w:firstLine="480"/>
              <w:rPr>
                <w:rFonts w:hint="eastAsia"/>
                <w:color w:val="auto"/>
                <w:u w:val="none" w:color="auto"/>
              </w:rPr>
            </w:pPr>
            <w:r>
              <w:rPr>
                <w:color w:val="auto"/>
                <w:u w:val="none" w:color="auto"/>
              </w:rPr>
              <w:t>②</w:t>
            </w:r>
            <w:r>
              <w:rPr>
                <w:rFonts w:hint="eastAsia"/>
                <w:color w:val="auto"/>
                <w:u w:val="none" w:color="auto"/>
              </w:rPr>
              <w:t>原料仓</w:t>
            </w:r>
            <w:r>
              <w:rPr>
                <w:rFonts w:hint="eastAsia"/>
                <w:color w:val="auto"/>
                <w:u w:val="none" w:color="auto"/>
                <w:lang w:eastAsia="zh-CN"/>
              </w:rPr>
              <w:t>淋雨</w:t>
            </w:r>
            <w:r>
              <w:rPr>
                <w:color w:val="auto"/>
                <w:u w:val="none" w:color="auto"/>
              </w:rPr>
              <w:t>造成</w:t>
            </w:r>
            <w:r>
              <w:rPr>
                <w:rFonts w:hint="eastAsia"/>
                <w:color w:val="auto"/>
                <w:u w:val="none" w:color="auto"/>
              </w:rPr>
              <w:t>原辅材料</w:t>
            </w:r>
            <w:r>
              <w:rPr>
                <w:rFonts w:hint="eastAsia"/>
                <w:color w:val="auto"/>
                <w:u w:val="none" w:color="auto"/>
                <w:lang w:eastAsia="zh-CN"/>
              </w:rPr>
              <w:t>溢出</w:t>
            </w:r>
            <w:r>
              <w:rPr>
                <w:color w:val="auto"/>
                <w:u w:val="none" w:color="auto"/>
              </w:rPr>
              <w:t>污染地下水，导致废水渗入地下造成对地下水的污染</w:t>
            </w:r>
            <w:r>
              <w:rPr>
                <w:rFonts w:hint="eastAsia"/>
                <w:color w:val="auto"/>
                <w:u w:val="none" w:color="auto"/>
              </w:rPr>
              <w:t>。</w:t>
            </w:r>
          </w:p>
          <w:p w14:paraId="66C48763">
            <w:pPr>
              <w:ind w:firstLine="480"/>
              <w:rPr>
                <w:color w:val="auto"/>
                <w:u w:val="none" w:color="auto"/>
              </w:rPr>
            </w:pPr>
            <w:r>
              <w:rPr>
                <w:rFonts w:hint="eastAsia"/>
                <w:color w:val="auto"/>
                <w:u w:val="none" w:color="auto"/>
              </w:rPr>
              <w:t>2、</w:t>
            </w:r>
            <w:r>
              <w:rPr>
                <w:color w:val="auto"/>
                <w:u w:val="none" w:color="auto"/>
              </w:rPr>
              <w:t>防控措施</w:t>
            </w:r>
          </w:p>
          <w:p w14:paraId="12E0ED20">
            <w:pPr>
              <w:ind w:firstLine="480"/>
              <w:rPr>
                <w:color w:val="auto"/>
                <w:u w:val="none" w:color="auto"/>
              </w:rPr>
            </w:pPr>
            <w:r>
              <w:rPr>
                <w:color w:val="auto"/>
                <w:u w:val="none" w:color="auto"/>
              </w:rPr>
              <w:t>为确保评价区域地下水不受到本项目污染，针对上述污染源及污染途径，采取以下预防措施：</w:t>
            </w:r>
          </w:p>
          <w:p w14:paraId="3B5C4A1C">
            <w:pPr>
              <w:ind w:firstLine="480"/>
              <w:rPr>
                <w:rFonts w:hint="eastAsia"/>
                <w:color w:val="auto"/>
                <w:u w:val="none" w:color="auto"/>
              </w:rPr>
            </w:pPr>
            <w:r>
              <w:rPr>
                <w:color w:val="auto"/>
                <w:u w:val="none" w:color="auto"/>
              </w:rPr>
              <w:t>①</w:t>
            </w:r>
            <w:r>
              <w:rPr>
                <w:rFonts w:hint="eastAsia"/>
                <w:color w:val="auto"/>
                <w:u w:val="none" w:color="auto"/>
              </w:rPr>
              <w:t>参照《环境影响评价技术导则-地下水环境》（HJ610-2016）项目污染防治对策的要求，根据项目厂区各生产功能单元可能泄漏至地面区域的污染物性质和生产单元的构筑方式，将厂区划分为重点防渗区、一般防渗区和简单防渗区。</w:t>
            </w:r>
          </w:p>
          <w:p w14:paraId="0BEBAC9B">
            <w:pPr>
              <w:ind w:firstLine="480"/>
              <w:rPr>
                <w:rFonts w:hint="eastAsia"/>
                <w:color w:val="auto"/>
                <w:u w:val="none" w:color="auto"/>
              </w:rPr>
            </w:pPr>
            <w:r>
              <w:rPr>
                <w:rFonts w:hint="eastAsia"/>
                <w:color w:val="auto"/>
                <w:u w:val="none" w:color="auto"/>
              </w:rPr>
              <w:t>重点防渗</w:t>
            </w:r>
            <w:r>
              <w:rPr>
                <w:rFonts w:hint="eastAsia"/>
                <w:color w:val="auto"/>
                <w:u w:val="none" w:color="auto"/>
                <w:lang w:eastAsia="zh-CN"/>
              </w:rPr>
              <w:t>区域</w:t>
            </w:r>
            <w:r>
              <w:rPr>
                <w:rFonts w:hint="eastAsia"/>
                <w:color w:val="auto"/>
                <w:u w:val="none" w:color="auto"/>
              </w:rPr>
              <w:t>主要包括N-甲基吡咯烷酮、电解液等液体化学品原辅材料储存仓、正负极材料配料搅拌车间、危险废物暂存间（20m</w:t>
            </w:r>
            <w:r>
              <w:rPr>
                <w:rFonts w:hint="eastAsia"/>
                <w:color w:val="auto"/>
                <w:u w:val="none" w:color="auto"/>
                <w:vertAlign w:val="superscript"/>
              </w:rPr>
              <w:t>2</w:t>
            </w:r>
            <w:r>
              <w:rPr>
                <w:rFonts w:hint="eastAsia"/>
                <w:color w:val="auto"/>
                <w:u w:val="none" w:color="auto"/>
              </w:rPr>
              <w:t>）</w:t>
            </w:r>
            <w:r>
              <w:rPr>
                <w:rFonts w:hint="eastAsia"/>
                <w:color w:val="auto"/>
                <w:u w:val="none" w:color="auto"/>
                <w:lang w:eastAsia="zh-CN"/>
              </w:rPr>
              <w:t>、污水处理设施，</w:t>
            </w:r>
            <w:r>
              <w:rPr>
                <w:rFonts w:hint="eastAsia" w:ascii="Times New Roman" w:hAnsi="Times New Roman" w:eastAsia="宋体" w:cs="Times New Roman"/>
                <w:color w:val="auto"/>
                <w:u w:val="none" w:color="auto"/>
                <w:lang w:eastAsia="zh-CN"/>
              </w:rPr>
              <w:t>现状已进行防渗设置，符合要求。</w:t>
            </w:r>
          </w:p>
          <w:p w14:paraId="07B13AEB">
            <w:pPr>
              <w:ind w:firstLine="480"/>
              <w:rPr>
                <w:rFonts w:hint="eastAsia"/>
                <w:color w:val="auto"/>
                <w:u w:val="none" w:color="auto"/>
              </w:rPr>
            </w:pPr>
            <w:r>
              <w:rPr>
                <w:rFonts w:hint="eastAsia"/>
                <w:color w:val="auto"/>
                <w:u w:val="none" w:color="auto"/>
              </w:rPr>
              <w:t>一般防渗区主要包括涂布车间、注液车间等。防渗技术要求为等效粘土防渗层Mb≥1.5m，K≤10</w:t>
            </w:r>
            <w:r>
              <w:rPr>
                <w:rFonts w:hint="eastAsia"/>
                <w:color w:val="auto"/>
                <w:u w:val="none" w:color="auto"/>
                <w:vertAlign w:val="superscript"/>
              </w:rPr>
              <w:t>-7</w:t>
            </w:r>
            <w:r>
              <w:rPr>
                <w:rFonts w:hint="eastAsia"/>
                <w:color w:val="auto"/>
                <w:u w:val="none" w:color="auto"/>
              </w:rPr>
              <w:t>cm/s。</w:t>
            </w:r>
          </w:p>
          <w:p w14:paraId="4B48C417">
            <w:pPr>
              <w:ind w:firstLine="480"/>
              <w:rPr>
                <w:color w:val="auto"/>
                <w:u w:val="none" w:color="auto"/>
              </w:rPr>
            </w:pPr>
            <w:r>
              <w:rPr>
                <w:rFonts w:hint="eastAsia"/>
                <w:color w:val="auto"/>
                <w:u w:val="none" w:color="auto"/>
              </w:rPr>
              <w:t>简单防渗区是指一般和重点污染防治区以外的区域或部位，</w:t>
            </w:r>
            <w:r>
              <w:rPr>
                <w:rFonts w:hint="eastAsia"/>
                <w:color w:val="auto"/>
                <w:u w:val="none" w:color="auto"/>
                <w:lang w:eastAsia="zh-CN"/>
              </w:rPr>
              <w:t>项目租赁标准厂房，现状已全厂进行了硬化，符合要求</w:t>
            </w:r>
            <w:r>
              <w:rPr>
                <w:color w:val="auto"/>
                <w:u w:val="none" w:color="auto"/>
              </w:rPr>
              <w:t>。</w:t>
            </w:r>
          </w:p>
          <w:p w14:paraId="4A54664E">
            <w:pPr>
              <w:ind w:firstLine="480"/>
              <w:rPr>
                <w:color w:val="auto"/>
                <w:u w:val="none" w:color="auto"/>
              </w:rPr>
            </w:pPr>
            <w:r>
              <w:rPr>
                <w:color w:val="auto"/>
                <w:u w:val="none" w:color="auto"/>
              </w:rPr>
              <w:t>②</w:t>
            </w:r>
            <w:r>
              <w:rPr>
                <w:rFonts w:hint="eastAsia"/>
                <w:color w:val="auto"/>
                <w:u w:val="none" w:color="auto"/>
                <w:lang w:eastAsia="zh-CN"/>
              </w:rPr>
              <w:t>需</w:t>
            </w:r>
            <w:r>
              <w:rPr>
                <w:color w:val="auto"/>
                <w:u w:val="none" w:color="auto"/>
              </w:rPr>
              <w:t>加强</w:t>
            </w:r>
            <w:r>
              <w:rPr>
                <w:rFonts w:hint="eastAsia"/>
                <w:color w:val="auto"/>
                <w:u w:val="none" w:color="auto"/>
                <w:lang w:eastAsia="zh-CN"/>
              </w:rPr>
              <w:t>雨污分流</w:t>
            </w:r>
            <w:r>
              <w:rPr>
                <w:color w:val="auto"/>
                <w:u w:val="none" w:color="auto"/>
              </w:rPr>
              <w:t>系统的维护管理，保证污水管道正常，防止雨水进入污水沟，排除故障隐患，防止超标排放，杜绝事故排放。</w:t>
            </w:r>
          </w:p>
          <w:p w14:paraId="3C426840">
            <w:pPr>
              <w:ind w:firstLine="480"/>
              <w:rPr>
                <w:color w:val="auto"/>
                <w:u w:val="none" w:color="auto"/>
              </w:rPr>
            </w:pPr>
            <w:r>
              <w:rPr>
                <w:color w:val="auto"/>
                <w:u w:val="none" w:color="auto"/>
              </w:rPr>
              <w:t>③</w:t>
            </w:r>
            <w:r>
              <w:rPr>
                <w:rFonts w:hint="eastAsia"/>
                <w:color w:val="auto"/>
                <w:u w:val="none" w:color="auto"/>
                <w:lang w:eastAsia="zh-CN"/>
              </w:rPr>
              <w:t>需</w:t>
            </w:r>
            <w:r>
              <w:rPr>
                <w:color w:val="auto"/>
                <w:u w:val="none" w:color="auto"/>
              </w:rPr>
              <w:t>加强环境管理，采取防止和降低污染物排放的措施，避免跑、冒、滴、漏现象的发生；正常生产过程中应加强检查，加强对防渗工程的检查，若发现防渗密封材料老化或损坏，应及时维修更换。</w:t>
            </w:r>
          </w:p>
          <w:p w14:paraId="7E1C24CF">
            <w:pPr>
              <w:ind w:firstLine="480"/>
              <w:rPr>
                <w:bCs/>
                <w:color w:val="auto"/>
                <w:kern w:val="0"/>
                <w:u w:val="none" w:color="auto"/>
                <w:lang w:bidi="ar"/>
              </w:rPr>
            </w:pPr>
            <w:r>
              <w:rPr>
                <w:bCs/>
                <w:color w:val="auto"/>
                <w:kern w:val="0"/>
                <w:u w:val="none" w:color="auto"/>
                <w:lang w:bidi="ar"/>
              </w:rPr>
              <w:t>项目在</w:t>
            </w:r>
            <w:r>
              <w:rPr>
                <w:rFonts w:hint="eastAsia"/>
                <w:bCs/>
                <w:color w:val="auto"/>
                <w:kern w:val="0"/>
                <w:u w:val="none" w:color="auto"/>
                <w:lang w:eastAsia="zh-CN" w:bidi="ar"/>
              </w:rPr>
              <w:t>现有已采取防控</w:t>
            </w:r>
            <w:r>
              <w:rPr>
                <w:bCs/>
                <w:color w:val="auto"/>
                <w:kern w:val="0"/>
                <w:u w:val="none" w:color="auto"/>
                <w:lang w:bidi="ar"/>
              </w:rPr>
              <w:t>措施</w:t>
            </w:r>
            <w:r>
              <w:rPr>
                <w:rFonts w:hint="eastAsia"/>
                <w:bCs/>
                <w:color w:val="auto"/>
                <w:kern w:val="0"/>
                <w:u w:val="none" w:color="auto"/>
                <w:lang w:eastAsia="zh-CN" w:bidi="ar"/>
              </w:rPr>
              <w:t>的基础上</w:t>
            </w:r>
            <w:r>
              <w:rPr>
                <w:bCs/>
                <w:color w:val="auto"/>
                <w:kern w:val="0"/>
                <w:u w:val="none" w:color="auto"/>
                <w:lang w:bidi="ar"/>
              </w:rPr>
              <w:t>并</w:t>
            </w:r>
            <w:r>
              <w:rPr>
                <w:rFonts w:hint="eastAsia"/>
                <w:bCs/>
                <w:color w:val="auto"/>
                <w:kern w:val="0"/>
                <w:u w:val="none" w:color="auto"/>
                <w:lang w:eastAsia="zh-CN" w:bidi="ar"/>
              </w:rPr>
              <w:t>加强</w:t>
            </w:r>
            <w:r>
              <w:rPr>
                <w:bCs/>
                <w:color w:val="auto"/>
                <w:kern w:val="0"/>
                <w:u w:val="none" w:color="auto"/>
                <w:lang w:bidi="ar"/>
              </w:rPr>
              <w:t>过程管理，可避免出现</w:t>
            </w:r>
            <w:r>
              <w:rPr>
                <w:rFonts w:hint="eastAsia"/>
                <w:bCs/>
                <w:color w:val="auto"/>
                <w:kern w:val="0"/>
                <w:u w:val="none" w:color="auto"/>
                <w:lang w:bidi="ar"/>
              </w:rPr>
              <w:t>原辅材料及</w:t>
            </w:r>
            <w:r>
              <w:rPr>
                <w:bCs/>
                <w:color w:val="auto"/>
                <w:kern w:val="0"/>
                <w:u w:val="none" w:color="auto"/>
                <w:lang w:bidi="ar"/>
              </w:rPr>
              <w:t>污染物泄漏，</w:t>
            </w:r>
            <w:r>
              <w:rPr>
                <w:rFonts w:hint="eastAsia"/>
                <w:bCs/>
                <w:color w:val="auto"/>
                <w:kern w:val="0"/>
                <w:u w:val="none" w:color="auto"/>
                <w:lang w:bidi="ar"/>
              </w:rPr>
              <w:t>避免</w:t>
            </w:r>
            <w:r>
              <w:rPr>
                <w:bCs/>
                <w:color w:val="auto"/>
                <w:kern w:val="0"/>
                <w:u w:val="none" w:color="auto"/>
                <w:lang w:bidi="ar"/>
              </w:rPr>
              <w:t>下渗造成地下水、土壤污染的情况。此外，项目周边土地主要为二类工业用地，无集中式饮用水源等特殊地下水资源保护区，本项目</w:t>
            </w:r>
            <w:r>
              <w:rPr>
                <w:rFonts w:hint="eastAsia"/>
                <w:bCs/>
                <w:color w:val="auto"/>
                <w:kern w:val="0"/>
                <w:u w:val="none" w:color="auto"/>
                <w:lang w:bidi="ar"/>
              </w:rPr>
              <w:t>对地下水环境影响为可接受</w:t>
            </w:r>
            <w:r>
              <w:rPr>
                <w:bCs/>
                <w:color w:val="auto"/>
                <w:kern w:val="0"/>
                <w:u w:val="none" w:color="auto"/>
                <w:lang w:bidi="ar"/>
              </w:rPr>
              <w:t>。</w:t>
            </w:r>
          </w:p>
          <w:p w14:paraId="13718BE5">
            <w:pPr>
              <w:ind w:firstLine="480"/>
              <w:rPr>
                <w:color w:val="auto"/>
                <w:u w:val="none" w:color="auto"/>
              </w:rPr>
            </w:pPr>
            <w:r>
              <w:rPr>
                <w:color w:val="auto"/>
                <w:u w:val="none" w:color="auto"/>
              </w:rPr>
              <w:t>3、</w:t>
            </w:r>
            <w:r>
              <w:rPr>
                <w:rFonts w:hint="eastAsia"/>
                <w:color w:val="auto"/>
                <w:u w:val="none" w:color="auto"/>
                <w:lang w:eastAsia="zh-CN"/>
              </w:rPr>
              <w:t>自行检测</w:t>
            </w:r>
            <w:r>
              <w:rPr>
                <w:color w:val="auto"/>
                <w:u w:val="none" w:color="auto"/>
              </w:rPr>
              <w:t>要求</w:t>
            </w:r>
          </w:p>
          <w:p w14:paraId="0F2F9D07">
            <w:pPr>
              <w:ind w:firstLine="480"/>
              <w:rPr>
                <w:color w:val="auto"/>
                <w:u w:val="none" w:color="auto"/>
              </w:rPr>
            </w:pPr>
            <w:r>
              <w:rPr>
                <w:color w:val="auto"/>
                <w:u w:val="none" w:color="auto"/>
              </w:rPr>
              <w:t>根据</w:t>
            </w:r>
            <w:r>
              <w:rPr>
                <w:rFonts w:hint="eastAsia"/>
                <w:color w:val="auto"/>
                <w:u w:val="none" w:color="auto"/>
                <w:lang w:eastAsia="zh-CN"/>
              </w:rPr>
              <w:t>《</w:t>
            </w:r>
            <w:r>
              <w:rPr>
                <w:rFonts w:hint="eastAsia"/>
                <w:color w:val="auto"/>
                <w:u w:val="none" w:color="auto"/>
              </w:rPr>
              <w:t>排污</w:t>
            </w:r>
            <w:r>
              <w:rPr>
                <w:rFonts w:hint="eastAsia"/>
                <w:color w:val="auto"/>
                <w:u w:val="none" w:color="auto"/>
                <w:lang w:eastAsia="zh-CN"/>
              </w:rPr>
              <w:t>单位自行监测技术指南</w:t>
            </w:r>
            <w:r>
              <w:rPr>
                <w:rFonts w:hint="eastAsia"/>
                <w:color w:val="auto"/>
                <w:u w:val="none" w:color="auto"/>
              </w:rPr>
              <w:t>电池工业</w:t>
            </w:r>
            <w:r>
              <w:rPr>
                <w:rFonts w:hint="eastAsia"/>
                <w:color w:val="auto"/>
                <w:u w:val="none" w:color="auto"/>
                <w:lang w:eastAsia="zh-CN"/>
              </w:rPr>
              <w:t>》</w:t>
            </w:r>
            <w:r>
              <w:rPr>
                <w:rFonts w:hint="eastAsia"/>
                <w:color w:val="auto"/>
                <w:u w:val="none" w:color="auto"/>
              </w:rPr>
              <w:t>（HJ</w:t>
            </w:r>
            <w:r>
              <w:rPr>
                <w:rFonts w:hint="eastAsia"/>
                <w:color w:val="auto"/>
                <w:u w:val="none" w:color="auto"/>
                <w:lang w:val="en-US" w:eastAsia="zh-CN"/>
              </w:rPr>
              <w:t>1204</w:t>
            </w:r>
            <w:r>
              <w:rPr>
                <w:rFonts w:hint="eastAsia"/>
                <w:color w:val="auto"/>
                <w:u w:val="none" w:color="auto"/>
              </w:rPr>
              <w:t>-20</w:t>
            </w:r>
            <w:r>
              <w:rPr>
                <w:rFonts w:hint="eastAsia"/>
                <w:color w:val="auto"/>
                <w:u w:val="none" w:color="auto"/>
                <w:lang w:val="en-US" w:eastAsia="zh-CN"/>
              </w:rPr>
              <w:t>21</w:t>
            </w:r>
            <w:r>
              <w:rPr>
                <w:rFonts w:hint="eastAsia"/>
                <w:color w:val="auto"/>
                <w:u w:val="none" w:color="auto"/>
              </w:rPr>
              <w:t>）</w:t>
            </w:r>
            <w:r>
              <w:rPr>
                <w:rFonts w:hint="eastAsia"/>
                <w:color w:val="auto"/>
                <w:u w:val="none" w:color="auto"/>
                <w:lang w:eastAsia="zh-CN"/>
              </w:rPr>
              <w:t>、</w:t>
            </w:r>
            <w:r>
              <w:rPr>
                <w:color w:val="auto"/>
                <w:u w:val="none" w:color="auto"/>
              </w:rPr>
              <w:t>《排污许可证申请与核发技术规范电池工业》（HJ967-2018），本次对处理后的废水提出如下</w:t>
            </w:r>
            <w:r>
              <w:rPr>
                <w:rFonts w:hint="eastAsia"/>
                <w:color w:val="auto"/>
                <w:u w:val="none" w:color="auto"/>
                <w:lang w:eastAsia="zh-CN"/>
              </w:rPr>
              <w:t>自行检测</w:t>
            </w:r>
            <w:r>
              <w:rPr>
                <w:color w:val="auto"/>
                <w:u w:val="none" w:color="auto"/>
              </w:rPr>
              <w:t>要求：</w:t>
            </w:r>
          </w:p>
          <w:p w14:paraId="6AC9C3B8">
            <w:pPr>
              <w:spacing w:line="240" w:lineRule="auto"/>
              <w:ind w:firstLine="422"/>
              <w:jc w:val="center"/>
              <w:rPr>
                <w:rFonts w:hint="eastAsia"/>
                <w:b/>
                <w:color w:val="auto"/>
                <w:kern w:val="21"/>
                <w:sz w:val="21"/>
                <w:szCs w:val="21"/>
                <w:u w:val="none" w:color="auto"/>
              </w:rPr>
            </w:pPr>
            <w:r>
              <w:rPr>
                <w:rFonts w:hint="eastAsia"/>
                <w:b/>
                <w:color w:val="auto"/>
                <w:kern w:val="21"/>
                <w:sz w:val="21"/>
                <w:szCs w:val="21"/>
                <w:u w:val="none" w:color="auto"/>
              </w:rPr>
              <w:t>表4-1</w:t>
            </w:r>
            <w:r>
              <w:rPr>
                <w:rFonts w:hint="eastAsia"/>
                <w:b/>
                <w:color w:val="auto"/>
                <w:kern w:val="21"/>
                <w:sz w:val="21"/>
                <w:szCs w:val="21"/>
                <w:u w:val="none" w:color="auto"/>
                <w:lang w:val="en-US" w:eastAsia="zh-CN"/>
              </w:rPr>
              <w:t>5</w:t>
            </w:r>
            <w:r>
              <w:rPr>
                <w:rFonts w:hint="eastAsia"/>
                <w:b/>
                <w:color w:val="auto"/>
                <w:kern w:val="21"/>
                <w:sz w:val="21"/>
                <w:szCs w:val="21"/>
                <w:u w:val="none" w:color="auto"/>
              </w:rPr>
              <w:t>废水监测要求一览表</w:t>
            </w:r>
          </w:p>
          <w:tbl>
            <w:tblPr>
              <w:tblStyle w:val="28"/>
              <w:tblW w:w="82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1117"/>
              <w:gridCol w:w="2198"/>
              <w:gridCol w:w="1140"/>
              <w:gridCol w:w="2701"/>
            </w:tblGrid>
            <w:tr w14:paraId="4858E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3" w:type="dxa"/>
                  <w:noWrap w:val="0"/>
                  <w:vAlign w:val="center"/>
                </w:tcPr>
                <w:p w14:paraId="2DAF206C">
                  <w:pPr>
                    <w:pStyle w:val="11"/>
                    <w:rPr>
                      <w:rFonts w:hint="eastAsia"/>
                      <w:b/>
                      <w:color w:val="auto"/>
                      <w:kern w:val="21"/>
                      <w:sz w:val="21"/>
                      <w:szCs w:val="21"/>
                      <w:u w:val="none" w:color="auto"/>
                    </w:rPr>
                  </w:pPr>
                  <w:r>
                    <w:rPr>
                      <w:rFonts w:hint="eastAsia"/>
                      <w:color w:val="auto"/>
                      <w:sz w:val="21"/>
                      <w:szCs w:val="21"/>
                      <w:u w:val="none" w:color="auto"/>
                    </w:rPr>
                    <w:t>监测类别</w:t>
                  </w:r>
                </w:p>
              </w:tc>
              <w:tc>
                <w:tcPr>
                  <w:tcW w:w="1117" w:type="dxa"/>
                  <w:noWrap w:val="0"/>
                  <w:vAlign w:val="center"/>
                </w:tcPr>
                <w:p w14:paraId="7A1A82FD">
                  <w:pPr>
                    <w:pStyle w:val="11"/>
                    <w:rPr>
                      <w:rFonts w:hint="eastAsia"/>
                      <w:b/>
                      <w:color w:val="auto"/>
                      <w:kern w:val="21"/>
                      <w:sz w:val="21"/>
                      <w:szCs w:val="21"/>
                      <w:u w:val="none" w:color="auto"/>
                    </w:rPr>
                  </w:pPr>
                  <w:r>
                    <w:rPr>
                      <w:rFonts w:hint="eastAsia"/>
                      <w:color w:val="auto"/>
                      <w:sz w:val="21"/>
                      <w:szCs w:val="21"/>
                      <w:u w:val="none" w:color="auto"/>
                    </w:rPr>
                    <w:t>监测点位</w:t>
                  </w:r>
                </w:p>
              </w:tc>
              <w:tc>
                <w:tcPr>
                  <w:tcW w:w="2198" w:type="dxa"/>
                  <w:noWrap w:val="0"/>
                  <w:vAlign w:val="center"/>
                </w:tcPr>
                <w:p w14:paraId="1C46ABB5">
                  <w:pPr>
                    <w:pStyle w:val="11"/>
                    <w:rPr>
                      <w:rFonts w:hint="eastAsia"/>
                      <w:b/>
                      <w:color w:val="auto"/>
                      <w:kern w:val="21"/>
                      <w:sz w:val="21"/>
                      <w:szCs w:val="21"/>
                      <w:u w:val="none" w:color="auto"/>
                    </w:rPr>
                  </w:pPr>
                  <w:r>
                    <w:rPr>
                      <w:rFonts w:hint="eastAsia"/>
                      <w:color w:val="auto"/>
                      <w:sz w:val="21"/>
                      <w:szCs w:val="21"/>
                      <w:u w:val="none" w:color="auto"/>
                    </w:rPr>
                    <w:t>监测项目</w:t>
                  </w:r>
                </w:p>
              </w:tc>
              <w:tc>
                <w:tcPr>
                  <w:tcW w:w="1140" w:type="dxa"/>
                  <w:noWrap w:val="0"/>
                  <w:vAlign w:val="center"/>
                </w:tcPr>
                <w:p w14:paraId="60316F28">
                  <w:pPr>
                    <w:pStyle w:val="11"/>
                    <w:rPr>
                      <w:rFonts w:hint="eastAsia"/>
                      <w:color w:val="auto"/>
                      <w:sz w:val="21"/>
                      <w:szCs w:val="21"/>
                      <w:u w:val="none" w:color="auto"/>
                    </w:rPr>
                  </w:pPr>
                  <w:r>
                    <w:rPr>
                      <w:rFonts w:hint="eastAsia"/>
                      <w:color w:val="auto"/>
                      <w:sz w:val="21"/>
                      <w:szCs w:val="21"/>
                      <w:u w:val="none" w:color="auto"/>
                    </w:rPr>
                    <w:t>监测频次</w:t>
                  </w:r>
                </w:p>
              </w:tc>
              <w:tc>
                <w:tcPr>
                  <w:tcW w:w="2701" w:type="dxa"/>
                  <w:noWrap w:val="0"/>
                  <w:vAlign w:val="center"/>
                </w:tcPr>
                <w:p w14:paraId="2BA0A505">
                  <w:pPr>
                    <w:pStyle w:val="11"/>
                    <w:rPr>
                      <w:rFonts w:hint="eastAsia"/>
                      <w:color w:val="auto"/>
                      <w:sz w:val="21"/>
                      <w:szCs w:val="21"/>
                      <w:u w:val="none" w:color="auto"/>
                    </w:rPr>
                  </w:pPr>
                  <w:r>
                    <w:rPr>
                      <w:rFonts w:hint="eastAsia"/>
                      <w:color w:val="auto"/>
                      <w:sz w:val="21"/>
                      <w:szCs w:val="21"/>
                      <w:u w:val="none" w:color="auto"/>
                    </w:rPr>
                    <w:t>执行标准</w:t>
                  </w:r>
                </w:p>
              </w:tc>
            </w:tr>
            <w:tr w14:paraId="5A7D5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3" w:type="dxa"/>
                  <w:vMerge w:val="restart"/>
                  <w:noWrap w:val="0"/>
                  <w:vAlign w:val="center"/>
                </w:tcPr>
                <w:p w14:paraId="65C165A4">
                  <w:pPr>
                    <w:pStyle w:val="11"/>
                    <w:rPr>
                      <w:rFonts w:hint="eastAsia"/>
                      <w:b/>
                      <w:color w:val="auto"/>
                      <w:kern w:val="21"/>
                      <w:sz w:val="21"/>
                      <w:szCs w:val="21"/>
                      <w:u w:val="none" w:color="auto"/>
                    </w:rPr>
                  </w:pPr>
                  <w:r>
                    <w:rPr>
                      <w:rFonts w:hint="eastAsia"/>
                      <w:color w:val="auto"/>
                      <w:sz w:val="21"/>
                      <w:szCs w:val="21"/>
                      <w:u w:val="none" w:color="auto"/>
                    </w:rPr>
                    <w:t>废水</w:t>
                  </w:r>
                </w:p>
              </w:tc>
              <w:tc>
                <w:tcPr>
                  <w:tcW w:w="1117" w:type="dxa"/>
                  <w:vMerge w:val="restart"/>
                  <w:noWrap w:val="0"/>
                  <w:vAlign w:val="center"/>
                </w:tcPr>
                <w:p w14:paraId="4CA0FA80">
                  <w:pPr>
                    <w:pStyle w:val="11"/>
                    <w:rPr>
                      <w:rFonts w:hint="eastAsia"/>
                      <w:b/>
                      <w:color w:val="auto"/>
                      <w:kern w:val="21"/>
                      <w:sz w:val="21"/>
                      <w:szCs w:val="21"/>
                      <w:u w:val="none" w:color="auto"/>
                    </w:rPr>
                  </w:pPr>
                  <w:r>
                    <w:rPr>
                      <w:rFonts w:hint="eastAsia"/>
                      <w:color w:val="auto"/>
                      <w:sz w:val="21"/>
                      <w:szCs w:val="21"/>
                      <w:u w:val="none" w:color="auto"/>
                    </w:rPr>
                    <w:t>废水排口</w:t>
                  </w:r>
                </w:p>
              </w:tc>
              <w:tc>
                <w:tcPr>
                  <w:tcW w:w="2198" w:type="dxa"/>
                  <w:tcBorders>
                    <w:bottom w:val="single" w:color="000000" w:sz="6" w:space="0"/>
                  </w:tcBorders>
                  <w:noWrap w:val="0"/>
                  <w:vAlign w:val="center"/>
                </w:tcPr>
                <w:p w14:paraId="1205F3E7">
                  <w:pPr>
                    <w:pStyle w:val="11"/>
                    <w:rPr>
                      <w:rFonts w:hint="eastAsia" w:eastAsia="宋体"/>
                      <w:b/>
                      <w:color w:val="auto"/>
                      <w:kern w:val="21"/>
                      <w:sz w:val="21"/>
                      <w:szCs w:val="21"/>
                      <w:u w:val="none" w:color="auto"/>
                      <w:lang w:eastAsia="zh-CN"/>
                    </w:rPr>
                  </w:pPr>
                  <w:r>
                    <w:rPr>
                      <w:rFonts w:hint="eastAsia"/>
                      <w:color w:val="auto"/>
                      <w:sz w:val="21"/>
                      <w:szCs w:val="21"/>
                      <w:u w:val="none" w:color="auto"/>
                    </w:rPr>
                    <w:t>流量、PH、化学需氧量、氨氮、悬浮物</w:t>
                  </w:r>
                </w:p>
              </w:tc>
              <w:tc>
                <w:tcPr>
                  <w:tcW w:w="1140" w:type="dxa"/>
                  <w:tcBorders>
                    <w:bottom w:val="single" w:color="000000" w:sz="6" w:space="0"/>
                  </w:tcBorders>
                  <w:noWrap w:val="0"/>
                  <w:vAlign w:val="center"/>
                </w:tcPr>
                <w:p w14:paraId="5A5DBFA3">
                  <w:pPr>
                    <w:pStyle w:val="11"/>
                    <w:rPr>
                      <w:color w:val="auto"/>
                      <w:sz w:val="21"/>
                      <w:szCs w:val="21"/>
                      <w:u w:val="none" w:color="auto"/>
                    </w:rPr>
                  </w:pPr>
                  <w:r>
                    <w:rPr>
                      <w:rFonts w:hint="eastAsia"/>
                      <w:color w:val="auto"/>
                      <w:sz w:val="21"/>
                      <w:szCs w:val="21"/>
                      <w:u w:val="none" w:color="auto"/>
                    </w:rPr>
                    <w:t>1次/半年</w:t>
                  </w:r>
                </w:p>
              </w:tc>
              <w:tc>
                <w:tcPr>
                  <w:tcW w:w="2701" w:type="dxa"/>
                  <w:vMerge w:val="restart"/>
                  <w:noWrap w:val="0"/>
                  <w:vAlign w:val="top"/>
                </w:tcPr>
                <w:p w14:paraId="792AFB00">
                  <w:pPr>
                    <w:pStyle w:val="11"/>
                    <w:rPr>
                      <w:rFonts w:hint="eastAsia"/>
                      <w:color w:val="auto"/>
                      <w:sz w:val="21"/>
                      <w:szCs w:val="21"/>
                      <w:u w:val="none" w:color="auto"/>
                    </w:rPr>
                  </w:pPr>
                  <w:r>
                    <w:rPr>
                      <w:rFonts w:hint="eastAsia"/>
                      <w:color w:val="auto"/>
                      <w:sz w:val="21"/>
                      <w:szCs w:val="21"/>
                      <w:u w:val="none" w:color="auto"/>
                    </w:rPr>
                    <w:t>《电池工业污染物排放标准》中“表2中新建企业水污染物排放限值（间接排放），且需满足污水处理厂的进水水质要求</w:t>
                  </w:r>
                </w:p>
              </w:tc>
            </w:tr>
            <w:tr w14:paraId="6F728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3" w:type="dxa"/>
                  <w:vMerge w:val="continue"/>
                  <w:noWrap w:val="0"/>
                  <w:vAlign w:val="center"/>
                </w:tcPr>
                <w:p w14:paraId="4C182DF8">
                  <w:pPr>
                    <w:pStyle w:val="11"/>
                    <w:rPr>
                      <w:rFonts w:hint="eastAsia"/>
                      <w:color w:val="auto"/>
                      <w:sz w:val="21"/>
                      <w:szCs w:val="21"/>
                      <w:u w:val="none" w:color="auto"/>
                    </w:rPr>
                  </w:pPr>
                </w:p>
              </w:tc>
              <w:tc>
                <w:tcPr>
                  <w:tcW w:w="1117" w:type="dxa"/>
                  <w:vMerge w:val="continue"/>
                  <w:noWrap w:val="0"/>
                  <w:vAlign w:val="center"/>
                </w:tcPr>
                <w:p w14:paraId="660C764D">
                  <w:pPr>
                    <w:pStyle w:val="11"/>
                    <w:rPr>
                      <w:rFonts w:hint="eastAsia"/>
                      <w:color w:val="auto"/>
                      <w:sz w:val="21"/>
                      <w:szCs w:val="21"/>
                      <w:u w:val="none" w:color="auto"/>
                    </w:rPr>
                  </w:pPr>
                </w:p>
              </w:tc>
              <w:tc>
                <w:tcPr>
                  <w:tcW w:w="2198" w:type="dxa"/>
                  <w:tcBorders>
                    <w:top w:val="single" w:color="000000" w:sz="6" w:space="0"/>
                    <w:bottom w:val="single" w:color="000000" w:sz="6" w:space="0"/>
                  </w:tcBorders>
                  <w:noWrap w:val="0"/>
                  <w:vAlign w:val="center"/>
                </w:tcPr>
                <w:p w14:paraId="4CDF9F59">
                  <w:pPr>
                    <w:pStyle w:val="11"/>
                    <w:rPr>
                      <w:rFonts w:hint="eastAsia"/>
                      <w:color w:val="auto"/>
                      <w:sz w:val="21"/>
                      <w:szCs w:val="21"/>
                      <w:u w:val="none" w:color="auto"/>
                    </w:rPr>
                  </w:pPr>
                  <w:r>
                    <w:rPr>
                      <w:rFonts w:hint="eastAsia"/>
                      <w:color w:val="auto"/>
                      <w:sz w:val="21"/>
                      <w:szCs w:val="21"/>
                      <w:u w:val="none" w:color="auto"/>
                    </w:rPr>
                    <w:t>总磷、总氮</w:t>
                  </w:r>
                </w:p>
              </w:tc>
              <w:tc>
                <w:tcPr>
                  <w:tcW w:w="1140" w:type="dxa"/>
                  <w:tcBorders>
                    <w:top w:val="single" w:color="000000" w:sz="6" w:space="0"/>
                    <w:bottom w:val="single" w:color="000000" w:sz="6" w:space="0"/>
                  </w:tcBorders>
                  <w:noWrap w:val="0"/>
                  <w:vAlign w:val="center"/>
                </w:tcPr>
                <w:p w14:paraId="11988550">
                  <w:pPr>
                    <w:pStyle w:val="11"/>
                    <w:rPr>
                      <w:rFonts w:hint="eastAsia"/>
                      <w:color w:val="auto"/>
                      <w:sz w:val="21"/>
                      <w:szCs w:val="21"/>
                      <w:u w:val="none" w:color="auto"/>
                    </w:rPr>
                  </w:pPr>
                  <w:r>
                    <w:rPr>
                      <w:rFonts w:hint="eastAsia"/>
                      <w:color w:val="auto"/>
                      <w:sz w:val="21"/>
                      <w:szCs w:val="21"/>
                      <w:u w:val="none" w:color="auto"/>
                    </w:rPr>
                    <w:t>1次/年</w:t>
                  </w:r>
                </w:p>
              </w:tc>
              <w:tc>
                <w:tcPr>
                  <w:tcW w:w="2701" w:type="dxa"/>
                  <w:vMerge w:val="continue"/>
                  <w:noWrap w:val="0"/>
                  <w:vAlign w:val="top"/>
                </w:tcPr>
                <w:p w14:paraId="24370303">
                  <w:pPr>
                    <w:pStyle w:val="11"/>
                    <w:rPr>
                      <w:rFonts w:hint="eastAsia"/>
                      <w:color w:val="auto"/>
                      <w:sz w:val="21"/>
                      <w:szCs w:val="21"/>
                      <w:u w:val="none" w:color="auto"/>
                    </w:rPr>
                  </w:pPr>
                </w:p>
              </w:tc>
            </w:tr>
            <w:tr w14:paraId="37045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3" w:type="dxa"/>
                  <w:vMerge w:val="continue"/>
                  <w:noWrap w:val="0"/>
                  <w:vAlign w:val="center"/>
                </w:tcPr>
                <w:p w14:paraId="5397D7D2">
                  <w:pPr>
                    <w:pStyle w:val="11"/>
                    <w:rPr>
                      <w:rFonts w:hint="eastAsia"/>
                      <w:color w:val="auto"/>
                      <w:sz w:val="21"/>
                      <w:szCs w:val="21"/>
                      <w:u w:val="none" w:color="auto"/>
                    </w:rPr>
                  </w:pPr>
                </w:p>
              </w:tc>
              <w:tc>
                <w:tcPr>
                  <w:tcW w:w="1117" w:type="dxa"/>
                  <w:vMerge w:val="continue"/>
                  <w:noWrap w:val="0"/>
                  <w:vAlign w:val="center"/>
                </w:tcPr>
                <w:p w14:paraId="52D6B9DA">
                  <w:pPr>
                    <w:pStyle w:val="11"/>
                    <w:rPr>
                      <w:rFonts w:hint="default" w:eastAsia="宋体"/>
                      <w:color w:val="auto"/>
                      <w:sz w:val="21"/>
                      <w:szCs w:val="21"/>
                      <w:u w:val="none" w:color="auto"/>
                      <w:lang w:val="en-US" w:eastAsia="zh-CN"/>
                    </w:rPr>
                  </w:pPr>
                </w:p>
              </w:tc>
              <w:tc>
                <w:tcPr>
                  <w:tcW w:w="2198" w:type="dxa"/>
                  <w:tcBorders>
                    <w:top w:val="single" w:color="000000" w:sz="6" w:space="0"/>
                  </w:tcBorders>
                  <w:noWrap w:val="0"/>
                  <w:vAlign w:val="center"/>
                </w:tcPr>
                <w:p w14:paraId="39AA88B4">
                  <w:pPr>
                    <w:pStyle w:val="11"/>
                    <w:rPr>
                      <w:rFonts w:hint="default" w:eastAsia="宋体"/>
                      <w:color w:val="auto"/>
                      <w:sz w:val="21"/>
                      <w:szCs w:val="21"/>
                      <w:u w:val="none" w:color="auto"/>
                      <w:lang w:val="en-US" w:eastAsia="zh-CN"/>
                    </w:rPr>
                  </w:pPr>
                  <w:r>
                    <w:rPr>
                      <w:rFonts w:hint="eastAsia"/>
                      <w:color w:val="auto"/>
                      <w:sz w:val="21"/>
                      <w:szCs w:val="21"/>
                      <w:u w:val="none" w:color="auto"/>
                      <w:lang w:val="en-US" w:eastAsia="zh-CN"/>
                    </w:rPr>
                    <w:t>总钴、总镍</w:t>
                  </w:r>
                </w:p>
              </w:tc>
              <w:tc>
                <w:tcPr>
                  <w:tcW w:w="1140" w:type="dxa"/>
                  <w:tcBorders>
                    <w:top w:val="single" w:color="000000" w:sz="6" w:space="0"/>
                  </w:tcBorders>
                  <w:noWrap w:val="0"/>
                  <w:vAlign w:val="center"/>
                </w:tcPr>
                <w:p w14:paraId="2FF4F0B6">
                  <w:pPr>
                    <w:pStyle w:val="11"/>
                    <w:rPr>
                      <w:rFonts w:hint="eastAsia" w:eastAsia="宋体"/>
                      <w:color w:val="auto"/>
                      <w:sz w:val="21"/>
                      <w:szCs w:val="21"/>
                      <w:u w:val="none" w:color="auto"/>
                      <w:lang w:eastAsia="zh-CN"/>
                    </w:rPr>
                  </w:pPr>
                  <w:r>
                    <w:rPr>
                      <w:rFonts w:hint="eastAsia"/>
                      <w:color w:val="auto"/>
                      <w:sz w:val="21"/>
                      <w:szCs w:val="21"/>
                      <w:u w:val="none" w:color="auto"/>
                    </w:rPr>
                    <w:t>1次/</w:t>
                  </w:r>
                  <w:r>
                    <w:rPr>
                      <w:rFonts w:hint="eastAsia"/>
                      <w:color w:val="auto"/>
                      <w:sz w:val="21"/>
                      <w:szCs w:val="21"/>
                      <w:u w:val="none" w:color="auto"/>
                      <w:lang w:val="en-US" w:eastAsia="zh-CN"/>
                    </w:rPr>
                    <w:t>季</w:t>
                  </w:r>
                </w:p>
              </w:tc>
              <w:tc>
                <w:tcPr>
                  <w:tcW w:w="2701" w:type="dxa"/>
                  <w:vMerge w:val="continue"/>
                  <w:noWrap w:val="0"/>
                  <w:vAlign w:val="top"/>
                </w:tcPr>
                <w:p w14:paraId="3687FF17">
                  <w:pPr>
                    <w:pStyle w:val="11"/>
                    <w:rPr>
                      <w:rFonts w:hint="eastAsia"/>
                      <w:color w:val="auto"/>
                      <w:sz w:val="21"/>
                      <w:szCs w:val="21"/>
                      <w:u w:val="none" w:color="auto"/>
                    </w:rPr>
                  </w:pPr>
                </w:p>
              </w:tc>
            </w:tr>
          </w:tbl>
          <w:p w14:paraId="5ADB0F10">
            <w:pPr>
              <w:ind w:firstLine="482"/>
              <w:rPr>
                <w:rFonts w:hint="eastAsia"/>
                <w:b/>
                <w:bCs/>
                <w:color w:val="auto"/>
                <w:u w:val="none" w:color="auto"/>
              </w:rPr>
            </w:pPr>
            <w:r>
              <w:rPr>
                <w:rFonts w:hint="eastAsia"/>
                <w:b/>
                <w:bCs/>
                <w:color w:val="auto"/>
                <w:u w:val="none" w:color="auto"/>
              </w:rPr>
              <w:t>（六）运营期</w:t>
            </w:r>
            <w:r>
              <w:rPr>
                <w:b/>
                <w:bCs/>
                <w:color w:val="auto"/>
                <w:u w:val="none" w:color="auto"/>
              </w:rPr>
              <w:t>土壤</w:t>
            </w:r>
            <w:r>
              <w:rPr>
                <w:rFonts w:hint="eastAsia"/>
                <w:b/>
                <w:bCs/>
                <w:color w:val="auto"/>
                <w:u w:val="none" w:color="auto"/>
              </w:rPr>
              <w:t>环境影响和保护措施</w:t>
            </w:r>
          </w:p>
          <w:p w14:paraId="344B8F3C">
            <w:pPr>
              <w:ind w:firstLine="480"/>
              <w:rPr>
                <w:rFonts w:hint="eastAsia"/>
                <w:color w:val="auto"/>
                <w:u w:val="none" w:color="auto"/>
              </w:rPr>
            </w:pPr>
            <w:r>
              <w:rPr>
                <w:rFonts w:hint="eastAsia"/>
                <w:color w:val="auto"/>
                <w:u w:val="none" w:color="auto"/>
              </w:rPr>
              <w:t>1、土壤环境影响源及影响因子识别</w:t>
            </w:r>
          </w:p>
          <w:p w14:paraId="3F576C0D">
            <w:pPr>
              <w:ind w:firstLine="480"/>
              <w:rPr>
                <w:rFonts w:hint="eastAsia"/>
                <w:color w:val="auto"/>
                <w:u w:val="none" w:color="auto"/>
              </w:rPr>
            </w:pPr>
            <w:r>
              <w:rPr>
                <w:rFonts w:hint="eastAsia"/>
                <w:color w:val="auto"/>
                <w:u w:val="none" w:color="auto"/>
              </w:rPr>
              <w:t>本项目土壤影响源主要为生产车间、污水处理设施等。</w:t>
            </w:r>
          </w:p>
          <w:p w14:paraId="28D96845">
            <w:pPr>
              <w:pStyle w:val="16"/>
              <w:spacing w:line="400" w:lineRule="exact"/>
              <w:ind w:firstLine="422"/>
              <w:rPr>
                <w:rFonts w:hint="eastAsia" w:hAnsi="Times New Roman"/>
                <w:b/>
                <w:color w:val="auto"/>
                <w:sz w:val="21"/>
                <w:szCs w:val="21"/>
                <w:u w:val="none" w:color="auto"/>
              </w:rPr>
            </w:pPr>
            <w:r>
              <w:rPr>
                <w:rFonts w:hint="eastAsia" w:hAnsi="Times New Roman"/>
                <w:b/>
                <w:color w:val="auto"/>
                <w:sz w:val="21"/>
                <w:szCs w:val="21"/>
                <w:u w:val="none" w:color="auto"/>
              </w:rPr>
              <w:t>表4-</w:t>
            </w:r>
            <w:r>
              <w:rPr>
                <w:rFonts w:hint="eastAsia" w:hAnsi="Times New Roman"/>
                <w:b/>
                <w:color w:val="auto"/>
                <w:sz w:val="21"/>
                <w:szCs w:val="21"/>
                <w:u w:val="none" w:color="auto"/>
                <w:lang w:val="en-US"/>
              </w:rPr>
              <w:t>1</w:t>
            </w:r>
            <w:r>
              <w:rPr>
                <w:rFonts w:hint="eastAsia" w:hAnsi="Times New Roman"/>
                <w:b/>
                <w:color w:val="auto"/>
                <w:sz w:val="21"/>
                <w:szCs w:val="21"/>
                <w:u w:val="none" w:color="auto"/>
                <w:lang w:val="en-US" w:eastAsia="zh-CN"/>
              </w:rPr>
              <w:t>6</w:t>
            </w:r>
            <w:r>
              <w:rPr>
                <w:rFonts w:hint="eastAsia" w:hAnsi="Times New Roman"/>
                <w:b/>
                <w:color w:val="auto"/>
                <w:sz w:val="21"/>
                <w:szCs w:val="21"/>
                <w:u w:val="none" w:color="auto"/>
              </w:rPr>
              <w:t>土壤环境影响源及影响因子识别表</w:t>
            </w:r>
          </w:p>
          <w:tbl>
            <w:tblPr>
              <w:tblStyle w:val="28"/>
              <w:tblW w:w="833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73"/>
              <w:gridCol w:w="1551"/>
              <w:gridCol w:w="1905"/>
              <w:gridCol w:w="2505"/>
              <w:gridCol w:w="1296"/>
            </w:tblGrid>
            <w:tr w14:paraId="1F7A66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3" w:type="dxa"/>
                  <w:noWrap w:val="0"/>
                  <w:vAlign w:val="center"/>
                </w:tcPr>
                <w:p w14:paraId="788D12C2">
                  <w:pPr>
                    <w:pStyle w:val="36"/>
                    <w:widowControl w:val="0"/>
                    <w:snapToGrid/>
                    <w:jc w:val="center"/>
                    <w:rPr>
                      <w:rFonts w:hint="eastAsia" w:eastAsia="宋体"/>
                      <w:color w:val="auto"/>
                      <w:szCs w:val="21"/>
                      <w:u w:val="none" w:color="auto"/>
                    </w:rPr>
                  </w:pPr>
                  <w:r>
                    <w:rPr>
                      <w:rFonts w:hint="eastAsia" w:eastAsia="宋体"/>
                      <w:color w:val="auto"/>
                      <w:szCs w:val="21"/>
                      <w:u w:val="none" w:color="auto"/>
                    </w:rPr>
                    <w:t>污染源</w:t>
                  </w:r>
                </w:p>
              </w:tc>
              <w:tc>
                <w:tcPr>
                  <w:tcW w:w="1551" w:type="dxa"/>
                  <w:noWrap w:val="0"/>
                  <w:vAlign w:val="center"/>
                </w:tcPr>
                <w:p w14:paraId="2E7D76B5">
                  <w:pPr>
                    <w:pStyle w:val="36"/>
                    <w:widowControl w:val="0"/>
                    <w:snapToGrid/>
                    <w:jc w:val="center"/>
                    <w:rPr>
                      <w:rFonts w:hint="eastAsia" w:eastAsia="宋体"/>
                      <w:color w:val="auto"/>
                      <w:szCs w:val="21"/>
                      <w:u w:val="none" w:color="auto"/>
                    </w:rPr>
                  </w:pPr>
                  <w:r>
                    <w:rPr>
                      <w:rFonts w:hint="eastAsia" w:eastAsia="宋体"/>
                      <w:color w:val="auto"/>
                      <w:szCs w:val="21"/>
                      <w:u w:val="none" w:color="auto"/>
                    </w:rPr>
                    <w:t>工艺流程/节点</w:t>
                  </w:r>
                </w:p>
              </w:tc>
              <w:tc>
                <w:tcPr>
                  <w:tcW w:w="1905" w:type="dxa"/>
                  <w:noWrap w:val="0"/>
                  <w:vAlign w:val="center"/>
                </w:tcPr>
                <w:p w14:paraId="271F3667">
                  <w:pPr>
                    <w:pStyle w:val="36"/>
                    <w:widowControl w:val="0"/>
                    <w:snapToGrid/>
                    <w:jc w:val="center"/>
                    <w:rPr>
                      <w:rFonts w:hint="eastAsia" w:eastAsia="宋体"/>
                      <w:color w:val="auto"/>
                      <w:szCs w:val="21"/>
                      <w:u w:val="none" w:color="auto"/>
                    </w:rPr>
                  </w:pPr>
                  <w:r>
                    <w:rPr>
                      <w:rFonts w:hint="eastAsia" w:eastAsia="宋体"/>
                      <w:color w:val="auto"/>
                      <w:szCs w:val="21"/>
                      <w:u w:val="none" w:color="auto"/>
                    </w:rPr>
                    <w:t>污染途径</w:t>
                  </w:r>
                </w:p>
              </w:tc>
              <w:tc>
                <w:tcPr>
                  <w:tcW w:w="2505" w:type="dxa"/>
                  <w:noWrap w:val="0"/>
                  <w:vAlign w:val="center"/>
                </w:tcPr>
                <w:p w14:paraId="4C7FEF58">
                  <w:pPr>
                    <w:pStyle w:val="36"/>
                    <w:widowControl w:val="0"/>
                    <w:snapToGrid/>
                    <w:jc w:val="center"/>
                    <w:rPr>
                      <w:rFonts w:hint="eastAsia" w:eastAsia="宋体"/>
                      <w:color w:val="auto"/>
                      <w:szCs w:val="21"/>
                      <w:u w:val="none" w:color="auto"/>
                    </w:rPr>
                  </w:pPr>
                  <w:r>
                    <w:rPr>
                      <w:rFonts w:hint="eastAsia" w:eastAsia="宋体"/>
                      <w:color w:val="auto"/>
                      <w:szCs w:val="21"/>
                      <w:u w:val="none" w:color="auto"/>
                    </w:rPr>
                    <w:t>全部污染物指标</w:t>
                  </w:r>
                </w:p>
              </w:tc>
              <w:tc>
                <w:tcPr>
                  <w:tcW w:w="1296" w:type="dxa"/>
                  <w:noWrap w:val="0"/>
                  <w:vAlign w:val="center"/>
                </w:tcPr>
                <w:p w14:paraId="746E4E98">
                  <w:pPr>
                    <w:pStyle w:val="36"/>
                    <w:widowControl w:val="0"/>
                    <w:snapToGrid/>
                    <w:jc w:val="center"/>
                    <w:rPr>
                      <w:rFonts w:hint="eastAsia" w:eastAsia="宋体"/>
                      <w:color w:val="auto"/>
                      <w:szCs w:val="21"/>
                      <w:u w:val="none" w:color="auto"/>
                    </w:rPr>
                  </w:pPr>
                  <w:r>
                    <w:rPr>
                      <w:rFonts w:hint="eastAsia" w:eastAsia="宋体"/>
                      <w:color w:val="auto"/>
                      <w:szCs w:val="21"/>
                      <w:u w:val="none" w:color="auto"/>
                    </w:rPr>
                    <w:t>特征因子</w:t>
                  </w:r>
                </w:p>
              </w:tc>
            </w:tr>
            <w:tr w14:paraId="3C0CA9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3" w:type="dxa"/>
                  <w:noWrap w:val="0"/>
                  <w:vAlign w:val="center"/>
                </w:tcPr>
                <w:p w14:paraId="2DDD3C73">
                  <w:pPr>
                    <w:pStyle w:val="36"/>
                    <w:widowControl w:val="0"/>
                    <w:snapToGrid/>
                    <w:jc w:val="center"/>
                    <w:rPr>
                      <w:rFonts w:hint="eastAsia" w:eastAsia="宋体"/>
                      <w:color w:val="auto"/>
                      <w:szCs w:val="21"/>
                      <w:u w:val="none" w:color="auto"/>
                    </w:rPr>
                  </w:pPr>
                  <w:r>
                    <w:rPr>
                      <w:rFonts w:hint="eastAsia" w:eastAsia="宋体"/>
                      <w:color w:val="auto"/>
                      <w:szCs w:val="21"/>
                      <w:u w:val="none" w:color="auto"/>
                    </w:rPr>
                    <w:t>污水处理设施</w:t>
                  </w:r>
                </w:p>
              </w:tc>
              <w:tc>
                <w:tcPr>
                  <w:tcW w:w="1551" w:type="dxa"/>
                  <w:noWrap w:val="0"/>
                  <w:vAlign w:val="center"/>
                </w:tcPr>
                <w:p w14:paraId="246A27FB">
                  <w:pPr>
                    <w:pStyle w:val="36"/>
                    <w:widowControl w:val="0"/>
                    <w:snapToGrid/>
                    <w:jc w:val="center"/>
                    <w:rPr>
                      <w:rFonts w:hint="eastAsia" w:eastAsia="宋体"/>
                      <w:color w:val="auto"/>
                      <w:szCs w:val="21"/>
                      <w:u w:val="none" w:color="auto"/>
                    </w:rPr>
                  </w:pPr>
                  <w:r>
                    <w:rPr>
                      <w:rFonts w:hint="eastAsia" w:eastAsia="宋体"/>
                      <w:color w:val="auto"/>
                      <w:szCs w:val="21"/>
                      <w:u w:val="none" w:color="auto"/>
                    </w:rPr>
                    <w:t>废水处理</w:t>
                  </w:r>
                </w:p>
              </w:tc>
              <w:tc>
                <w:tcPr>
                  <w:tcW w:w="1905" w:type="dxa"/>
                  <w:noWrap w:val="0"/>
                  <w:vAlign w:val="center"/>
                </w:tcPr>
                <w:p w14:paraId="333A91C7">
                  <w:pPr>
                    <w:pStyle w:val="36"/>
                    <w:widowControl w:val="0"/>
                    <w:snapToGrid/>
                    <w:jc w:val="center"/>
                    <w:rPr>
                      <w:rFonts w:hint="eastAsia" w:eastAsia="宋体"/>
                      <w:color w:val="auto"/>
                      <w:szCs w:val="21"/>
                      <w:u w:val="none" w:color="auto"/>
                    </w:rPr>
                  </w:pPr>
                  <w:r>
                    <w:rPr>
                      <w:rFonts w:hint="eastAsia" w:eastAsia="宋体"/>
                      <w:color w:val="auto"/>
                      <w:szCs w:val="21"/>
                      <w:u w:val="none" w:color="auto"/>
                    </w:rPr>
                    <w:t>垂直入渗、地面漫流</w:t>
                  </w:r>
                </w:p>
              </w:tc>
              <w:tc>
                <w:tcPr>
                  <w:tcW w:w="2505" w:type="dxa"/>
                  <w:noWrap w:val="0"/>
                  <w:vAlign w:val="center"/>
                </w:tcPr>
                <w:p w14:paraId="50463E43">
                  <w:pPr>
                    <w:pStyle w:val="36"/>
                    <w:widowControl w:val="0"/>
                    <w:snapToGrid/>
                    <w:ind w:right="0" w:rightChars="0" w:firstLine="0" w:firstLineChars="0"/>
                    <w:jc w:val="center"/>
                    <w:rPr>
                      <w:rFonts w:hint="eastAsia" w:eastAsia="宋体"/>
                      <w:color w:val="auto"/>
                      <w:szCs w:val="21"/>
                      <w:u w:val="none" w:color="auto"/>
                      <w:lang w:eastAsia="zh-CN"/>
                    </w:rPr>
                  </w:pPr>
                  <w:r>
                    <w:rPr>
                      <w:rFonts w:hint="eastAsia" w:eastAsia="宋体"/>
                      <w:color w:val="auto"/>
                      <w:szCs w:val="21"/>
                      <w:u w:val="none" w:color="auto"/>
                      <w:lang w:val="en-US" w:eastAsia="zh-CN"/>
                    </w:rPr>
                    <w:t>PH、</w:t>
                  </w:r>
                  <w:r>
                    <w:rPr>
                      <w:rFonts w:hint="eastAsia" w:eastAsia="宋体"/>
                      <w:color w:val="auto"/>
                      <w:szCs w:val="21"/>
                      <w:u w:val="none" w:color="auto"/>
                    </w:rPr>
                    <w:t>COD、NH</w:t>
                  </w:r>
                  <w:r>
                    <w:rPr>
                      <w:rFonts w:hint="eastAsia" w:eastAsia="宋体"/>
                      <w:color w:val="auto"/>
                      <w:szCs w:val="21"/>
                      <w:u w:val="none" w:color="auto"/>
                      <w:vertAlign w:val="subscript"/>
                    </w:rPr>
                    <w:t>3</w:t>
                  </w:r>
                  <w:r>
                    <w:rPr>
                      <w:rFonts w:hint="eastAsia" w:eastAsia="宋体"/>
                      <w:color w:val="auto"/>
                      <w:szCs w:val="21"/>
                      <w:u w:val="none" w:color="auto"/>
                    </w:rPr>
                    <w:t>-N、</w:t>
                  </w:r>
                  <w:r>
                    <w:rPr>
                      <w:rFonts w:hint="eastAsia"/>
                      <w:color w:val="auto"/>
                      <w:sz w:val="21"/>
                      <w:szCs w:val="21"/>
                      <w:u w:val="none" w:color="auto"/>
                      <w:lang w:val="en-US" w:eastAsia="zh-CN"/>
                    </w:rPr>
                    <w:t>总钴、总镍</w:t>
                  </w:r>
                </w:p>
              </w:tc>
              <w:tc>
                <w:tcPr>
                  <w:tcW w:w="1296" w:type="dxa"/>
                  <w:noWrap w:val="0"/>
                  <w:vAlign w:val="center"/>
                </w:tcPr>
                <w:p w14:paraId="0965B815">
                  <w:pPr>
                    <w:pStyle w:val="36"/>
                    <w:widowControl w:val="0"/>
                    <w:snapToGrid/>
                    <w:jc w:val="center"/>
                    <w:rPr>
                      <w:rFonts w:hint="eastAsia" w:eastAsia="宋体"/>
                      <w:color w:val="auto"/>
                      <w:szCs w:val="21"/>
                      <w:u w:val="none" w:color="auto"/>
                    </w:rPr>
                  </w:pPr>
                  <w:r>
                    <w:rPr>
                      <w:rFonts w:hint="eastAsia"/>
                      <w:color w:val="auto"/>
                      <w:sz w:val="21"/>
                      <w:szCs w:val="21"/>
                      <w:u w:val="none" w:color="auto"/>
                      <w:lang w:val="en-US" w:eastAsia="zh-CN"/>
                    </w:rPr>
                    <w:t>总钴、总镍</w:t>
                  </w:r>
                </w:p>
              </w:tc>
            </w:tr>
            <w:tr w14:paraId="608CA1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3" w:type="dxa"/>
                  <w:noWrap w:val="0"/>
                  <w:vAlign w:val="center"/>
                </w:tcPr>
                <w:p w14:paraId="39965AB8">
                  <w:pPr>
                    <w:pStyle w:val="36"/>
                    <w:widowControl w:val="0"/>
                    <w:snapToGrid/>
                    <w:jc w:val="center"/>
                    <w:rPr>
                      <w:rFonts w:hint="eastAsia" w:eastAsia="宋体"/>
                      <w:color w:val="auto"/>
                      <w:szCs w:val="21"/>
                      <w:u w:val="none" w:color="auto"/>
                    </w:rPr>
                  </w:pPr>
                  <w:r>
                    <w:rPr>
                      <w:rFonts w:hint="eastAsia" w:eastAsia="宋体"/>
                      <w:color w:val="auto"/>
                      <w:szCs w:val="21"/>
                      <w:u w:val="none" w:color="auto"/>
                    </w:rPr>
                    <w:t>生产区</w:t>
                  </w:r>
                </w:p>
              </w:tc>
              <w:tc>
                <w:tcPr>
                  <w:tcW w:w="1551" w:type="dxa"/>
                  <w:noWrap w:val="0"/>
                  <w:vAlign w:val="center"/>
                </w:tcPr>
                <w:p w14:paraId="64C39964">
                  <w:pPr>
                    <w:pStyle w:val="36"/>
                    <w:widowControl w:val="0"/>
                    <w:snapToGrid/>
                    <w:jc w:val="center"/>
                    <w:rPr>
                      <w:rFonts w:hint="eastAsia" w:eastAsia="宋体"/>
                      <w:color w:val="auto"/>
                      <w:szCs w:val="21"/>
                      <w:u w:val="none" w:color="auto"/>
                    </w:rPr>
                  </w:pPr>
                  <w:r>
                    <w:rPr>
                      <w:rFonts w:hint="eastAsia" w:eastAsia="宋体"/>
                      <w:color w:val="auto"/>
                      <w:szCs w:val="21"/>
                      <w:u w:val="none" w:color="auto"/>
                    </w:rPr>
                    <w:t>涂布、烘干、注液</w:t>
                  </w:r>
                </w:p>
              </w:tc>
              <w:tc>
                <w:tcPr>
                  <w:tcW w:w="1905" w:type="dxa"/>
                  <w:noWrap w:val="0"/>
                  <w:vAlign w:val="center"/>
                </w:tcPr>
                <w:p w14:paraId="02E05109">
                  <w:pPr>
                    <w:pStyle w:val="36"/>
                    <w:widowControl w:val="0"/>
                    <w:snapToGrid/>
                    <w:jc w:val="center"/>
                    <w:rPr>
                      <w:rFonts w:hint="eastAsia" w:eastAsia="宋体"/>
                      <w:color w:val="auto"/>
                      <w:szCs w:val="21"/>
                      <w:u w:val="none" w:color="auto"/>
                    </w:rPr>
                  </w:pPr>
                  <w:r>
                    <w:rPr>
                      <w:rFonts w:hint="eastAsia" w:eastAsia="宋体"/>
                      <w:color w:val="auto"/>
                      <w:szCs w:val="21"/>
                      <w:u w:val="none" w:color="auto"/>
                    </w:rPr>
                    <w:t>大气沉降</w:t>
                  </w:r>
                </w:p>
              </w:tc>
              <w:tc>
                <w:tcPr>
                  <w:tcW w:w="2505" w:type="dxa"/>
                  <w:noWrap w:val="0"/>
                  <w:vAlign w:val="center"/>
                </w:tcPr>
                <w:p w14:paraId="1A72B8B9">
                  <w:pPr>
                    <w:pStyle w:val="36"/>
                    <w:widowControl w:val="0"/>
                    <w:snapToGrid/>
                    <w:ind w:right="0" w:rightChars="0" w:firstLine="0" w:firstLineChars="0"/>
                    <w:jc w:val="center"/>
                    <w:rPr>
                      <w:rFonts w:hint="eastAsia" w:eastAsia="宋体"/>
                      <w:color w:val="auto"/>
                      <w:szCs w:val="21"/>
                      <w:u w:val="none" w:color="auto"/>
                      <w:lang w:eastAsia="zh-CN"/>
                    </w:rPr>
                  </w:pPr>
                  <w:r>
                    <w:rPr>
                      <w:rFonts w:hint="eastAsia" w:eastAsia="宋体"/>
                      <w:color w:val="auto"/>
                      <w:szCs w:val="21"/>
                      <w:u w:val="none" w:color="auto"/>
                    </w:rPr>
                    <w:t>非甲烷总烃</w:t>
                  </w:r>
                  <w:r>
                    <w:rPr>
                      <w:rFonts w:hint="eastAsia" w:eastAsia="宋体"/>
                      <w:color w:val="auto"/>
                      <w:u w:val="none" w:color="auto"/>
                      <w:lang w:eastAsia="zh-CN"/>
                    </w:rPr>
                    <w:t>、总镍</w:t>
                  </w:r>
                </w:p>
              </w:tc>
              <w:tc>
                <w:tcPr>
                  <w:tcW w:w="1296" w:type="dxa"/>
                  <w:noWrap w:val="0"/>
                  <w:vAlign w:val="center"/>
                </w:tcPr>
                <w:p w14:paraId="1ECD85C9">
                  <w:pPr>
                    <w:pStyle w:val="36"/>
                    <w:widowControl w:val="0"/>
                    <w:snapToGrid/>
                    <w:jc w:val="center"/>
                    <w:rPr>
                      <w:rFonts w:hint="eastAsia" w:eastAsia="宋体"/>
                      <w:color w:val="auto"/>
                      <w:szCs w:val="21"/>
                      <w:u w:val="none" w:color="auto"/>
                    </w:rPr>
                  </w:pPr>
                  <w:r>
                    <w:rPr>
                      <w:rFonts w:hint="eastAsia" w:eastAsia="宋体"/>
                      <w:color w:val="auto"/>
                      <w:szCs w:val="21"/>
                      <w:u w:val="none" w:color="auto"/>
                    </w:rPr>
                    <w:t>非甲烷总烃</w:t>
                  </w:r>
                  <w:r>
                    <w:rPr>
                      <w:rFonts w:hint="eastAsia" w:eastAsia="宋体"/>
                      <w:color w:val="auto"/>
                      <w:u w:val="none" w:color="auto"/>
                      <w:lang w:eastAsia="zh-CN"/>
                    </w:rPr>
                    <w:t>、总镍</w:t>
                  </w:r>
                </w:p>
              </w:tc>
            </w:tr>
          </w:tbl>
          <w:p w14:paraId="09520CBA">
            <w:pPr>
              <w:ind w:firstLine="480"/>
              <w:rPr>
                <w:color w:val="auto"/>
                <w:u w:val="none" w:color="auto"/>
              </w:rPr>
            </w:pPr>
            <w:r>
              <w:rPr>
                <w:color w:val="auto"/>
                <w:u w:val="none" w:color="auto"/>
              </w:rPr>
              <w:t>根据上表，本项目产生的污染因子</w:t>
            </w:r>
            <w:r>
              <w:rPr>
                <w:rFonts w:hint="eastAsia"/>
                <w:color w:val="auto"/>
                <w:u w:val="none" w:color="auto"/>
                <w:lang w:eastAsia="zh-CN"/>
              </w:rPr>
              <w:t>为pH</w:t>
            </w:r>
            <w:r>
              <w:rPr>
                <w:rFonts w:hint="eastAsia"/>
                <w:color w:val="auto"/>
                <w:u w:val="none" w:color="auto"/>
                <w:lang w:val="en-US" w:eastAsia="zh-CN"/>
              </w:rPr>
              <w:t>、</w:t>
            </w:r>
            <w:r>
              <w:rPr>
                <w:color w:val="auto"/>
                <w:u w:val="none" w:color="auto"/>
              </w:rPr>
              <w:t>COD</w:t>
            </w:r>
            <w:r>
              <w:rPr>
                <w:color w:val="auto"/>
                <w:u w:val="none" w:color="auto"/>
                <w:vertAlign w:val="subscript"/>
              </w:rPr>
              <w:t>Cr</w:t>
            </w:r>
            <w:r>
              <w:rPr>
                <w:color w:val="auto"/>
                <w:u w:val="none" w:color="auto"/>
              </w:rPr>
              <w:t>、NH</w:t>
            </w:r>
            <w:r>
              <w:rPr>
                <w:color w:val="auto"/>
                <w:u w:val="none" w:color="auto"/>
                <w:vertAlign w:val="subscript"/>
              </w:rPr>
              <w:t>3</w:t>
            </w:r>
            <w:r>
              <w:rPr>
                <w:color w:val="auto"/>
                <w:u w:val="none" w:color="auto"/>
              </w:rPr>
              <w:t>-N</w:t>
            </w:r>
            <w:r>
              <w:rPr>
                <w:rFonts w:ascii="Times New Roman" w:hAnsi="Times New Roman" w:eastAsia="宋体" w:cs="Times New Roman"/>
                <w:color w:val="auto"/>
                <w:u w:val="none" w:color="auto"/>
              </w:rPr>
              <w:t>、</w:t>
            </w:r>
            <w:r>
              <w:rPr>
                <w:rFonts w:hint="eastAsia" w:ascii="Times New Roman" w:hAnsi="Times New Roman" w:eastAsia="宋体" w:cs="Times New Roman"/>
                <w:color w:val="auto"/>
                <w:u w:val="none" w:color="auto"/>
                <w:lang w:val="en-US" w:eastAsia="zh-CN"/>
              </w:rPr>
              <w:t>总磷、总氮、总钴、总镍</w:t>
            </w:r>
            <w:r>
              <w:rPr>
                <w:rFonts w:ascii="Times New Roman" w:hAnsi="Times New Roman" w:eastAsia="宋体" w:cs="Times New Roman"/>
                <w:color w:val="auto"/>
                <w:u w:val="none" w:color="auto"/>
              </w:rPr>
              <w:t>、</w:t>
            </w:r>
            <w:r>
              <w:rPr>
                <w:rFonts w:hint="eastAsia" w:ascii="Times New Roman" w:hAnsi="Times New Roman" w:eastAsia="宋体" w:cs="Times New Roman"/>
                <w:color w:val="auto"/>
                <w:u w:val="none" w:color="auto"/>
              </w:rPr>
              <w:t>非甲烷总</w:t>
            </w:r>
            <w:r>
              <w:rPr>
                <w:rFonts w:hint="eastAsia"/>
                <w:color w:val="auto"/>
                <w:u w:val="none" w:color="auto"/>
              </w:rPr>
              <w:t>烃，</w:t>
            </w:r>
            <w:r>
              <w:rPr>
                <w:rFonts w:hint="eastAsia" w:ascii="Times New Roman" w:hAnsi="Times New Roman" w:eastAsia="宋体" w:cs="Times New Roman"/>
                <w:color w:val="auto"/>
                <w:u w:val="none" w:color="auto"/>
                <w:lang w:val="en-US" w:eastAsia="zh-CN"/>
              </w:rPr>
              <w:t>总钴、总镍</w:t>
            </w:r>
            <w:r>
              <w:rPr>
                <w:rFonts w:hint="eastAsia"/>
                <w:color w:val="auto"/>
                <w:u w:val="none" w:color="auto"/>
                <w:lang w:eastAsia="zh-CN"/>
              </w:rPr>
              <w:t>属于</w:t>
            </w:r>
            <w:r>
              <w:rPr>
                <w:rFonts w:hint="eastAsia"/>
                <w:color w:val="auto"/>
                <w:u w:val="none" w:color="auto"/>
              </w:rPr>
              <w:t>土壤污染特征因子；</w:t>
            </w:r>
            <w:r>
              <w:rPr>
                <w:color w:val="auto"/>
                <w:u w:val="none" w:color="auto"/>
              </w:rPr>
              <w:t>识别本项目土壤环境影响类型属于污染影响型，污染</w:t>
            </w:r>
            <w:r>
              <w:rPr>
                <w:rFonts w:hint="eastAsia"/>
                <w:color w:val="auto"/>
                <w:u w:val="none" w:color="auto"/>
              </w:rPr>
              <w:t>途径</w:t>
            </w:r>
            <w:r>
              <w:rPr>
                <w:color w:val="auto"/>
                <w:u w:val="none" w:color="auto"/>
              </w:rPr>
              <w:t>为垂直入渗、地面漫流、大气沉降。</w:t>
            </w:r>
          </w:p>
          <w:p w14:paraId="5B2A9365">
            <w:pPr>
              <w:ind w:firstLine="480"/>
              <w:rPr>
                <w:color w:val="auto"/>
                <w:u w:val="none" w:color="auto"/>
              </w:rPr>
            </w:pPr>
            <w:r>
              <w:rPr>
                <w:color w:val="auto"/>
                <w:u w:val="none" w:color="auto"/>
              </w:rPr>
              <w:t>垂直入渗</w:t>
            </w:r>
            <w:r>
              <w:rPr>
                <w:color w:val="auto"/>
                <w:sz w:val="24"/>
                <w:szCs w:val="24"/>
                <w:u w:val="none" w:color="auto"/>
              </w:rPr>
              <w:t>型：正常状况下，本项目营运期</w:t>
            </w:r>
            <w:r>
              <w:rPr>
                <w:rFonts w:hint="eastAsia"/>
                <w:color w:val="auto"/>
                <w:sz w:val="24"/>
                <w:szCs w:val="24"/>
                <w:u w:val="none" w:color="auto"/>
              </w:rPr>
              <w:t>废水经预处理后排入</w:t>
            </w:r>
            <w:r>
              <w:rPr>
                <w:rFonts w:hint="eastAsia"/>
                <w:color w:val="auto"/>
                <w:sz w:val="24"/>
                <w:szCs w:val="24"/>
                <w:u w:val="none" w:color="auto"/>
                <w:lang w:eastAsia="zh-CN"/>
              </w:rPr>
              <w:t>新田县污水处理厂</w:t>
            </w:r>
            <w:r>
              <w:rPr>
                <w:rFonts w:hint="eastAsia"/>
                <w:color w:val="auto"/>
                <w:sz w:val="24"/>
                <w:szCs w:val="24"/>
                <w:u w:val="none" w:color="auto"/>
              </w:rPr>
              <w:t>，不存在</w:t>
            </w:r>
            <w:r>
              <w:rPr>
                <w:color w:val="auto"/>
                <w:sz w:val="24"/>
                <w:szCs w:val="24"/>
                <w:u w:val="none" w:color="auto"/>
              </w:rPr>
              <w:t>垂直入渗</w:t>
            </w:r>
            <w:r>
              <w:rPr>
                <w:rFonts w:hint="eastAsia"/>
                <w:color w:val="auto"/>
                <w:sz w:val="24"/>
                <w:szCs w:val="24"/>
                <w:u w:val="none" w:color="auto"/>
              </w:rPr>
              <w:t>污染</w:t>
            </w:r>
            <w:r>
              <w:rPr>
                <w:color w:val="auto"/>
                <w:sz w:val="24"/>
                <w:szCs w:val="24"/>
                <w:u w:val="none" w:color="auto"/>
              </w:rPr>
              <w:t>。根据本项目工程分析可知，废水污染物主要</w:t>
            </w:r>
            <w:r>
              <w:rPr>
                <w:rFonts w:hint="eastAsia"/>
                <w:color w:val="auto"/>
                <w:sz w:val="24"/>
                <w:szCs w:val="24"/>
                <w:u w:val="none" w:color="auto"/>
                <w:lang w:eastAsia="zh-CN"/>
              </w:rPr>
              <w:t>为pH</w:t>
            </w:r>
            <w:r>
              <w:rPr>
                <w:rFonts w:hint="eastAsia" w:eastAsia="宋体"/>
                <w:color w:val="auto"/>
                <w:sz w:val="24"/>
                <w:szCs w:val="24"/>
                <w:u w:val="none" w:color="auto"/>
                <w:lang w:val="en-US" w:eastAsia="zh-CN"/>
              </w:rPr>
              <w:t>、</w:t>
            </w:r>
            <w:r>
              <w:rPr>
                <w:rFonts w:hint="eastAsia" w:eastAsia="宋体"/>
                <w:color w:val="auto"/>
                <w:sz w:val="24"/>
                <w:szCs w:val="24"/>
                <w:u w:val="none" w:color="auto"/>
              </w:rPr>
              <w:t>COD、NH</w:t>
            </w:r>
            <w:r>
              <w:rPr>
                <w:rFonts w:hint="eastAsia" w:eastAsia="宋体"/>
                <w:color w:val="auto"/>
                <w:sz w:val="24"/>
                <w:szCs w:val="24"/>
                <w:u w:val="none" w:color="auto"/>
                <w:vertAlign w:val="subscript"/>
              </w:rPr>
              <w:t>3</w:t>
            </w:r>
            <w:r>
              <w:rPr>
                <w:rFonts w:hint="eastAsia" w:eastAsia="宋体"/>
                <w:color w:val="auto"/>
                <w:sz w:val="24"/>
                <w:szCs w:val="24"/>
                <w:u w:val="none" w:color="auto"/>
              </w:rPr>
              <w:t>-N、</w:t>
            </w:r>
            <w:r>
              <w:rPr>
                <w:rFonts w:hint="eastAsia"/>
                <w:color w:val="auto"/>
                <w:sz w:val="24"/>
                <w:szCs w:val="24"/>
                <w:u w:val="none" w:color="auto"/>
                <w:lang w:val="en-US" w:eastAsia="zh-CN"/>
              </w:rPr>
              <w:t>钴、镍</w:t>
            </w:r>
            <w:r>
              <w:rPr>
                <w:color w:val="auto"/>
                <w:sz w:val="24"/>
                <w:szCs w:val="24"/>
                <w:u w:val="none" w:color="auto"/>
              </w:rPr>
              <w:t>，</w:t>
            </w:r>
            <w:r>
              <w:rPr>
                <w:rFonts w:hint="eastAsia"/>
                <w:color w:val="auto"/>
                <w:u w:val="none" w:color="auto"/>
              </w:rPr>
              <w:t>在非正常状况下，废水输送管道和处理池</w:t>
            </w:r>
            <w:r>
              <w:rPr>
                <w:rFonts w:hint="eastAsia"/>
                <w:color w:val="auto"/>
                <w:u w:val="none" w:color="auto"/>
                <w:lang w:eastAsia="zh-CN"/>
              </w:rPr>
              <w:t>泄漏</w:t>
            </w:r>
            <w:r>
              <w:rPr>
                <w:rFonts w:hint="eastAsia"/>
                <w:color w:val="auto"/>
                <w:u w:val="none" w:color="auto"/>
              </w:rPr>
              <w:t>产生的废水渗入土壤，</w:t>
            </w:r>
            <w:r>
              <w:rPr>
                <w:color w:val="auto"/>
                <w:u w:val="none" w:color="auto"/>
              </w:rPr>
              <w:t>可能对土壤环境造成影响。</w:t>
            </w:r>
          </w:p>
          <w:p w14:paraId="2FEEF883">
            <w:pPr>
              <w:ind w:firstLine="480"/>
              <w:rPr>
                <w:color w:val="auto"/>
                <w:u w:val="none" w:color="auto"/>
              </w:rPr>
            </w:pPr>
            <w:r>
              <w:rPr>
                <w:color w:val="auto"/>
                <w:u w:val="none" w:color="auto"/>
              </w:rPr>
              <w:t>地面漫流型：本项目营运期正常状况下</w:t>
            </w:r>
            <w:r>
              <w:rPr>
                <w:rFonts w:hint="eastAsia"/>
                <w:color w:val="auto"/>
                <w:u w:val="none" w:color="auto"/>
              </w:rPr>
              <w:t>废水经预处理后排入</w:t>
            </w:r>
            <w:r>
              <w:rPr>
                <w:rFonts w:hint="eastAsia"/>
                <w:color w:val="auto"/>
                <w:u w:val="none" w:color="auto"/>
                <w:lang w:eastAsia="zh-CN"/>
              </w:rPr>
              <w:t>新田县污水处理厂</w:t>
            </w:r>
            <w:r>
              <w:rPr>
                <w:rFonts w:hint="eastAsia"/>
                <w:color w:val="auto"/>
                <w:u w:val="none" w:color="auto"/>
              </w:rPr>
              <w:t>，不存在地面漫流污染</w:t>
            </w:r>
            <w:r>
              <w:rPr>
                <w:color w:val="auto"/>
                <w:u w:val="none" w:color="auto"/>
              </w:rPr>
              <w:t>。非正常状况</w:t>
            </w:r>
            <w:r>
              <w:rPr>
                <w:rFonts w:hint="eastAsia"/>
                <w:color w:val="auto"/>
                <w:u w:val="none" w:color="auto"/>
              </w:rPr>
              <w:t>分析如</w:t>
            </w:r>
            <w:r>
              <w:rPr>
                <w:color w:val="auto"/>
                <w:u w:val="none" w:color="auto"/>
              </w:rPr>
              <w:t>下：</w:t>
            </w:r>
          </w:p>
          <w:p w14:paraId="28CA20F0">
            <w:pPr>
              <w:ind w:firstLine="480"/>
              <w:rPr>
                <w:color w:val="auto"/>
                <w:u w:val="none" w:color="auto"/>
              </w:rPr>
            </w:pPr>
            <w:r>
              <w:rPr>
                <w:color w:val="auto"/>
                <w:u w:val="none" w:color="auto"/>
              </w:rPr>
              <w:t>①若废水管道破裂时，未经处理的废水溢出厂外，影响土壤环境</w:t>
            </w:r>
            <w:r>
              <w:rPr>
                <w:rFonts w:hint="eastAsia"/>
                <w:color w:val="auto"/>
                <w:u w:val="none" w:color="auto"/>
              </w:rPr>
              <w:t>；</w:t>
            </w:r>
          </w:p>
          <w:p w14:paraId="0F5C0589">
            <w:pPr>
              <w:ind w:firstLine="480"/>
              <w:rPr>
                <w:color w:val="auto"/>
                <w:u w:val="none" w:color="auto"/>
              </w:rPr>
            </w:pPr>
            <w:r>
              <w:rPr>
                <w:color w:val="auto"/>
                <w:u w:val="none" w:color="auto"/>
              </w:rPr>
              <w:t>②</w:t>
            </w:r>
            <w:r>
              <w:rPr>
                <w:rFonts w:hint="eastAsia"/>
                <w:color w:val="auto"/>
                <w:u w:val="none" w:color="auto"/>
              </w:rPr>
              <w:t>电解液、N-甲基吡咯烷酮等液态原辅材料泄漏</w:t>
            </w:r>
            <w:r>
              <w:rPr>
                <w:color w:val="auto"/>
                <w:u w:val="none" w:color="auto"/>
              </w:rPr>
              <w:t>进入土壤环境；</w:t>
            </w:r>
          </w:p>
          <w:p w14:paraId="7A55374B">
            <w:pPr>
              <w:ind w:firstLine="480"/>
              <w:rPr>
                <w:rFonts w:hint="eastAsia"/>
                <w:color w:val="auto"/>
                <w:u w:val="none" w:color="auto"/>
              </w:rPr>
            </w:pPr>
            <w:r>
              <w:rPr>
                <w:color w:val="auto"/>
                <w:u w:val="none" w:color="auto"/>
              </w:rPr>
              <w:t>大气沉降型：本项目营运期</w:t>
            </w:r>
            <w:r>
              <w:rPr>
                <w:rFonts w:hint="eastAsia"/>
                <w:color w:val="auto"/>
                <w:u w:val="none" w:color="auto"/>
                <w:lang w:eastAsia="zh-CN"/>
              </w:rPr>
              <w:t>正极配料产生的颗粒物中含</w:t>
            </w:r>
            <w:r>
              <w:rPr>
                <w:rFonts w:hint="eastAsia" w:eastAsia="宋体"/>
                <w:color w:val="auto"/>
                <w:u w:val="none" w:color="auto"/>
                <w:lang w:eastAsia="zh-CN"/>
              </w:rPr>
              <w:t>镍</w:t>
            </w:r>
            <w:r>
              <w:rPr>
                <w:rFonts w:hint="eastAsia"/>
                <w:color w:val="auto"/>
                <w:u w:val="none" w:color="auto"/>
                <w:lang w:eastAsia="zh-CN"/>
              </w:rPr>
              <w:t>因</w:t>
            </w:r>
            <w:r>
              <w:rPr>
                <w:rFonts w:hint="eastAsia" w:eastAsia="宋体"/>
                <w:color w:val="auto"/>
                <w:u w:val="none" w:color="auto"/>
                <w:lang w:eastAsia="zh-CN"/>
              </w:rPr>
              <w:t>子</w:t>
            </w:r>
            <w:r>
              <w:rPr>
                <w:color w:val="auto"/>
                <w:u w:val="none" w:color="auto"/>
              </w:rPr>
              <w:t>，</w:t>
            </w:r>
            <w:r>
              <w:rPr>
                <w:rFonts w:hint="eastAsia"/>
                <w:color w:val="auto"/>
                <w:u w:val="none" w:color="auto"/>
                <w:lang w:eastAsia="zh-CN"/>
              </w:rPr>
              <w:t>若含镍颗粒物大量泄露扩散至厂外沉降土壤，则可能对土壤造成污染</w:t>
            </w:r>
            <w:r>
              <w:rPr>
                <w:rFonts w:hint="eastAsia"/>
                <w:color w:val="auto"/>
                <w:u w:val="none" w:color="auto"/>
              </w:rPr>
              <w:t>。</w:t>
            </w:r>
          </w:p>
          <w:p w14:paraId="435D08D1">
            <w:pPr>
              <w:ind w:firstLine="480"/>
              <w:rPr>
                <w:color w:val="auto"/>
                <w:u w:val="none" w:color="auto"/>
              </w:rPr>
            </w:pPr>
            <w:r>
              <w:rPr>
                <w:color w:val="auto"/>
                <w:u w:val="none" w:color="auto"/>
              </w:rPr>
              <w:t>综上所述，本项目</w:t>
            </w:r>
            <w:r>
              <w:rPr>
                <w:rFonts w:hint="eastAsia"/>
                <w:color w:val="auto"/>
                <w:u w:val="none" w:color="auto"/>
                <w:lang w:eastAsia="zh-CN"/>
              </w:rPr>
              <w:t>废水</w:t>
            </w:r>
            <w:r>
              <w:rPr>
                <w:color w:val="auto"/>
                <w:u w:val="none" w:color="auto"/>
              </w:rPr>
              <w:t>垂直入渗</w:t>
            </w:r>
            <w:r>
              <w:rPr>
                <w:rFonts w:hint="eastAsia"/>
                <w:color w:val="auto"/>
                <w:u w:val="none" w:color="auto"/>
                <w:lang w:eastAsia="zh-CN"/>
              </w:rPr>
              <w:t>及含总镍颗粒物大气沉降</w:t>
            </w:r>
            <w:r>
              <w:rPr>
                <w:color w:val="auto"/>
                <w:u w:val="none" w:color="auto"/>
              </w:rPr>
              <w:t>为主要污染途径</w:t>
            </w:r>
            <w:r>
              <w:rPr>
                <w:rFonts w:hint="eastAsia"/>
                <w:color w:val="auto"/>
                <w:u w:val="none" w:color="auto"/>
              </w:rPr>
              <w:t>。</w:t>
            </w:r>
          </w:p>
          <w:p w14:paraId="63F819E8">
            <w:pPr>
              <w:bidi w:val="0"/>
              <w:rPr>
                <w:color w:val="auto"/>
                <w:u w:val="none" w:color="auto"/>
              </w:rPr>
            </w:pPr>
            <w:r>
              <w:rPr>
                <w:rFonts w:hint="eastAsia"/>
                <w:color w:val="auto"/>
                <w:u w:val="none" w:color="auto"/>
              </w:rPr>
              <w:t>2、</w:t>
            </w:r>
            <w:r>
              <w:rPr>
                <w:color w:val="auto"/>
                <w:u w:val="none" w:color="auto"/>
              </w:rPr>
              <w:t>土壤环境保护措施与对策</w:t>
            </w:r>
          </w:p>
          <w:p w14:paraId="1F854099">
            <w:pPr>
              <w:bidi w:val="0"/>
              <w:rPr>
                <w:color w:val="auto"/>
                <w:u w:val="none" w:color="auto"/>
              </w:rPr>
            </w:pPr>
            <w:r>
              <w:rPr>
                <w:rFonts w:hint="eastAsia"/>
                <w:color w:val="auto"/>
                <w:u w:val="none" w:color="auto"/>
                <w:lang w:eastAsia="zh-CN"/>
              </w:rPr>
              <w:t>（</w:t>
            </w:r>
            <w:r>
              <w:rPr>
                <w:rFonts w:hint="eastAsia"/>
                <w:color w:val="auto"/>
                <w:u w:val="none" w:color="auto"/>
                <w:lang w:val="en-US" w:eastAsia="zh-CN"/>
              </w:rPr>
              <w:t>1）</w:t>
            </w:r>
            <w:r>
              <w:rPr>
                <w:color w:val="auto"/>
                <w:u w:val="none" w:color="auto"/>
              </w:rPr>
              <w:t>源头控制措施</w:t>
            </w:r>
          </w:p>
          <w:p w14:paraId="7488222B">
            <w:pPr>
              <w:bidi w:val="0"/>
              <w:rPr>
                <w:rFonts w:hint="eastAsia" w:eastAsia="宋体"/>
                <w:color w:val="auto"/>
                <w:u w:val="none" w:color="auto"/>
                <w:lang w:eastAsia="zh-CN"/>
              </w:rPr>
            </w:pPr>
            <w:r>
              <w:rPr>
                <w:rFonts w:hint="eastAsia"/>
                <w:color w:val="auto"/>
                <w:u w:val="none" w:color="auto"/>
                <w:lang w:eastAsia="zh-CN"/>
              </w:rPr>
              <w:t>项目已采取源头控制措施如下：</w:t>
            </w:r>
          </w:p>
          <w:p w14:paraId="3E69DAF9">
            <w:pPr>
              <w:bidi w:val="0"/>
              <w:rPr>
                <w:color w:val="auto"/>
                <w:u w:val="none" w:color="auto"/>
              </w:rPr>
            </w:pPr>
            <w:r>
              <w:rPr>
                <w:color w:val="auto"/>
                <w:u w:val="none" w:color="auto"/>
              </w:rPr>
              <w:t>主要包括在</w:t>
            </w:r>
            <w:r>
              <w:rPr>
                <w:rFonts w:hint="eastAsia"/>
                <w:color w:val="auto"/>
                <w:u w:val="none" w:color="auto"/>
              </w:rPr>
              <w:t>原液态化学品仓、涂布、注液车间</w:t>
            </w:r>
            <w:r>
              <w:rPr>
                <w:color w:val="auto"/>
                <w:u w:val="none" w:color="auto"/>
              </w:rPr>
              <w:t>、危废暂存场所采取</w:t>
            </w:r>
            <w:r>
              <w:rPr>
                <w:rFonts w:hint="eastAsia"/>
                <w:color w:val="auto"/>
                <w:u w:val="none" w:color="auto"/>
                <w:lang w:eastAsia="zh-CN"/>
              </w:rPr>
              <w:t>防治</w:t>
            </w:r>
            <w:r>
              <w:rPr>
                <w:color w:val="auto"/>
                <w:u w:val="none" w:color="auto"/>
              </w:rPr>
              <w:t>措施，防止和降低污染物跑、冒、滴、漏，将污染物泄漏的环境风险事故降到最低程度；管线敷设尽量采用“可视化”原则，即管道尽可能地上敷设，做到污染物“早发现、早处理”，减少由于管道泄漏而造成的废水垂直入渗进入土壤。</w:t>
            </w:r>
          </w:p>
          <w:p w14:paraId="12093EA8">
            <w:pPr>
              <w:bidi w:val="0"/>
              <w:rPr>
                <w:color w:val="auto"/>
                <w:u w:val="none" w:color="auto"/>
              </w:rPr>
            </w:pPr>
            <w:r>
              <w:rPr>
                <w:rFonts w:hint="eastAsia"/>
                <w:color w:val="auto"/>
                <w:u w:val="none" w:color="auto"/>
                <w:lang w:eastAsia="zh-CN"/>
              </w:rPr>
              <w:t>（</w:t>
            </w:r>
            <w:r>
              <w:rPr>
                <w:rFonts w:hint="eastAsia"/>
                <w:color w:val="auto"/>
                <w:u w:val="none" w:color="auto"/>
                <w:lang w:val="en-US" w:eastAsia="zh-CN"/>
              </w:rPr>
              <w:t>2）</w:t>
            </w:r>
            <w:r>
              <w:rPr>
                <w:color w:val="auto"/>
                <w:u w:val="none" w:color="auto"/>
              </w:rPr>
              <w:t>过程防控措施</w:t>
            </w:r>
          </w:p>
          <w:p w14:paraId="5B0C7C84">
            <w:pPr>
              <w:bidi w:val="0"/>
              <w:rPr>
                <w:rFonts w:hint="eastAsia" w:eastAsia="宋体"/>
                <w:color w:val="auto"/>
                <w:u w:val="none" w:color="auto"/>
                <w:lang w:eastAsia="zh-CN"/>
              </w:rPr>
            </w:pPr>
            <w:r>
              <w:rPr>
                <w:rFonts w:hint="eastAsia"/>
                <w:color w:val="auto"/>
                <w:u w:val="none" w:color="auto"/>
                <w:lang w:eastAsia="zh-CN"/>
              </w:rPr>
              <w:t>本项目已采取过程防控措施如下：</w:t>
            </w:r>
          </w:p>
          <w:p w14:paraId="44013F32">
            <w:pPr>
              <w:bidi w:val="0"/>
              <w:rPr>
                <w:color w:val="auto"/>
                <w:u w:val="none" w:color="auto"/>
              </w:rPr>
            </w:pPr>
            <w:r>
              <w:rPr>
                <w:rFonts w:hint="eastAsia"/>
                <w:color w:val="auto"/>
                <w:u w:val="none" w:color="auto"/>
                <w:lang w:eastAsia="zh-CN"/>
              </w:rPr>
              <w:t>①</w:t>
            </w:r>
            <w:r>
              <w:rPr>
                <w:color w:val="auto"/>
                <w:u w:val="none" w:color="auto"/>
              </w:rPr>
              <w:t>地面漫流防治措施：经常检查管道，若地下管道应采用防腐材料，并在埋设的地面作标记，以防开挖破坏管道。</w:t>
            </w:r>
          </w:p>
          <w:p w14:paraId="076CCC8F">
            <w:pPr>
              <w:ind w:firstLine="480"/>
              <w:rPr>
                <w:color w:val="auto"/>
                <w:u w:val="none" w:color="auto"/>
              </w:rPr>
            </w:pPr>
            <w:r>
              <w:rPr>
                <w:rFonts w:hint="eastAsia"/>
                <w:color w:val="auto"/>
                <w:u w:val="none" w:color="auto"/>
                <w:lang w:eastAsia="zh-CN"/>
              </w:rPr>
              <w:t>②</w:t>
            </w:r>
            <w:r>
              <w:rPr>
                <w:color w:val="auto"/>
                <w:u w:val="none" w:color="auto"/>
              </w:rPr>
              <w:t>垂直入渗防治措施：</w:t>
            </w:r>
            <w:r>
              <w:rPr>
                <w:rFonts w:hint="eastAsia"/>
                <w:color w:val="auto"/>
                <w:u w:val="none" w:color="auto"/>
              </w:rPr>
              <w:t>液态有机溶剂、生产车间、危废间</w:t>
            </w:r>
            <w:r>
              <w:rPr>
                <w:color w:val="auto"/>
                <w:u w:val="none" w:color="auto"/>
              </w:rPr>
              <w:t>、</w:t>
            </w:r>
            <w:r>
              <w:rPr>
                <w:rFonts w:hint="eastAsia"/>
                <w:color w:val="auto"/>
                <w:u w:val="none" w:color="auto"/>
              </w:rPr>
              <w:t>废</w:t>
            </w:r>
            <w:r>
              <w:rPr>
                <w:rFonts w:hint="eastAsia"/>
                <w:color w:val="auto"/>
                <w:u w:val="none" w:color="auto"/>
                <w:lang w:eastAsia="zh-CN"/>
              </w:rPr>
              <w:t>水处理池</w:t>
            </w:r>
            <w:r>
              <w:rPr>
                <w:rFonts w:hint="eastAsia"/>
                <w:color w:val="auto"/>
                <w:u w:val="none" w:color="auto"/>
              </w:rPr>
              <w:t>等</w:t>
            </w:r>
            <w:r>
              <w:rPr>
                <w:color w:val="auto"/>
                <w:u w:val="none" w:color="auto"/>
              </w:rPr>
              <w:t>均用水泥硬化，并</w:t>
            </w:r>
            <w:r>
              <w:rPr>
                <w:rFonts w:hint="eastAsia"/>
                <w:color w:val="auto"/>
                <w:u w:val="none" w:color="auto"/>
                <w:lang w:eastAsia="zh-CN"/>
              </w:rPr>
              <w:t>设置了</w:t>
            </w:r>
            <w:r>
              <w:rPr>
                <w:color w:val="auto"/>
                <w:u w:val="none" w:color="auto"/>
              </w:rPr>
              <w:t>防腐、防渗。</w:t>
            </w:r>
          </w:p>
          <w:p w14:paraId="1BB1FE47">
            <w:pPr>
              <w:ind w:firstLine="480"/>
              <w:rPr>
                <w:rFonts w:hint="default" w:eastAsia="宋体"/>
                <w:color w:val="auto"/>
                <w:u w:val="none" w:color="auto"/>
                <w:lang w:val="en-US" w:eastAsia="zh-CN"/>
              </w:rPr>
            </w:pPr>
            <w:r>
              <w:rPr>
                <w:rFonts w:hint="eastAsia"/>
                <w:color w:val="auto"/>
                <w:u w:val="none" w:color="auto"/>
                <w:lang w:val="en-US" w:eastAsia="zh-CN"/>
              </w:rPr>
              <w:t>③</w:t>
            </w:r>
            <w:r>
              <w:rPr>
                <w:rFonts w:hint="eastAsia"/>
                <w:color w:val="auto"/>
                <w:u w:val="none" w:color="auto"/>
                <w:lang w:eastAsia="zh-CN"/>
              </w:rPr>
              <w:t>大气沉降</w:t>
            </w:r>
            <w:r>
              <w:rPr>
                <w:color w:val="auto"/>
                <w:u w:val="none" w:color="auto"/>
              </w:rPr>
              <w:t>防治措施：</w:t>
            </w:r>
            <w:r>
              <w:rPr>
                <w:rFonts w:hint="eastAsia"/>
                <w:color w:val="auto"/>
                <w:u w:val="none" w:color="auto"/>
                <w:lang w:eastAsia="zh-CN"/>
              </w:rPr>
              <w:t>据前述分析，项目含镍</w:t>
            </w:r>
            <w:r>
              <w:rPr>
                <w:rFonts w:hint="eastAsia"/>
                <w:color w:val="auto"/>
                <w:u w:val="none" w:color="auto"/>
              </w:rPr>
              <w:t>粉尘产生量</w:t>
            </w:r>
            <w:r>
              <w:rPr>
                <w:rFonts w:hint="eastAsia"/>
                <w:color w:val="auto"/>
                <w:u w:val="none" w:color="auto"/>
                <w:lang w:eastAsia="zh-CN"/>
              </w:rPr>
              <w:t>约</w:t>
            </w:r>
            <w:r>
              <w:rPr>
                <w:rFonts w:hint="eastAsia"/>
                <w:color w:val="auto"/>
                <w:u w:val="none" w:color="auto"/>
              </w:rPr>
              <w:t>为</w:t>
            </w:r>
            <w:r>
              <w:rPr>
                <w:rFonts w:hint="eastAsia"/>
                <w:color w:val="auto"/>
                <w:u w:val="none" w:color="auto"/>
                <w:lang w:val="en-US" w:eastAsia="zh-CN"/>
              </w:rPr>
              <w:t>0.1618</w:t>
            </w:r>
            <w:r>
              <w:rPr>
                <w:rFonts w:hint="eastAsia"/>
                <w:color w:val="auto"/>
                <w:u w:val="none" w:color="auto"/>
              </w:rPr>
              <w:t>t/a</w:t>
            </w:r>
            <w:r>
              <w:rPr>
                <w:rFonts w:hint="eastAsia"/>
                <w:color w:val="auto"/>
                <w:u w:val="none" w:color="auto"/>
                <w:lang w:eastAsia="zh-CN"/>
              </w:rPr>
              <w:t>，镍钴锰酸锂占所有粉料原料约</w:t>
            </w:r>
            <w:r>
              <w:rPr>
                <w:rFonts w:hint="eastAsia"/>
                <w:color w:val="auto"/>
                <w:u w:val="none" w:color="auto"/>
                <w:lang w:val="en-US" w:eastAsia="zh-CN"/>
              </w:rPr>
              <w:t>25%</w:t>
            </w:r>
            <w:r>
              <w:rPr>
                <w:rFonts w:hint="eastAsia"/>
                <w:color w:val="auto"/>
                <w:u w:val="none" w:color="auto"/>
                <w:lang w:eastAsia="zh-CN"/>
              </w:rPr>
              <w:t>，其中镍的含量在镍钴锰酸锂中不超过</w:t>
            </w:r>
            <w:r>
              <w:rPr>
                <w:rFonts w:hint="eastAsia"/>
                <w:color w:val="auto"/>
                <w:u w:val="none" w:color="auto"/>
                <w:lang w:val="en-US" w:eastAsia="zh-CN"/>
              </w:rPr>
              <w:t>30%，因此无组织粉尘中含镍的很少，</w:t>
            </w:r>
            <w:r>
              <w:rPr>
                <w:rFonts w:hint="eastAsia"/>
                <w:color w:val="auto"/>
                <w:u w:val="none" w:color="auto"/>
                <w:lang w:eastAsia="zh-CN"/>
              </w:rPr>
              <w:t>考虑到正极配料设置在密闭车间内，确保配料粉尘在车间内完成沉降</w:t>
            </w:r>
            <w:r>
              <w:rPr>
                <w:rFonts w:hint="eastAsia"/>
                <w:color w:val="auto"/>
                <w:u w:val="none" w:color="auto"/>
                <w:lang w:val="en-US" w:eastAsia="zh-CN"/>
              </w:rPr>
              <w:t>，不扩散至厂外。</w:t>
            </w:r>
          </w:p>
          <w:p w14:paraId="2E36F57D">
            <w:pPr>
              <w:ind w:firstLine="480"/>
              <w:rPr>
                <w:color w:val="auto"/>
                <w:u w:val="none" w:color="auto"/>
              </w:rPr>
            </w:pPr>
            <w:r>
              <w:rPr>
                <w:rFonts w:hint="eastAsia"/>
                <w:color w:val="auto"/>
                <w:u w:val="none" w:color="auto"/>
              </w:rPr>
              <w:t>3、</w:t>
            </w:r>
            <w:r>
              <w:rPr>
                <w:color w:val="auto"/>
                <w:u w:val="none" w:color="auto"/>
              </w:rPr>
              <w:t>土壤环境影响评价小结</w:t>
            </w:r>
          </w:p>
          <w:p w14:paraId="57060357">
            <w:pPr>
              <w:ind w:firstLine="480"/>
              <w:rPr>
                <w:rFonts w:ascii="宋体" w:hAnsi="宋体" w:cs="宋体"/>
                <w:b/>
                <w:color w:val="auto"/>
                <w:kern w:val="0"/>
                <w:u w:val="none" w:color="auto"/>
                <w:lang w:bidi="ar"/>
              </w:rPr>
            </w:pPr>
            <w:r>
              <w:rPr>
                <w:color w:val="auto"/>
                <w:u w:val="none" w:color="auto"/>
              </w:rPr>
              <w:t>综上，在采取环评提出的措施后，在</w:t>
            </w:r>
            <w:r>
              <w:rPr>
                <w:rFonts w:hint="eastAsia"/>
                <w:color w:val="auto"/>
                <w:u w:val="none" w:color="auto"/>
                <w:lang w:val="en-US" w:eastAsia="zh-CN"/>
              </w:rPr>
              <w:t>一般情况下</w:t>
            </w:r>
            <w:r>
              <w:rPr>
                <w:color w:val="auto"/>
                <w:u w:val="none" w:color="auto"/>
              </w:rPr>
              <w:t>，</w:t>
            </w:r>
            <w:r>
              <w:rPr>
                <w:rFonts w:hint="eastAsia"/>
                <w:color w:val="auto"/>
                <w:u w:val="none" w:color="auto"/>
                <w:lang w:val="en-US" w:eastAsia="zh-CN"/>
              </w:rPr>
              <w:t>项目</w:t>
            </w:r>
            <w:r>
              <w:rPr>
                <w:rFonts w:hint="eastAsia"/>
                <w:color w:val="auto"/>
                <w:u w:val="none" w:color="auto"/>
              </w:rPr>
              <w:t>不会对土壤环境造成影响。</w:t>
            </w:r>
          </w:p>
          <w:p w14:paraId="1D57A6C1">
            <w:pPr>
              <w:ind w:firstLine="482"/>
              <w:rPr>
                <w:b/>
                <w:bCs/>
                <w:color w:val="auto"/>
                <w:u w:val="none" w:color="auto"/>
              </w:rPr>
            </w:pPr>
            <w:r>
              <w:rPr>
                <w:rFonts w:hint="eastAsia"/>
                <w:b/>
                <w:bCs/>
                <w:color w:val="auto"/>
                <w:u w:val="none" w:color="auto"/>
              </w:rPr>
              <w:t>（七）运营期</w:t>
            </w:r>
            <w:r>
              <w:rPr>
                <w:b/>
                <w:bCs/>
                <w:color w:val="auto"/>
                <w:u w:val="none" w:color="auto"/>
              </w:rPr>
              <w:t>环境风险</w:t>
            </w:r>
            <w:r>
              <w:rPr>
                <w:rFonts w:hint="eastAsia"/>
                <w:b/>
                <w:bCs/>
                <w:color w:val="auto"/>
                <w:u w:val="none" w:color="auto"/>
              </w:rPr>
              <w:t>影响和防治措施</w:t>
            </w:r>
          </w:p>
          <w:p w14:paraId="10C3A55E">
            <w:pPr>
              <w:bidi w:val="0"/>
              <w:rPr>
                <w:rFonts w:hint="eastAsia"/>
                <w:color w:val="auto"/>
                <w:u w:val="none" w:color="auto"/>
              </w:rPr>
            </w:pPr>
            <w:r>
              <w:rPr>
                <w:rFonts w:hint="eastAsia"/>
                <w:color w:val="auto"/>
                <w:u w:val="none" w:color="auto"/>
              </w:rPr>
              <w:t>本项目进行</w:t>
            </w:r>
            <w:r>
              <w:rPr>
                <w:rFonts w:hint="eastAsia"/>
                <w:color w:val="auto"/>
                <w:u w:val="none" w:color="auto"/>
                <w:lang w:val="en-US" w:eastAsia="zh-CN"/>
              </w:rPr>
              <w:t>环境风险</w:t>
            </w:r>
            <w:r>
              <w:rPr>
                <w:rFonts w:hint="eastAsia"/>
                <w:color w:val="auto"/>
                <w:u w:val="none" w:color="auto"/>
              </w:rPr>
              <w:t>专项评价，环境</w:t>
            </w:r>
            <w:r>
              <w:rPr>
                <w:rFonts w:hint="eastAsia"/>
                <w:color w:val="auto"/>
                <w:u w:val="none" w:color="auto"/>
                <w:lang w:val="en-US" w:eastAsia="zh-CN"/>
              </w:rPr>
              <w:t>风险</w:t>
            </w:r>
            <w:r>
              <w:rPr>
                <w:rFonts w:hint="eastAsia"/>
                <w:color w:val="auto"/>
                <w:u w:val="none" w:color="auto"/>
              </w:rPr>
              <w:t>影响和保护措施等内容在专项评价报告中单独进行分析，此处引用</w:t>
            </w:r>
            <w:r>
              <w:rPr>
                <w:rFonts w:hint="eastAsia"/>
                <w:color w:val="auto"/>
                <w:u w:val="none" w:color="auto"/>
                <w:lang w:val="en-US" w:eastAsia="zh-CN"/>
              </w:rPr>
              <w:t>环境风险</w:t>
            </w:r>
            <w:r>
              <w:rPr>
                <w:rFonts w:hint="eastAsia"/>
                <w:color w:val="auto"/>
                <w:u w:val="none" w:color="auto"/>
              </w:rPr>
              <w:t>专项评价结论：</w:t>
            </w:r>
          </w:p>
          <w:p w14:paraId="029BB6CA">
            <w:pPr>
              <w:bidi w:val="0"/>
              <w:rPr>
                <w:rFonts w:hint="eastAsia"/>
                <w:color w:val="auto"/>
                <w:u w:val="none" w:color="auto"/>
              </w:rPr>
            </w:pPr>
            <w:r>
              <w:rPr>
                <w:rFonts w:hint="eastAsia"/>
                <w:color w:val="auto"/>
                <w:u w:val="none" w:color="auto"/>
              </w:rPr>
              <w:t>根据对本项目生产、运输、贮存及污染治理等过程涉及的化学物质的分析，及根据对本项目功能单元的划分，判定本项目环境风险潜势为Ⅱ级，</w:t>
            </w:r>
            <w:r>
              <w:rPr>
                <w:color w:val="auto"/>
                <w:u w:val="none" w:color="auto"/>
              </w:rPr>
              <w:t>评价工作等级为</w:t>
            </w:r>
            <w:r>
              <w:rPr>
                <w:rFonts w:hint="eastAsia"/>
                <w:color w:val="auto"/>
                <w:u w:val="none" w:color="auto"/>
              </w:rPr>
              <w:t>三级。通过对生产设施风险识别和生产过程所涉及的物质风险识别，确定本项目的风险类型主要为泄漏。</w:t>
            </w:r>
          </w:p>
          <w:p w14:paraId="0A47EEEB">
            <w:pPr>
              <w:bidi w:val="0"/>
              <w:rPr>
                <w:rFonts w:hint="eastAsia"/>
                <w:color w:val="auto"/>
                <w:u w:val="none" w:color="auto"/>
              </w:rPr>
            </w:pPr>
            <w:r>
              <w:rPr>
                <w:rFonts w:hint="eastAsia"/>
                <w:color w:val="auto"/>
                <w:u w:val="none" w:color="auto"/>
              </w:rPr>
              <w:t>通过对本项目各类事故的发生概率及其源项的分析，确定本项目的最大可信事故为：转运时粉状物料</w:t>
            </w:r>
            <w:r>
              <w:rPr>
                <w:rFonts w:hint="eastAsia"/>
                <w:color w:val="auto"/>
                <w:u w:val="none" w:color="auto"/>
                <w:lang w:eastAsia="zh-CN"/>
              </w:rPr>
              <w:t>泄</w:t>
            </w:r>
            <w:r>
              <w:rPr>
                <w:rFonts w:hint="eastAsia"/>
                <w:color w:val="auto"/>
                <w:u w:val="none" w:color="auto"/>
              </w:rPr>
              <w:t>漏。针对这种情况建议应急处理人员戴防尘面具</w:t>
            </w:r>
            <w:r>
              <w:rPr>
                <w:rFonts w:hint="eastAsia"/>
                <w:color w:val="auto"/>
                <w:u w:val="none" w:color="auto"/>
                <w:lang w:eastAsia="zh-CN"/>
              </w:rPr>
              <w:t>（</w:t>
            </w:r>
            <w:r>
              <w:rPr>
                <w:rFonts w:hint="eastAsia"/>
                <w:color w:val="auto"/>
                <w:u w:val="none" w:color="auto"/>
              </w:rPr>
              <w:t>全面罩</w:t>
            </w:r>
            <w:r>
              <w:rPr>
                <w:rFonts w:hint="eastAsia"/>
                <w:color w:val="auto"/>
                <w:u w:val="none" w:color="auto"/>
                <w:lang w:eastAsia="zh-CN"/>
              </w:rPr>
              <w:t>）</w:t>
            </w:r>
            <w:r>
              <w:rPr>
                <w:rFonts w:hint="eastAsia"/>
                <w:color w:val="auto"/>
                <w:u w:val="none" w:color="auto"/>
              </w:rPr>
              <w:t>。避免扬尘，小心扫起，置于袋中转移至安全场所。若大量泄漏，用塑料布、帆布覆盖。收集回收或运至废物处理场所处置。在采取严格安全防范措施及本环评风险防范措施后，其风险水平是极低的，发生环境风险事故后可控，对外环境影响很小，只要将本评价中制定相应防治措施落实后，可将该项目风险值降到最低</w:t>
            </w:r>
            <w:r>
              <w:rPr>
                <w:rFonts w:hint="eastAsia"/>
                <w:color w:val="auto"/>
                <w:u w:val="none" w:color="auto"/>
                <w:lang w:eastAsia="zh-CN"/>
              </w:rPr>
              <w:t>，</w:t>
            </w:r>
            <w:r>
              <w:rPr>
                <w:rFonts w:hint="eastAsia"/>
                <w:color w:val="auto"/>
                <w:u w:val="none" w:color="auto"/>
              </w:rPr>
              <w:t>其对周边环境的影响在可接受范围内。</w:t>
            </w:r>
          </w:p>
          <w:p w14:paraId="255EF76C">
            <w:pPr>
              <w:ind w:firstLine="482"/>
              <w:rPr>
                <w:rFonts w:hint="eastAsia"/>
                <w:b/>
                <w:bCs/>
                <w:color w:val="auto"/>
                <w:u w:val="none" w:color="auto"/>
              </w:rPr>
            </w:pPr>
            <w:r>
              <w:rPr>
                <w:rFonts w:hint="eastAsia"/>
                <w:b/>
                <w:bCs/>
                <w:color w:val="auto"/>
                <w:u w:val="none" w:color="auto"/>
              </w:rPr>
              <w:t>（八）环境管理</w:t>
            </w:r>
          </w:p>
          <w:p w14:paraId="0DF9FA12">
            <w:pPr>
              <w:bidi w:val="0"/>
              <w:rPr>
                <w:color w:val="auto"/>
                <w:u w:val="none" w:color="auto"/>
              </w:rPr>
            </w:pPr>
            <w:r>
              <w:rPr>
                <w:rFonts w:hint="eastAsia"/>
                <w:color w:val="auto"/>
                <w:u w:val="none" w:color="auto"/>
              </w:rPr>
              <w:t>本项目环境管理由</w:t>
            </w:r>
            <w:r>
              <w:rPr>
                <w:rFonts w:hint="eastAsia"/>
                <w:color w:val="auto"/>
                <w:u w:val="none" w:color="auto"/>
                <w:lang w:eastAsia="zh-CN"/>
              </w:rPr>
              <w:t>湖南信继善新能源科技有限公司</w:t>
            </w:r>
            <w:r>
              <w:rPr>
                <w:rFonts w:hint="eastAsia"/>
                <w:color w:val="auto"/>
                <w:u w:val="none" w:color="auto"/>
              </w:rPr>
              <w:t>负责，下设环保科，由专职环保人员具体实施环境管理工作。</w:t>
            </w:r>
          </w:p>
          <w:p w14:paraId="597AB3AF">
            <w:pPr>
              <w:bidi w:val="0"/>
              <w:rPr>
                <w:color w:val="auto"/>
                <w:u w:val="none" w:color="auto"/>
              </w:rPr>
            </w:pPr>
            <w:r>
              <w:rPr>
                <w:rFonts w:hint="eastAsia"/>
                <w:color w:val="auto"/>
                <w:u w:val="none" w:color="auto"/>
              </w:rPr>
              <w:t>环境管理的具体内容如下：</w:t>
            </w:r>
          </w:p>
          <w:p w14:paraId="7F9BCA20">
            <w:pPr>
              <w:bidi w:val="0"/>
              <w:rPr>
                <w:color w:val="auto"/>
                <w:u w:val="none" w:color="auto"/>
              </w:rPr>
            </w:pPr>
            <w:r>
              <w:rPr>
                <w:rFonts w:hint="eastAsia"/>
                <w:color w:val="auto"/>
                <w:u w:val="none" w:color="auto"/>
              </w:rPr>
              <w:t>（1）组织编制企业环境管理条例及日常监测计划。实施有效的质量控制，</w:t>
            </w:r>
            <w:r>
              <w:rPr>
                <w:color w:val="auto"/>
                <w:u w:val="none" w:color="auto"/>
              </w:rPr>
              <w:t>贯彻落实国家和地方的环境保护</w:t>
            </w:r>
            <w:r>
              <w:rPr>
                <w:rFonts w:hint="eastAsia"/>
                <w:color w:val="auto"/>
                <w:u w:val="none" w:color="auto"/>
                <w:lang w:eastAsia="zh-CN"/>
              </w:rPr>
              <w:t>法律法规</w:t>
            </w:r>
            <w:r>
              <w:rPr>
                <w:color w:val="auto"/>
                <w:u w:val="none" w:color="auto"/>
              </w:rPr>
              <w:t>、政策和标准，直接接受环保主管部门的监督、领导，配合环境保护主管部门</w:t>
            </w:r>
            <w:r>
              <w:rPr>
                <w:rFonts w:hint="eastAsia"/>
                <w:color w:val="auto"/>
                <w:u w:val="none" w:color="auto"/>
                <w:lang w:eastAsia="zh-CN"/>
              </w:rPr>
              <w:t>做好</w:t>
            </w:r>
            <w:r>
              <w:rPr>
                <w:color w:val="auto"/>
                <w:u w:val="none" w:color="auto"/>
              </w:rPr>
              <w:t>环保工作</w:t>
            </w:r>
            <w:r>
              <w:rPr>
                <w:rFonts w:hint="eastAsia"/>
                <w:color w:val="auto"/>
                <w:u w:val="none" w:color="auto"/>
              </w:rPr>
              <w:t>。</w:t>
            </w:r>
          </w:p>
          <w:p w14:paraId="6857DF87">
            <w:pPr>
              <w:bidi w:val="0"/>
              <w:rPr>
                <w:color w:val="auto"/>
                <w:u w:val="none" w:color="auto"/>
              </w:rPr>
            </w:pPr>
            <w:r>
              <w:rPr>
                <w:rFonts w:hint="eastAsia"/>
                <w:color w:val="auto"/>
                <w:u w:val="none" w:color="auto"/>
              </w:rPr>
              <w:t>（2）加强运行期生产管理，</w:t>
            </w:r>
            <w:r>
              <w:rPr>
                <w:rFonts w:hint="eastAsia"/>
                <w:color w:val="auto"/>
                <w:u w:val="none" w:color="auto"/>
                <w:lang w:eastAsia="zh-CN"/>
              </w:rPr>
              <w:t>严格执行</w:t>
            </w:r>
            <w:r>
              <w:rPr>
                <w:rFonts w:hint="eastAsia"/>
                <w:color w:val="auto"/>
                <w:u w:val="none" w:color="auto"/>
              </w:rPr>
              <w:t>岗位责任制。定期进行环保设备检查、维修和保养工作，确保环保设施长期、稳定、达标运转，杜绝事故性排放的发生。</w:t>
            </w:r>
          </w:p>
          <w:p w14:paraId="5314228F">
            <w:pPr>
              <w:ind w:firstLine="480"/>
              <w:rPr>
                <w:color w:val="auto"/>
                <w:u w:val="none" w:color="auto"/>
              </w:rPr>
            </w:pPr>
            <w:r>
              <w:rPr>
                <w:rFonts w:hint="eastAsia"/>
                <w:color w:val="auto"/>
                <w:u w:val="none" w:color="auto"/>
              </w:rPr>
              <w:t>（3）建设规范化排污口</w:t>
            </w:r>
          </w:p>
          <w:p w14:paraId="2465FCA5">
            <w:pPr>
              <w:ind w:firstLine="480"/>
              <w:rPr>
                <w:color w:val="auto"/>
                <w:u w:val="none" w:color="auto"/>
              </w:rPr>
            </w:pPr>
            <w:r>
              <w:rPr>
                <w:rFonts w:hint="eastAsia"/>
                <w:color w:val="auto"/>
                <w:u w:val="none" w:color="auto"/>
                <w:lang w:eastAsia="zh-CN"/>
              </w:rPr>
              <w:t>本项目排污口现状标识牌等不规范，</w:t>
            </w:r>
            <w:r>
              <w:rPr>
                <w:rFonts w:hint="eastAsia"/>
                <w:color w:val="auto"/>
                <w:u w:val="none" w:color="auto"/>
              </w:rPr>
              <w:t>依据国家标准《环境保护图形标志—排放口（源）》和国家环保局《排污口规范化整治技术要求（试行）》的技术要求，所有排污口，必须按照“便于采样、便于计量监测、便于日常现场监督检查”的原则和规范化要求，设置与之相适应的环境保护图形标志牌，绘制企业排污口分布图。排污口的规范化要求如下：</w:t>
            </w:r>
          </w:p>
          <w:p w14:paraId="668DD282">
            <w:pPr>
              <w:ind w:firstLine="480"/>
              <w:rPr>
                <w:rFonts w:hint="eastAsia"/>
                <w:color w:val="auto"/>
                <w:u w:val="none" w:color="auto"/>
              </w:rPr>
            </w:pPr>
            <w:r>
              <w:rPr>
                <w:rFonts w:hint="eastAsia"/>
                <w:color w:val="auto"/>
                <w:u w:val="none" w:color="auto"/>
              </w:rPr>
              <w:t>①废水排放口</w:t>
            </w:r>
            <w:r>
              <w:rPr>
                <w:rFonts w:hint="eastAsia"/>
                <w:color w:val="auto"/>
                <w:u w:val="none" w:color="auto"/>
              </w:rPr>
              <w:tab/>
            </w:r>
          </w:p>
          <w:p w14:paraId="497AF6F7">
            <w:pPr>
              <w:ind w:firstLine="480"/>
              <w:rPr>
                <w:rFonts w:hint="eastAsia"/>
                <w:color w:val="auto"/>
                <w:u w:val="none" w:color="auto"/>
              </w:rPr>
            </w:pPr>
            <w:r>
              <w:rPr>
                <w:rFonts w:hint="eastAsia"/>
                <w:color w:val="auto"/>
                <w:u w:val="none" w:color="auto"/>
                <w:lang w:val="en-US" w:eastAsia="zh-CN"/>
              </w:rPr>
              <w:t>本项目设置一个</w:t>
            </w:r>
            <w:r>
              <w:rPr>
                <w:rFonts w:hint="eastAsia"/>
                <w:color w:val="auto"/>
                <w:u w:val="none" w:color="auto"/>
              </w:rPr>
              <w:t>废水排污口</w:t>
            </w:r>
            <w:r>
              <w:rPr>
                <w:rFonts w:hint="eastAsia"/>
                <w:color w:val="auto"/>
                <w:u w:val="none" w:color="auto"/>
                <w:lang w:eastAsia="zh-CN"/>
              </w:rPr>
              <w:t>，</w:t>
            </w:r>
            <w:r>
              <w:rPr>
                <w:rFonts w:hint="eastAsia"/>
                <w:color w:val="auto"/>
                <w:u w:val="none" w:color="auto"/>
              </w:rPr>
              <w:t>属于一般污水排放口。</w:t>
            </w:r>
          </w:p>
          <w:p w14:paraId="50059874">
            <w:pPr>
              <w:ind w:firstLine="480"/>
              <w:rPr>
                <w:rFonts w:hint="eastAsia"/>
                <w:color w:val="auto"/>
                <w:u w:val="none" w:color="auto"/>
              </w:rPr>
            </w:pPr>
            <w:r>
              <w:rPr>
                <w:rFonts w:hint="eastAsia"/>
                <w:color w:val="auto"/>
                <w:u w:val="none" w:color="auto"/>
              </w:rPr>
              <w:t>②废气排放口</w:t>
            </w:r>
          </w:p>
          <w:p w14:paraId="305515EE">
            <w:pPr>
              <w:bidi w:val="0"/>
              <w:rPr>
                <w:rFonts w:hint="eastAsia"/>
                <w:color w:val="auto"/>
                <w:u w:val="none" w:color="auto"/>
              </w:rPr>
            </w:pPr>
            <w:r>
              <w:rPr>
                <w:rFonts w:hint="eastAsia"/>
                <w:color w:val="auto"/>
                <w:u w:val="none" w:color="auto"/>
              </w:rPr>
              <w:t>本项目设</w:t>
            </w:r>
            <w:r>
              <w:rPr>
                <w:rFonts w:hint="eastAsia"/>
                <w:color w:val="auto"/>
                <w:u w:val="none" w:color="auto"/>
                <w:lang w:val="en-US" w:eastAsia="zh-CN"/>
              </w:rPr>
              <w:t>1</w:t>
            </w:r>
            <w:r>
              <w:rPr>
                <w:rFonts w:hint="eastAsia"/>
                <w:color w:val="auto"/>
                <w:u w:val="none" w:color="auto"/>
              </w:rPr>
              <w:t>个废气排放口：涂布、烘干废气排气筒</w:t>
            </w:r>
            <w:r>
              <w:rPr>
                <w:rFonts w:hint="eastAsia"/>
                <w:color w:val="auto"/>
                <w:u w:val="none" w:color="auto"/>
                <w:lang w:val="en-US" w:eastAsia="zh-CN"/>
              </w:rPr>
              <w:t>DA001</w:t>
            </w:r>
            <w:r>
              <w:rPr>
                <w:rFonts w:hint="eastAsia"/>
                <w:color w:val="auto"/>
                <w:u w:val="none" w:color="auto"/>
              </w:rPr>
              <w:t>，高</w:t>
            </w:r>
            <w:r>
              <w:rPr>
                <w:rFonts w:hint="eastAsia"/>
                <w:color w:val="auto"/>
                <w:u w:val="none" w:color="auto"/>
                <w:lang w:val="en-US" w:eastAsia="zh-CN"/>
              </w:rPr>
              <w:t>25</w:t>
            </w:r>
            <w:r>
              <w:rPr>
                <w:rFonts w:hint="eastAsia"/>
                <w:color w:val="auto"/>
                <w:u w:val="none" w:color="auto"/>
                <w:lang w:eastAsia="zh-CN"/>
              </w:rPr>
              <w:t>m</w:t>
            </w:r>
            <w:r>
              <w:rPr>
                <w:rFonts w:hint="eastAsia"/>
                <w:color w:val="auto"/>
                <w:u w:val="none" w:color="auto"/>
              </w:rPr>
              <w:t>、内径0.</w:t>
            </w:r>
            <w:r>
              <w:rPr>
                <w:rFonts w:hint="eastAsia"/>
                <w:color w:val="auto"/>
                <w:u w:val="none" w:color="auto"/>
                <w:lang w:val="en-US" w:eastAsia="zh-CN"/>
              </w:rPr>
              <w:t>5</w:t>
            </w:r>
            <w:r>
              <w:rPr>
                <w:rFonts w:hint="eastAsia"/>
                <w:color w:val="auto"/>
                <w:u w:val="none" w:color="auto"/>
              </w:rPr>
              <w:t>m。</w:t>
            </w:r>
          </w:p>
          <w:p w14:paraId="137C66EB">
            <w:pPr>
              <w:bidi w:val="0"/>
              <w:rPr>
                <w:color w:val="auto"/>
                <w:u w:val="none" w:color="auto"/>
              </w:rPr>
            </w:pPr>
            <w:r>
              <w:rPr>
                <w:rFonts w:hint="eastAsia"/>
                <w:color w:val="auto"/>
                <w:u w:val="none" w:color="auto"/>
              </w:rPr>
              <w:t>③固定噪声排放源</w:t>
            </w:r>
          </w:p>
          <w:p w14:paraId="530F7C17">
            <w:pPr>
              <w:ind w:firstLine="480"/>
              <w:rPr>
                <w:color w:val="auto"/>
                <w:u w:val="none" w:color="auto"/>
              </w:rPr>
            </w:pPr>
            <w:r>
              <w:rPr>
                <w:rFonts w:hint="eastAsia"/>
                <w:color w:val="auto"/>
                <w:u w:val="none" w:color="auto"/>
              </w:rPr>
              <w:t>按规定对固定噪声源进行治理，并在边界噪声敏感点且对外界影响最大处设置标志牌。</w:t>
            </w:r>
          </w:p>
          <w:p w14:paraId="3EBAE103">
            <w:pPr>
              <w:ind w:firstLine="480"/>
              <w:rPr>
                <w:color w:val="auto"/>
                <w:u w:val="none" w:color="auto"/>
              </w:rPr>
            </w:pPr>
            <w:r>
              <w:rPr>
                <w:rFonts w:hint="eastAsia"/>
                <w:color w:val="auto"/>
                <w:u w:val="none" w:color="auto"/>
              </w:rPr>
              <w:t>④固体废弃物贮存（处置）场</w:t>
            </w:r>
          </w:p>
          <w:p w14:paraId="32EB3AEA">
            <w:pPr>
              <w:ind w:firstLine="480"/>
              <w:rPr>
                <w:color w:val="auto"/>
                <w:u w:val="none" w:color="auto"/>
              </w:rPr>
            </w:pPr>
            <w:r>
              <w:rPr>
                <w:rFonts w:hint="eastAsia"/>
                <w:color w:val="auto"/>
                <w:u w:val="none" w:color="auto"/>
                <w:lang w:eastAsia="zh-CN"/>
              </w:rPr>
              <w:t>本项目</w:t>
            </w:r>
            <w:r>
              <w:rPr>
                <w:rFonts w:hint="eastAsia"/>
                <w:color w:val="auto"/>
                <w:u w:val="none" w:color="auto"/>
              </w:rPr>
              <w:t>一般固废统一收集堆放</w:t>
            </w:r>
            <w:r>
              <w:rPr>
                <w:rFonts w:hint="eastAsia"/>
                <w:color w:val="auto"/>
                <w:u w:val="none" w:color="auto"/>
                <w:lang w:eastAsia="zh-CN"/>
              </w:rPr>
              <w:t>，</w:t>
            </w:r>
            <w:r>
              <w:rPr>
                <w:rFonts w:hint="eastAsia"/>
                <w:color w:val="auto"/>
                <w:u w:val="none" w:color="auto"/>
              </w:rPr>
              <w:t>生活垃圾</w:t>
            </w:r>
            <w:r>
              <w:rPr>
                <w:rFonts w:hint="eastAsia"/>
                <w:color w:val="auto"/>
                <w:u w:val="none" w:color="auto"/>
                <w:lang w:eastAsia="zh-CN"/>
              </w:rPr>
              <w:t>设置垃圾桶收集</w:t>
            </w:r>
            <w:r>
              <w:rPr>
                <w:rFonts w:hint="eastAsia"/>
                <w:color w:val="auto"/>
                <w:u w:val="none" w:color="auto"/>
              </w:rPr>
              <w:t>，</w:t>
            </w:r>
            <w:r>
              <w:rPr>
                <w:rFonts w:hint="default" w:ascii="Times New Roman" w:hAnsi="Times New Roman" w:cs="Times New Roman" w:eastAsiaTheme="minorEastAsia"/>
                <w:b w:val="0"/>
                <w:bCs/>
                <w:color w:val="auto"/>
                <w:sz w:val="24"/>
                <w:szCs w:val="24"/>
                <w:u w:val="none" w:color="auto"/>
              </w:rPr>
              <w:t>危险废物设置</w:t>
            </w:r>
            <w:r>
              <w:rPr>
                <w:rFonts w:hint="eastAsia" w:cs="Times New Roman" w:eastAsiaTheme="minorEastAsia"/>
                <w:b w:val="0"/>
                <w:bCs/>
                <w:color w:val="auto"/>
                <w:sz w:val="24"/>
                <w:szCs w:val="24"/>
                <w:u w:val="none" w:color="auto"/>
                <w:lang w:eastAsia="zh-CN"/>
              </w:rPr>
              <w:t>了</w:t>
            </w:r>
            <w:r>
              <w:rPr>
                <w:rFonts w:hint="default" w:ascii="Times New Roman" w:hAnsi="Times New Roman" w:cs="Times New Roman" w:eastAsiaTheme="minorEastAsia"/>
                <w:b w:val="0"/>
                <w:bCs/>
                <w:color w:val="auto"/>
                <w:sz w:val="24"/>
                <w:szCs w:val="24"/>
                <w:u w:val="none" w:color="auto"/>
              </w:rPr>
              <w:t>专用的</w:t>
            </w:r>
            <w:r>
              <w:rPr>
                <w:rFonts w:hint="eastAsia" w:cs="Times New Roman" w:eastAsiaTheme="minorEastAsia"/>
                <w:b w:val="0"/>
                <w:bCs/>
                <w:color w:val="auto"/>
                <w:sz w:val="24"/>
                <w:szCs w:val="24"/>
                <w:u w:val="none" w:color="auto"/>
                <w:lang w:eastAsia="zh-CN"/>
              </w:rPr>
              <w:t>危废暂存间</w:t>
            </w:r>
            <w:r>
              <w:rPr>
                <w:rFonts w:hint="eastAsia"/>
                <w:color w:val="auto"/>
                <w:u w:val="none" w:color="auto"/>
              </w:rPr>
              <w:t>。</w:t>
            </w:r>
          </w:p>
          <w:p w14:paraId="673AB3D4">
            <w:pPr>
              <w:ind w:firstLine="480"/>
              <w:rPr>
                <w:color w:val="auto"/>
                <w:u w:val="none" w:color="auto"/>
              </w:rPr>
            </w:pPr>
            <w:r>
              <w:rPr>
                <w:rFonts w:hint="eastAsia"/>
                <w:color w:val="auto"/>
                <w:u w:val="none" w:color="auto"/>
              </w:rPr>
              <w:t>⑤设置标志牌要求</w:t>
            </w:r>
          </w:p>
          <w:p w14:paraId="0E776451">
            <w:pPr>
              <w:ind w:firstLine="480"/>
              <w:rPr>
                <w:color w:val="auto"/>
                <w:u w:val="none" w:color="auto"/>
              </w:rPr>
            </w:pPr>
            <w:r>
              <w:rPr>
                <w:rFonts w:hint="eastAsia"/>
                <w:color w:val="auto"/>
                <w:u w:val="none" w:color="auto"/>
              </w:rPr>
              <w:t>排放一般污染物排放口（源），设置提示性标志牌，排放有毒有害等污染物的排污口设置警告性标志牌。提示性标志牌和警告性标志牌样图如下表：</w:t>
            </w:r>
          </w:p>
          <w:p w14:paraId="0A9EDAF4">
            <w:pPr>
              <w:spacing w:line="240" w:lineRule="auto"/>
              <w:ind w:firstLine="422"/>
              <w:jc w:val="center"/>
              <w:rPr>
                <w:rFonts w:hint="eastAsia" w:hAnsi="宋体"/>
                <w:b/>
                <w:color w:val="auto"/>
                <w:sz w:val="21"/>
                <w:szCs w:val="21"/>
                <w:u w:val="none" w:color="auto"/>
              </w:rPr>
            </w:pPr>
            <w:r>
              <w:rPr>
                <w:rFonts w:hint="eastAsia" w:hAnsi="宋体"/>
                <w:b/>
                <w:color w:val="auto"/>
                <w:sz w:val="21"/>
                <w:szCs w:val="21"/>
                <w:u w:val="none" w:color="auto"/>
              </w:rPr>
              <w:t>表4-1</w:t>
            </w:r>
            <w:r>
              <w:rPr>
                <w:rFonts w:hint="eastAsia" w:hAnsi="宋体"/>
                <w:b/>
                <w:color w:val="auto"/>
                <w:sz w:val="21"/>
                <w:szCs w:val="21"/>
                <w:u w:val="none" w:color="auto"/>
                <w:lang w:val="en-US" w:eastAsia="zh-CN"/>
              </w:rPr>
              <w:t>7</w:t>
            </w:r>
            <w:r>
              <w:rPr>
                <w:rFonts w:hint="eastAsia" w:hAnsi="宋体"/>
                <w:b/>
                <w:color w:val="auto"/>
                <w:sz w:val="21"/>
                <w:szCs w:val="21"/>
                <w:u w:val="none" w:color="auto"/>
              </w:rPr>
              <w:t>提示性标志牌和警告性标志牌说明表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1"/>
              <w:gridCol w:w="1357"/>
              <w:gridCol w:w="1365"/>
              <w:gridCol w:w="1377"/>
              <w:gridCol w:w="1469"/>
              <w:gridCol w:w="2309"/>
            </w:tblGrid>
            <w:tr w14:paraId="1155E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 w:type="pct"/>
                  <w:noWrap w:val="0"/>
                  <w:vAlign w:val="center"/>
                </w:tcPr>
                <w:p w14:paraId="02D046A0">
                  <w:pPr>
                    <w:spacing w:line="240" w:lineRule="auto"/>
                    <w:ind w:firstLine="0" w:firstLineChars="0"/>
                    <w:jc w:val="center"/>
                    <w:rPr>
                      <w:color w:val="auto"/>
                      <w:sz w:val="21"/>
                      <w:szCs w:val="21"/>
                      <w:u w:val="none" w:color="auto"/>
                    </w:rPr>
                  </w:pPr>
                  <w:r>
                    <w:rPr>
                      <w:rFonts w:hint="eastAsia"/>
                      <w:color w:val="auto"/>
                      <w:sz w:val="21"/>
                      <w:szCs w:val="21"/>
                      <w:u w:val="none" w:color="auto"/>
                    </w:rPr>
                    <w:t>排放口</w:t>
                  </w:r>
                </w:p>
              </w:tc>
              <w:tc>
                <w:tcPr>
                  <w:tcW w:w="820" w:type="pct"/>
                  <w:noWrap w:val="0"/>
                  <w:vAlign w:val="center"/>
                </w:tcPr>
                <w:p w14:paraId="025D679B">
                  <w:pPr>
                    <w:spacing w:line="240" w:lineRule="auto"/>
                    <w:ind w:firstLine="0" w:firstLineChars="0"/>
                    <w:jc w:val="center"/>
                    <w:rPr>
                      <w:color w:val="auto"/>
                      <w:sz w:val="21"/>
                      <w:szCs w:val="21"/>
                      <w:u w:val="none" w:color="auto"/>
                    </w:rPr>
                  </w:pPr>
                  <w:r>
                    <w:rPr>
                      <w:rFonts w:hint="eastAsia"/>
                      <w:color w:val="auto"/>
                      <w:sz w:val="21"/>
                      <w:szCs w:val="21"/>
                      <w:u w:val="none" w:color="auto"/>
                    </w:rPr>
                    <w:t>废水排放口</w:t>
                  </w:r>
                </w:p>
              </w:tc>
              <w:tc>
                <w:tcPr>
                  <w:tcW w:w="825" w:type="pct"/>
                  <w:noWrap w:val="0"/>
                  <w:vAlign w:val="center"/>
                </w:tcPr>
                <w:p w14:paraId="5EB6A0E1">
                  <w:pPr>
                    <w:spacing w:line="240" w:lineRule="auto"/>
                    <w:ind w:firstLine="0" w:firstLineChars="0"/>
                    <w:jc w:val="center"/>
                    <w:rPr>
                      <w:color w:val="auto"/>
                      <w:sz w:val="21"/>
                      <w:szCs w:val="21"/>
                      <w:u w:val="none" w:color="auto"/>
                    </w:rPr>
                  </w:pPr>
                  <w:r>
                    <w:rPr>
                      <w:rFonts w:hint="eastAsia"/>
                      <w:color w:val="auto"/>
                      <w:sz w:val="21"/>
                      <w:szCs w:val="21"/>
                      <w:u w:val="none" w:color="auto"/>
                    </w:rPr>
                    <w:t>废气排放口</w:t>
                  </w:r>
                </w:p>
              </w:tc>
              <w:tc>
                <w:tcPr>
                  <w:tcW w:w="832" w:type="pct"/>
                  <w:noWrap w:val="0"/>
                  <w:vAlign w:val="center"/>
                </w:tcPr>
                <w:p w14:paraId="2369523F">
                  <w:pPr>
                    <w:spacing w:line="240" w:lineRule="auto"/>
                    <w:ind w:firstLine="0" w:firstLineChars="0"/>
                    <w:jc w:val="center"/>
                    <w:rPr>
                      <w:color w:val="auto"/>
                      <w:sz w:val="21"/>
                      <w:szCs w:val="21"/>
                      <w:u w:val="none" w:color="auto"/>
                    </w:rPr>
                  </w:pPr>
                  <w:r>
                    <w:rPr>
                      <w:rFonts w:hint="eastAsia"/>
                      <w:color w:val="auto"/>
                      <w:sz w:val="21"/>
                      <w:szCs w:val="21"/>
                      <w:u w:val="none" w:color="auto"/>
                    </w:rPr>
                    <w:t>噪声源</w:t>
                  </w:r>
                </w:p>
              </w:tc>
              <w:tc>
                <w:tcPr>
                  <w:tcW w:w="888" w:type="pct"/>
                  <w:noWrap w:val="0"/>
                  <w:vAlign w:val="center"/>
                </w:tcPr>
                <w:p w14:paraId="36FC7D77">
                  <w:pPr>
                    <w:spacing w:line="240" w:lineRule="auto"/>
                    <w:ind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固体废物堆场</w:t>
                  </w:r>
                </w:p>
              </w:tc>
              <w:tc>
                <w:tcPr>
                  <w:tcW w:w="1395" w:type="pct"/>
                  <w:noWrap w:val="0"/>
                  <w:vAlign w:val="center"/>
                </w:tcPr>
                <w:p w14:paraId="78148FB9">
                  <w:pPr>
                    <w:spacing w:line="240" w:lineRule="auto"/>
                    <w:ind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危</w:t>
                  </w:r>
                  <w:r>
                    <w:rPr>
                      <w:rFonts w:hint="eastAsia"/>
                      <w:color w:val="auto"/>
                      <w:sz w:val="21"/>
                      <w:szCs w:val="21"/>
                      <w:u w:val="none" w:color="auto"/>
                    </w:rPr>
                    <w:t>险废物</w:t>
                  </w:r>
                  <w:r>
                    <w:rPr>
                      <w:rFonts w:hint="eastAsia" w:ascii="Times New Roman" w:hAnsi="Times New Roman" w:eastAsia="宋体" w:cs="Times New Roman"/>
                      <w:color w:val="auto"/>
                      <w:sz w:val="21"/>
                      <w:szCs w:val="21"/>
                      <w:u w:val="none" w:color="auto"/>
                      <w:lang w:val="en-US" w:eastAsia="zh-CN"/>
                    </w:rPr>
                    <w:t>贮存、利用、处置设施标志的样式</w:t>
                  </w:r>
                </w:p>
              </w:tc>
            </w:tr>
            <w:tr w14:paraId="6AFC6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 w:type="pct"/>
                  <w:noWrap w:val="0"/>
                  <w:vAlign w:val="center"/>
                </w:tcPr>
                <w:p w14:paraId="0F08C0E6">
                  <w:pPr>
                    <w:spacing w:line="240" w:lineRule="auto"/>
                    <w:ind w:firstLine="0" w:firstLineChars="0"/>
                    <w:jc w:val="center"/>
                    <w:rPr>
                      <w:color w:val="auto"/>
                      <w:sz w:val="21"/>
                      <w:szCs w:val="21"/>
                      <w:u w:val="none" w:color="auto"/>
                    </w:rPr>
                  </w:pPr>
                  <w:r>
                    <w:rPr>
                      <w:rFonts w:hint="eastAsia"/>
                      <w:color w:val="auto"/>
                      <w:sz w:val="21"/>
                      <w:szCs w:val="21"/>
                      <w:u w:val="none" w:color="auto"/>
                    </w:rPr>
                    <w:t>提示图形符号</w:t>
                  </w:r>
                </w:p>
              </w:tc>
              <w:tc>
                <w:tcPr>
                  <w:tcW w:w="820" w:type="pct"/>
                  <w:noWrap w:val="0"/>
                  <w:vAlign w:val="center"/>
                </w:tcPr>
                <w:p w14:paraId="739E57C9">
                  <w:pPr>
                    <w:spacing w:line="240" w:lineRule="auto"/>
                    <w:ind w:firstLine="0" w:firstLineChars="0"/>
                    <w:jc w:val="center"/>
                    <w:rPr>
                      <w:color w:val="auto"/>
                      <w:sz w:val="21"/>
                      <w:szCs w:val="21"/>
                      <w:u w:val="none" w:color="auto"/>
                    </w:rPr>
                  </w:pPr>
                  <w:r>
                    <w:rPr>
                      <w:rFonts w:hint="eastAsia"/>
                      <w:color w:val="auto"/>
                      <w:sz w:val="21"/>
                      <w:szCs w:val="21"/>
                      <w:u w:val="none" w:color="auto"/>
                    </w:rPr>
                    <w:drawing>
                      <wp:inline distT="0" distB="0" distL="114300" distR="114300">
                        <wp:extent cx="843280" cy="831215"/>
                        <wp:effectExtent l="0" t="0" r="13970" b="6985"/>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18"/>
                                <a:stretch>
                                  <a:fillRect/>
                                </a:stretch>
                              </pic:blipFill>
                              <pic:spPr>
                                <a:xfrm>
                                  <a:off x="0" y="0"/>
                                  <a:ext cx="843280" cy="831215"/>
                                </a:xfrm>
                                <a:prstGeom prst="rect">
                                  <a:avLst/>
                                </a:prstGeom>
                                <a:noFill/>
                                <a:ln>
                                  <a:noFill/>
                                </a:ln>
                              </pic:spPr>
                            </pic:pic>
                          </a:graphicData>
                        </a:graphic>
                      </wp:inline>
                    </w:drawing>
                  </w:r>
                </w:p>
              </w:tc>
              <w:tc>
                <w:tcPr>
                  <w:tcW w:w="825" w:type="pct"/>
                  <w:noWrap w:val="0"/>
                  <w:vAlign w:val="center"/>
                </w:tcPr>
                <w:p w14:paraId="451D3349">
                  <w:pPr>
                    <w:spacing w:line="240" w:lineRule="auto"/>
                    <w:ind w:firstLine="0" w:firstLineChars="0"/>
                    <w:jc w:val="center"/>
                    <w:rPr>
                      <w:color w:val="auto"/>
                      <w:sz w:val="21"/>
                      <w:szCs w:val="21"/>
                      <w:u w:val="none" w:color="auto"/>
                    </w:rPr>
                  </w:pPr>
                  <w:r>
                    <w:rPr>
                      <w:rFonts w:hint="eastAsia"/>
                      <w:color w:val="auto"/>
                      <w:sz w:val="21"/>
                      <w:szCs w:val="21"/>
                      <w:u w:val="none" w:color="auto"/>
                    </w:rPr>
                    <w:drawing>
                      <wp:inline distT="0" distB="0" distL="114300" distR="114300">
                        <wp:extent cx="831215" cy="831215"/>
                        <wp:effectExtent l="0" t="0" r="6985" b="6985"/>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19"/>
                                <a:stretch>
                                  <a:fillRect/>
                                </a:stretch>
                              </pic:blipFill>
                              <pic:spPr>
                                <a:xfrm>
                                  <a:off x="0" y="0"/>
                                  <a:ext cx="831215" cy="831215"/>
                                </a:xfrm>
                                <a:prstGeom prst="rect">
                                  <a:avLst/>
                                </a:prstGeom>
                                <a:noFill/>
                                <a:ln>
                                  <a:noFill/>
                                </a:ln>
                              </pic:spPr>
                            </pic:pic>
                          </a:graphicData>
                        </a:graphic>
                      </wp:inline>
                    </w:drawing>
                  </w:r>
                </w:p>
              </w:tc>
              <w:tc>
                <w:tcPr>
                  <w:tcW w:w="832" w:type="pct"/>
                  <w:noWrap w:val="0"/>
                  <w:vAlign w:val="center"/>
                </w:tcPr>
                <w:p w14:paraId="526C3F32">
                  <w:pPr>
                    <w:spacing w:line="240" w:lineRule="auto"/>
                    <w:ind w:firstLine="0" w:firstLineChars="0"/>
                    <w:jc w:val="center"/>
                    <w:rPr>
                      <w:color w:val="auto"/>
                      <w:sz w:val="21"/>
                      <w:szCs w:val="21"/>
                      <w:u w:val="none" w:color="auto"/>
                    </w:rPr>
                  </w:pPr>
                  <w:r>
                    <w:rPr>
                      <w:rFonts w:hint="eastAsia"/>
                      <w:color w:val="auto"/>
                      <w:sz w:val="21"/>
                      <w:szCs w:val="21"/>
                      <w:u w:val="none" w:color="auto"/>
                    </w:rPr>
                    <w:drawing>
                      <wp:inline distT="0" distB="0" distL="114300" distR="114300">
                        <wp:extent cx="843280" cy="819150"/>
                        <wp:effectExtent l="0" t="0" r="13970" b="0"/>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pic:cNvPicPr>
                              </pic:nvPicPr>
                              <pic:blipFill>
                                <a:blip r:embed="rId20"/>
                                <a:stretch>
                                  <a:fillRect/>
                                </a:stretch>
                              </pic:blipFill>
                              <pic:spPr>
                                <a:xfrm>
                                  <a:off x="0" y="0"/>
                                  <a:ext cx="843280" cy="819150"/>
                                </a:xfrm>
                                <a:prstGeom prst="rect">
                                  <a:avLst/>
                                </a:prstGeom>
                                <a:noFill/>
                                <a:ln>
                                  <a:noFill/>
                                </a:ln>
                              </pic:spPr>
                            </pic:pic>
                          </a:graphicData>
                        </a:graphic>
                      </wp:inline>
                    </w:drawing>
                  </w:r>
                </w:p>
              </w:tc>
              <w:tc>
                <w:tcPr>
                  <w:tcW w:w="888" w:type="pct"/>
                  <w:noWrap w:val="0"/>
                  <w:vAlign w:val="center"/>
                </w:tcPr>
                <w:p w14:paraId="61EB412E">
                  <w:pPr>
                    <w:spacing w:line="240" w:lineRule="auto"/>
                    <w:ind w:firstLine="0" w:firstLineChars="0"/>
                    <w:jc w:val="center"/>
                    <w:rPr>
                      <w:color w:val="auto"/>
                      <w:sz w:val="21"/>
                      <w:szCs w:val="21"/>
                      <w:u w:val="none" w:color="auto"/>
                    </w:rPr>
                  </w:pPr>
                  <w:r>
                    <w:rPr>
                      <w:rFonts w:hint="eastAsia"/>
                      <w:color w:val="auto"/>
                      <w:sz w:val="21"/>
                      <w:szCs w:val="21"/>
                      <w:u w:val="none" w:color="auto"/>
                    </w:rPr>
                    <w:drawing>
                      <wp:inline distT="0" distB="0" distL="114300" distR="114300">
                        <wp:extent cx="843280" cy="831215"/>
                        <wp:effectExtent l="0" t="0" r="13970" b="6985"/>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21"/>
                                <a:stretch>
                                  <a:fillRect/>
                                </a:stretch>
                              </pic:blipFill>
                              <pic:spPr>
                                <a:xfrm>
                                  <a:off x="0" y="0"/>
                                  <a:ext cx="843280" cy="831215"/>
                                </a:xfrm>
                                <a:prstGeom prst="rect">
                                  <a:avLst/>
                                </a:prstGeom>
                                <a:noFill/>
                                <a:ln>
                                  <a:noFill/>
                                </a:ln>
                              </pic:spPr>
                            </pic:pic>
                          </a:graphicData>
                        </a:graphic>
                      </wp:inline>
                    </w:drawing>
                  </w:r>
                </w:p>
              </w:tc>
              <w:tc>
                <w:tcPr>
                  <w:tcW w:w="1395" w:type="pct"/>
                  <w:vMerge w:val="restart"/>
                  <w:noWrap w:val="0"/>
                  <w:vAlign w:val="center"/>
                </w:tcPr>
                <w:p w14:paraId="3A63FBC9">
                  <w:pPr>
                    <w:spacing w:line="240" w:lineRule="auto"/>
                    <w:ind w:firstLine="0" w:firstLineChars="0"/>
                    <w:jc w:val="center"/>
                    <w:rPr>
                      <w:color w:val="auto"/>
                      <w:u w:val="none" w:color="auto"/>
                    </w:rPr>
                  </w:pPr>
                  <w:r>
                    <w:rPr>
                      <w:color w:val="auto"/>
                      <w:u w:val="none" w:color="auto"/>
                    </w:rPr>
                    <w:drawing>
                      <wp:inline distT="0" distB="0" distL="114300" distR="114300">
                        <wp:extent cx="1328420" cy="838835"/>
                        <wp:effectExtent l="0" t="0" r="5080" b="1841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22"/>
                                <a:stretch>
                                  <a:fillRect/>
                                </a:stretch>
                              </pic:blipFill>
                              <pic:spPr>
                                <a:xfrm>
                                  <a:off x="0" y="0"/>
                                  <a:ext cx="1328420" cy="838835"/>
                                </a:xfrm>
                                <a:prstGeom prst="rect">
                                  <a:avLst/>
                                </a:prstGeom>
                                <a:noFill/>
                                <a:ln>
                                  <a:noFill/>
                                </a:ln>
                              </pic:spPr>
                            </pic:pic>
                          </a:graphicData>
                        </a:graphic>
                      </wp:inline>
                    </w:drawing>
                  </w:r>
                </w:p>
                <w:p w14:paraId="775374C6">
                  <w:pPr>
                    <w:pStyle w:val="38"/>
                    <w:spacing w:line="240" w:lineRule="auto"/>
                    <w:ind w:left="0" w:leftChars="0" w:firstLine="0" w:firstLineChars="0"/>
                    <w:rPr>
                      <w:color w:val="auto"/>
                      <w:u w:val="none" w:color="auto"/>
                    </w:rPr>
                  </w:pPr>
                  <w:r>
                    <w:rPr>
                      <w:color w:val="auto"/>
                      <w:u w:val="none" w:color="auto"/>
                    </w:rPr>
                    <w:drawing>
                      <wp:inline distT="0" distB="0" distL="114300" distR="114300">
                        <wp:extent cx="1331595" cy="842010"/>
                        <wp:effectExtent l="0" t="0" r="1905" b="15240"/>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23"/>
                                <a:stretch>
                                  <a:fillRect/>
                                </a:stretch>
                              </pic:blipFill>
                              <pic:spPr>
                                <a:xfrm>
                                  <a:off x="0" y="0"/>
                                  <a:ext cx="1331595" cy="842010"/>
                                </a:xfrm>
                                <a:prstGeom prst="rect">
                                  <a:avLst/>
                                </a:prstGeom>
                                <a:noFill/>
                                <a:ln>
                                  <a:noFill/>
                                </a:ln>
                              </pic:spPr>
                            </pic:pic>
                          </a:graphicData>
                        </a:graphic>
                      </wp:inline>
                    </w:drawing>
                  </w:r>
                </w:p>
                <w:p w14:paraId="3B5C5786">
                  <w:pPr>
                    <w:pStyle w:val="38"/>
                    <w:spacing w:line="240" w:lineRule="auto"/>
                    <w:ind w:left="0" w:leftChars="0" w:firstLine="0" w:firstLineChars="0"/>
                    <w:rPr>
                      <w:color w:val="auto"/>
                      <w:u w:val="none" w:color="auto"/>
                    </w:rPr>
                  </w:pPr>
                  <w:r>
                    <w:rPr>
                      <w:color w:val="auto"/>
                      <w:u w:val="none" w:color="auto"/>
                    </w:rPr>
                    <w:drawing>
                      <wp:inline distT="0" distB="0" distL="114300" distR="114300">
                        <wp:extent cx="1328420" cy="850265"/>
                        <wp:effectExtent l="0" t="0" r="5080" b="6985"/>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24"/>
                                <a:stretch>
                                  <a:fillRect/>
                                </a:stretch>
                              </pic:blipFill>
                              <pic:spPr>
                                <a:xfrm>
                                  <a:off x="0" y="0"/>
                                  <a:ext cx="1328420" cy="850265"/>
                                </a:xfrm>
                                <a:prstGeom prst="rect">
                                  <a:avLst/>
                                </a:prstGeom>
                                <a:noFill/>
                                <a:ln>
                                  <a:noFill/>
                                </a:ln>
                              </pic:spPr>
                            </pic:pic>
                          </a:graphicData>
                        </a:graphic>
                      </wp:inline>
                    </w:drawing>
                  </w:r>
                </w:p>
              </w:tc>
            </w:tr>
            <w:tr w14:paraId="667EE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5" w:hRule="atLeast"/>
              </w:trPr>
              <w:tc>
                <w:tcPr>
                  <w:tcW w:w="237" w:type="pct"/>
                  <w:vMerge w:val="restart"/>
                  <w:noWrap w:val="0"/>
                  <w:vAlign w:val="center"/>
                </w:tcPr>
                <w:p w14:paraId="562E2B3D">
                  <w:pPr>
                    <w:spacing w:line="240" w:lineRule="auto"/>
                    <w:ind w:firstLine="0" w:firstLineChars="0"/>
                    <w:jc w:val="center"/>
                    <w:rPr>
                      <w:color w:val="auto"/>
                      <w:sz w:val="21"/>
                      <w:szCs w:val="21"/>
                      <w:u w:val="none" w:color="auto"/>
                    </w:rPr>
                  </w:pPr>
                  <w:r>
                    <w:rPr>
                      <w:rFonts w:hint="eastAsia"/>
                      <w:color w:val="auto"/>
                      <w:sz w:val="21"/>
                      <w:szCs w:val="21"/>
                      <w:u w:val="none" w:color="auto"/>
                    </w:rPr>
                    <w:t>警告图形标志</w:t>
                  </w:r>
                </w:p>
              </w:tc>
              <w:tc>
                <w:tcPr>
                  <w:tcW w:w="820" w:type="pct"/>
                  <w:noWrap w:val="0"/>
                  <w:vAlign w:val="center"/>
                </w:tcPr>
                <w:p w14:paraId="47162210">
                  <w:pPr>
                    <w:spacing w:line="240" w:lineRule="auto"/>
                    <w:ind w:firstLine="0" w:firstLineChars="0"/>
                    <w:rPr>
                      <w:color w:val="auto"/>
                      <w:sz w:val="21"/>
                      <w:szCs w:val="21"/>
                      <w:u w:val="none" w:color="auto"/>
                    </w:rPr>
                  </w:pPr>
                  <w:r>
                    <w:rPr>
                      <w:color w:val="auto"/>
                      <w:u w:val="none" w:color="auto"/>
                    </w:rPr>
                    <w:drawing>
                      <wp:inline distT="0" distB="0" distL="114300" distR="114300">
                        <wp:extent cx="725805" cy="708660"/>
                        <wp:effectExtent l="0" t="0" r="17145" b="15240"/>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25"/>
                                <a:stretch>
                                  <a:fillRect/>
                                </a:stretch>
                              </pic:blipFill>
                              <pic:spPr>
                                <a:xfrm>
                                  <a:off x="0" y="0"/>
                                  <a:ext cx="725805" cy="708660"/>
                                </a:xfrm>
                                <a:prstGeom prst="rect">
                                  <a:avLst/>
                                </a:prstGeom>
                                <a:noFill/>
                                <a:ln>
                                  <a:noFill/>
                                </a:ln>
                              </pic:spPr>
                            </pic:pic>
                          </a:graphicData>
                        </a:graphic>
                      </wp:inline>
                    </w:drawing>
                  </w:r>
                </w:p>
              </w:tc>
              <w:tc>
                <w:tcPr>
                  <w:tcW w:w="825" w:type="pct"/>
                  <w:noWrap w:val="0"/>
                  <w:vAlign w:val="center"/>
                </w:tcPr>
                <w:p w14:paraId="7790F180">
                  <w:pPr>
                    <w:spacing w:line="240" w:lineRule="auto"/>
                    <w:ind w:firstLine="0" w:firstLineChars="0"/>
                    <w:jc w:val="center"/>
                    <w:rPr>
                      <w:color w:val="auto"/>
                      <w:sz w:val="21"/>
                      <w:szCs w:val="21"/>
                      <w:u w:val="none" w:color="auto"/>
                    </w:rPr>
                  </w:pPr>
                  <w:r>
                    <w:rPr>
                      <w:color w:val="auto"/>
                      <w:u w:val="none" w:color="auto"/>
                    </w:rPr>
                    <w:drawing>
                      <wp:inline distT="0" distB="0" distL="114300" distR="114300">
                        <wp:extent cx="731520" cy="664845"/>
                        <wp:effectExtent l="0" t="0" r="11430" b="1905"/>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26"/>
                                <a:stretch>
                                  <a:fillRect/>
                                </a:stretch>
                              </pic:blipFill>
                              <pic:spPr>
                                <a:xfrm>
                                  <a:off x="0" y="0"/>
                                  <a:ext cx="731520" cy="664845"/>
                                </a:xfrm>
                                <a:prstGeom prst="rect">
                                  <a:avLst/>
                                </a:prstGeom>
                                <a:noFill/>
                                <a:ln>
                                  <a:noFill/>
                                </a:ln>
                              </pic:spPr>
                            </pic:pic>
                          </a:graphicData>
                        </a:graphic>
                      </wp:inline>
                    </w:drawing>
                  </w:r>
                </w:p>
              </w:tc>
              <w:tc>
                <w:tcPr>
                  <w:tcW w:w="832" w:type="pct"/>
                  <w:noWrap w:val="0"/>
                  <w:vAlign w:val="center"/>
                </w:tcPr>
                <w:p w14:paraId="4D9CE69C">
                  <w:pPr>
                    <w:spacing w:line="240" w:lineRule="auto"/>
                    <w:ind w:firstLine="0" w:firstLineChars="0"/>
                    <w:jc w:val="center"/>
                    <w:rPr>
                      <w:color w:val="auto"/>
                      <w:sz w:val="21"/>
                      <w:szCs w:val="21"/>
                      <w:u w:val="none" w:color="auto"/>
                    </w:rPr>
                  </w:pPr>
                  <w:r>
                    <w:rPr>
                      <w:color w:val="auto"/>
                      <w:u w:val="none" w:color="auto"/>
                    </w:rPr>
                    <w:drawing>
                      <wp:inline distT="0" distB="0" distL="114300" distR="114300">
                        <wp:extent cx="739140" cy="702945"/>
                        <wp:effectExtent l="0" t="0" r="3810" b="1905"/>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27"/>
                                <a:stretch>
                                  <a:fillRect/>
                                </a:stretch>
                              </pic:blipFill>
                              <pic:spPr>
                                <a:xfrm>
                                  <a:off x="0" y="0"/>
                                  <a:ext cx="739140" cy="702945"/>
                                </a:xfrm>
                                <a:prstGeom prst="rect">
                                  <a:avLst/>
                                </a:prstGeom>
                                <a:noFill/>
                                <a:ln>
                                  <a:noFill/>
                                </a:ln>
                              </pic:spPr>
                            </pic:pic>
                          </a:graphicData>
                        </a:graphic>
                      </wp:inline>
                    </w:drawing>
                  </w:r>
                </w:p>
              </w:tc>
              <w:tc>
                <w:tcPr>
                  <w:tcW w:w="888" w:type="pct"/>
                  <w:noWrap w:val="0"/>
                  <w:vAlign w:val="center"/>
                </w:tcPr>
                <w:p w14:paraId="65E06F00">
                  <w:pPr>
                    <w:spacing w:line="240" w:lineRule="auto"/>
                    <w:ind w:firstLine="0" w:firstLineChars="0"/>
                    <w:jc w:val="center"/>
                    <w:rPr>
                      <w:color w:val="auto"/>
                      <w:sz w:val="21"/>
                      <w:szCs w:val="21"/>
                      <w:u w:val="none" w:color="auto"/>
                    </w:rPr>
                  </w:pPr>
                  <w:r>
                    <w:rPr>
                      <w:color w:val="auto"/>
                      <w:u w:val="none" w:color="auto"/>
                    </w:rPr>
                    <w:drawing>
                      <wp:inline distT="0" distB="0" distL="114300" distR="114300">
                        <wp:extent cx="797560" cy="752475"/>
                        <wp:effectExtent l="0" t="0" r="2540" b="9525"/>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28"/>
                                <a:stretch>
                                  <a:fillRect/>
                                </a:stretch>
                              </pic:blipFill>
                              <pic:spPr>
                                <a:xfrm>
                                  <a:off x="0" y="0"/>
                                  <a:ext cx="797560" cy="752475"/>
                                </a:xfrm>
                                <a:prstGeom prst="rect">
                                  <a:avLst/>
                                </a:prstGeom>
                                <a:noFill/>
                                <a:ln>
                                  <a:noFill/>
                                </a:ln>
                              </pic:spPr>
                            </pic:pic>
                          </a:graphicData>
                        </a:graphic>
                      </wp:inline>
                    </w:drawing>
                  </w:r>
                </w:p>
              </w:tc>
              <w:tc>
                <w:tcPr>
                  <w:tcW w:w="1395" w:type="pct"/>
                  <w:vMerge w:val="continue"/>
                  <w:noWrap w:val="0"/>
                  <w:vAlign w:val="center"/>
                </w:tcPr>
                <w:p w14:paraId="037A36DB">
                  <w:pPr>
                    <w:spacing w:line="240" w:lineRule="auto"/>
                    <w:ind w:firstLine="0" w:firstLineChars="0"/>
                    <w:jc w:val="center"/>
                    <w:rPr>
                      <w:color w:val="auto"/>
                      <w:sz w:val="21"/>
                      <w:szCs w:val="21"/>
                      <w:u w:val="none" w:color="auto"/>
                    </w:rPr>
                  </w:pPr>
                </w:p>
              </w:tc>
            </w:tr>
            <w:tr w14:paraId="38AFA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237" w:type="pct"/>
                  <w:vMerge w:val="continue"/>
                  <w:noWrap w:val="0"/>
                  <w:vAlign w:val="center"/>
                </w:tcPr>
                <w:p w14:paraId="67CEAAF3">
                  <w:pPr>
                    <w:spacing w:line="240" w:lineRule="auto"/>
                    <w:ind w:firstLine="0" w:firstLineChars="0"/>
                    <w:jc w:val="center"/>
                    <w:rPr>
                      <w:rFonts w:hint="eastAsia"/>
                      <w:color w:val="auto"/>
                      <w:sz w:val="21"/>
                      <w:szCs w:val="21"/>
                      <w:u w:val="none" w:color="auto"/>
                    </w:rPr>
                  </w:pPr>
                </w:p>
              </w:tc>
              <w:tc>
                <w:tcPr>
                  <w:tcW w:w="820" w:type="pct"/>
                  <w:noWrap w:val="0"/>
                  <w:vAlign w:val="center"/>
                </w:tcPr>
                <w:p w14:paraId="462B7B41">
                  <w:pPr>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腐蚀性</w:t>
                  </w:r>
                </w:p>
              </w:tc>
              <w:tc>
                <w:tcPr>
                  <w:tcW w:w="825" w:type="pct"/>
                  <w:noWrap w:val="0"/>
                  <w:vAlign w:val="center"/>
                </w:tcPr>
                <w:p w14:paraId="2F3F50E1">
                  <w:pPr>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毒性</w:t>
                  </w:r>
                </w:p>
              </w:tc>
              <w:tc>
                <w:tcPr>
                  <w:tcW w:w="832" w:type="pct"/>
                  <w:noWrap w:val="0"/>
                  <w:vAlign w:val="center"/>
                </w:tcPr>
                <w:p w14:paraId="3C318981">
                  <w:pPr>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易燃</w:t>
                  </w:r>
                </w:p>
              </w:tc>
              <w:tc>
                <w:tcPr>
                  <w:tcW w:w="888" w:type="pct"/>
                  <w:noWrap w:val="0"/>
                  <w:vAlign w:val="center"/>
                </w:tcPr>
                <w:p w14:paraId="5A87DDDB">
                  <w:pPr>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反应性</w:t>
                  </w:r>
                </w:p>
              </w:tc>
              <w:tc>
                <w:tcPr>
                  <w:tcW w:w="1395" w:type="pct"/>
                  <w:vMerge w:val="continue"/>
                  <w:noWrap w:val="0"/>
                  <w:vAlign w:val="center"/>
                </w:tcPr>
                <w:p w14:paraId="239AC8EF">
                  <w:pPr>
                    <w:spacing w:line="240" w:lineRule="auto"/>
                    <w:ind w:firstLine="0" w:firstLineChars="0"/>
                    <w:jc w:val="center"/>
                    <w:rPr>
                      <w:color w:val="auto"/>
                      <w:sz w:val="21"/>
                      <w:szCs w:val="21"/>
                      <w:u w:val="none" w:color="auto"/>
                    </w:rPr>
                  </w:pPr>
                </w:p>
              </w:tc>
            </w:tr>
          </w:tbl>
          <w:p w14:paraId="04B09DA5">
            <w:pPr>
              <w:pStyle w:val="67"/>
              <w:rPr>
                <w:color w:val="auto"/>
                <w:kern w:val="0"/>
                <w:szCs w:val="20"/>
                <w:u w:val="none" w:color="auto"/>
              </w:rPr>
            </w:pPr>
            <w:r>
              <w:rPr>
                <w:rFonts w:hint="eastAsia"/>
                <w:color w:val="auto"/>
                <w:kern w:val="0"/>
                <w:szCs w:val="20"/>
                <w:u w:val="none" w:color="auto"/>
              </w:rPr>
              <w:t>表4-1</w:t>
            </w:r>
            <w:r>
              <w:rPr>
                <w:rFonts w:hint="eastAsia"/>
                <w:color w:val="auto"/>
                <w:kern w:val="0"/>
                <w:szCs w:val="20"/>
                <w:u w:val="none" w:color="auto"/>
                <w:lang w:val="en-US" w:eastAsia="zh-CN"/>
              </w:rPr>
              <w:t>8</w:t>
            </w:r>
            <w:r>
              <w:rPr>
                <w:rFonts w:hint="eastAsia"/>
                <w:color w:val="auto"/>
                <w:kern w:val="0"/>
                <w:szCs w:val="20"/>
                <w:u w:val="none" w:color="auto"/>
              </w:rPr>
              <w:t>标志形状及颜色</w:t>
            </w:r>
          </w:p>
          <w:tbl>
            <w:tblPr>
              <w:tblStyle w:val="28"/>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66"/>
              <w:gridCol w:w="2066"/>
              <w:gridCol w:w="2066"/>
              <w:gridCol w:w="2069"/>
            </w:tblGrid>
            <w:tr w14:paraId="75C95A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49" w:type="pct"/>
                  <w:noWrap w:val="0"/>
                  <w:vAlign w:val="center"/>
                </w:tcPr>
                <w:p w14:paraId="267268EF">
                  <w:pPr>
                    <w:spacing w:line="240" w:lineRule="auto"/>
                    <w:ind w:firstLine="0" w:firstLineChars="0"/>
                    <w:jc w:val="center"/>
                    <w:rPr>
                      <w:color w:val="auto"/>
                      <w:sz w:val="21"/>
                      <w:szCs w:val="21"/>
                      <w:u w:val="none" w:color="auto"/>
                    </w:rPr>
                  </w:pPr>
                  <w:r>
                    <w:rPr>
                      <w:rFonts w:hint="eastAsia"/>
                      <w:color w:val="auto"/>
                      <w:sz w:val="21"/>
                      <w:szCs w:val="21"/>
                      <w:u w:val="none" w:color="auto"/>
                    </w:rPr>
                    <w:t>标志类型</w:t>
                  </w:r>
                </w:p>
              </w:tc>
              <w:tc>
                <w:tcPr>
                  <w:tcW w:w="1249" w:type="pct"/>
                  <w:noWrap w:val="0"/>
                  <w:vAlign w:val="center"/>
                </w:tcPr>
                <w:p w14:paraId="27918B00">
                  <w:pPr>
                    <w:spacing w:line="240" w:lineRule="auto"/>
                    <w:ind w:firstLine="0" w:firstLineChars="0"/>
                    <w:jc w:val="center"/>
                    <w:rPr>
                      <w:color w:val="auto"/>
                      <w:sz w:val="21"/>
                      <w:szCs w:val="21"/>
                      <w:u w:val="none" w:color="auto"/>
                    </w:rPr>
                  </w:pPr>
                  <w:r>
                    <w:rPr>
                      <w:rFonts w:hint="eastAsia"/>
                      <w:color w:val="auto"/>
                      <w:sz w:val="21"/>
                      <w:szCs w:val="21"/>
                      <w:u w:val="none" w:color="auto"/>
                    </w:rPr>
                    <w:t>形状</w:t>
                  </w:r>
                </w:p>
              </w:tc>
              <w:tc>
                <w:tcPr>
                  <w:tcW w:w="1249" w:type="pct"/>
                  <w:noWrap w:val="0"/>
                  <w:vAlign w:val="center"/>
                </w:tcPr>
                <w:p w14:paraId="149516C8">
                  <w:pPr>
                    <w:spacing w:line="240" w:lineRule="auto"/>
                    <w:ind w:firstLine="0" w:firstLineChars="0"/>
                    <w:jc w:val="center"/>
                    <w:rPr>
                      <w:color w:val="auto"/>
                      <w:sz w:val="21"/>
                      <w:szCs w:val="21"/>
                      <w:u w:val="none" w:color="auto"/>
                    </w:rPr>
                  </w:pPr>
                  <w:r>
                    <w:rPr>
                      <w:rFonts w:hint="eastAsia"/>
                      <w:color w:val="auto"/>
                      <w:sz w:val="21"/>
                      <w:szCs w:val="21"/>
                      <w:u w:val="none" w:color="auto"/>
                    </w:rPr>
                    <w:t>背景颜色</w:t>
                  </w:r>
                </w:p>
              </w:tc>
              <w:tc>
                <w:tcPr>
                  <w:tcW w:w="1251" w:type="pct"/>
                  <w:noWrap w:val="0"/>
                  <w:vAlign w:val="center"/>
                </w:tcPr>
                <w:p w14:paraId="3BA7F83C">
                  <w:pPr>
                    <w:spacing w:line="240" w:lineRule="auto"/>
                    <w:ind w:firstLine="0" w:firstLineChars="0"/>
                    <w:jc w:val="center"/>
                    <w:rPr>
                      <w:color w:val="auto"/>
                      <w:sz w:val="21"/>
                      <w:szCs w:val="21"/>
                      <w:u w:val="none" w:color="auto"/>
                    </w:rPr>
                  </w:pPr>
                  <w:r>
                    <w:rPr>
                      <w:rFonts w:hint="eastAsia"/>
                      <w:color w:val="auto"/>
                      <w:sz w:val="21"/>
                      <w:szCs w:val="21"/>
                      <w:u w:val="none" w:color="auto"/>
                    </w:rPr>
                    <w:t>图形颜色</w:t>
                  </w:r>
                </w:p>
              </w:tc>
            </w:tr>
            <w:tr w14:paraId="6886D6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49" w:type="pct"/>
                  <w:noWrap w:val="0"/>
                  <w:vAlign w:val="center"/>
                </w:tcPr>
                <w:p w14:paraId="4B6E2CFA">
                  <w:pPr>
                    <w:spacing w:line="240" w:lineRule="auto"/>
                    <w:ind w:firstLine="0" w:firstLineChars="0"/>
                    <w:jc w:val="center"/>
                    <w:rPr>
                      <w:color w:val="auto"/>
                      <w:sz w:val="21"/>
                      <w:szCs w:val="21"/>
                      <w:u w:val="none" w:color="auto"/>
                    </w:rPr>
                  </w:pPr>
                  <w:r>
                    <w:rPr>
                      <w:rFonts w:hint="eastAsia"/>
                      <w:color w:val="auto"/>
                      <w:sz w:val="21"/>
                      <w:szCs w:val="21"/>
                      <w:u w:val="none" w:color="auto"/>
                    </w:rPr>
                    <w:t>警告</w:t>
                  </w:r>
                </w:p>
              </w:tc>
              <w:tc>
                <w:tcPr>
                  <w:tcW w:w="1249" w:type="pct"/>
                  <w:noWrap w:val="0"/>
                  <w:vAlign w:val="center"/>
                </w:tcPr>
                <w:p w14:paraId="2DD96080">
                  <w:pPr>
                    <w:spacing w:line="240" w:lineRule="auto"/>
                    <w:ind w:firstLine="0" w:firstLineChars="0"/>
                    <w:jc w:val="center"/>
                    <w:rPr>
                      <w:color w:val="auto"/>
                      <w:sz w:val="21"/>
                      <w:szCs w:val="21"/>
                      <w:u w:val="none" w:color="auto"/>
                    </w:rPr>
                  </w:pPr>
                  <w:r>
                    <w:rPr>
                      <w:rFonts w:hint="eastAsia"/>
                      <w:color w:val="auto"/>
                      <w:sz w:val="21"/>
                      <w:szCs w:val="21"/>
                      <w:u w:val="none" w:color="auto"/>
                    </w:rPr>
                    <w:t>三角形边框</w:t>
                  </w:r>
                </w:p>
              </w:tc>
              <w:tc>
                <w:tcPr>
                  <w:tcW w:w="1249" w:type="pct"/>
                  <w:noWrap w:val="0"/>
                  <w:vAlign w:val="center"/>
                </w:tcPr>
                <w:p w14:paraId="3E80FFA2">
                  <w:pPr>
                    <w:spacing w:line="240" w:lineRule="auto"/>
                    <w:ind w:firstLine="0" w:firstLineChars="0"/>
                    <w:jc w:val="center"/>
                    <w:rPr>
                      <w:color w:val="auto"/>
                      <w:sz w:val="21"/>
                      <w:szCs w:val="21"/>
                      <w:u w:val="none" w:color="auto"/>
                    </w:rPr>
                  </w:pPr>
                  <w:r>
                    <w:rPr>
                      <w:rFonts w:hint="eastAsia"/>
                      <w:color w:val="auto"/>
                      <w:sz w:val="21"/>
                      <w:szCs w:val="21"/>
                      <w:u w:val="none" w:color="auto"/>
                    </w:rPr>
                    <w:t>黄色</w:t>
                  </w:r>
                </w:p>
              </w:tc>
              <w:tc>
                <w:tcPr>
                  <w:tcW w:w="1251" w:type="pct"/>
                  <w:noWrap w:val="0"/>
                  <w:vAlign w:val="center"/>
                </w:tcPr>
                <w:p w14:paraId="25D9BFD2">
                  <w:pPr>
                    <w:spacing w:line="240" w:lineRule="auto"/>
                    <w:ind w:firstLine="0" w:firstLineChars="0"/>
                    <w:jc w:val="center"/>
                    <w:rPr>
                      <w:color w:val="auto"/>
                      <w:sz w:val="21"/>
                      <w:szCs w:val="21"/>
                      <w:u w:val="none" w:color="auto"/>
                    </w:rPr>
                  </w:pPr>
                  <w:r>
                    <w:rPr>
                      <w:rFonts w:hint="eastAsia"/>
                      <w:color w:val="auto"/>
                      <w:sz w:val="21"/>
                      <w:szCs w:val="21"/>
                      <w:u w:val="none" w:color="auto"/>
                    </w:rPr>
                    <w:t>黑色</w:t>
                  </w:r>
                </w:p>
              </w:tc>
            </w:tr>
            <w:tr w14:paraId="34F1D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49" w:type="pct"/>
                  <w:noWrap w:val="0"/>
                  <w:vAlign w:val="center"/>
                </w:tcPr>
                <w:p w14:paraId="1A920054">
                  <w:pPr>
                    <w:spacing w:line="240" w:lineRule="auto"/>
                    <w:ind w:firstLine="0" w:firstLineChars="0"/>
                    <w:jc w:val="center"/>
                    <w:rPr>
                      <w:color w:val="auto"/>
                      <w:sz w:val="21"/>
                      <w:szCs w:val="21"/>
                      <w:u w:val="none" w:color="auto"/>
                    </w:rPr>
                  </w:pPr>
                  <w:r>
                    <w:rPr>
                      <w:rFonts w:hint="eastAsia"/>
                      <w:color w:val="auto"/>
                      <w:sz w:val="21"/>
                      <w:szCs w:val="21"/>
                      <w:u w:val="none" w:color="auto"/>
                    </w:rPr>
                    <w:t>提示标志</w:t>
                  </w:r>
                </w:p>
              </w:tc>
              <w:tc>
                <w:tcPr>
                  <w:tcW w:w="1249" w:type="pct"/>
                  <w:noWrap w:val="0"/>
                  <w:vAlign w:val="center"/>
                </w:tcPr>
                <w:p w14:paraId="5843E37D">
                  <w:pPr>
                    <w:spacing w:line="240" w:lineRule="auto"/>
                    <w:ind w:firstLine="0" w:firstLineChars="0"/>
                    <w:jc w:val="center"/>
                    <w:rPr>
                      <w:color w:val="auto"/>
                      <w:sz w:val="21"/>
                      <w:szCs w:val="21"/>
                      <w:u w:val="none" w:color="auto"/>
                    </w:rPr>
                  </w:pPr>
                  <w:r>
                    <w:rPr>
                      <w:rFonts w:hint="eastAsia"/>
                      <w:color w:val="auto"/>
                      <w:sz w:val="21"/>
                      <w:szCs w:val="21"/>
                      <w:u w:val="none" w:color="auto"/>
                    </w:rPr>
                    <w:t>正方形边框</w:t>
                  </w:r>
                </w:p>
              </w:tc>
              <w:tc>
                <w:tcPr>
                  <w:tcW w:w="1249" w:type="pct"/>
                  <w:noWrap w:val="0"/>
                  <w:vAlign w:val="center"/>
                </w:tcPr>
                <w:p w14:paraId="46A7CC46">
                  <w:pPr>
                    <w:spacing w:line="240" w:lineRule="auto"/>
                    <w:ind w:firstLine="0" w:firstLineChars="0"/>
                    <w:jc w:val="center"/>
                    <w:rPr>
                      <w:color w:val="auto"/>
                      <w:sz w:val="21"/>
                      <w:szCs w:val="21"/>
                      <w:u w:val="none" w:color="auto"/>
                    </w:rPr>
                  </w:pPr>
                  <w:r>
                    <w:rPr>
                      <w:rFonts w:hint="eastAsia"/>
                      <w:color w:val="auto"/>
                      <w:sz w:val="21"/>
                      <w:szCs w:val="21"/>
                      <w:u w:val="none" w:color="auto"/>
                    </w:rPr>
                    <w:t>绿化</w:t>
                  </w:r>
                </w:p>
              </w:tc>
              <w:tc>
                <w:tcPr>
                  <w:tcW w:w="1251" w:type="pct"/>
                  <w:noWrap w:val="0"/>
                  <w:vAlign w:val="center"/>
                </w:tcPr>
                <w:p w14:paraId="775CB3BE">
                  <w:pPr>
                    <w:spacing w:line="240" w:lineRule="auto"/>
                    <w:ind w:firstLine="0" w:firstLineChars="0"/>
                    <w:jc w:val="center"/>
                    <w:rPr>
                      <w:color w:val="auto"/>
                      <w:sz w:val="21"/>
                      <w:szCs w:val="21"/>
                      <w:u w:val="none" w:color="auto"/>
                    </w:rPr>
                  </w:pPr>
                  <w:r>
                    <w:rPr>
                      <w:rFonts w:hint="eastAsia"/>
                      <w:color w:val="auto"/>
                      <w:sz w:val="21"/>
                      <w:szCs w:val="21"/>
                      <w:u w:val="none" w:color="auto"/>
                    </w:rPr>
                    <w:t>白色</w:t>
                  </w:r>
                </w:p>
              </w:tc>
            </w:tr>
          </w:tbl>
          <w:p w14:paraId="357D6BDE">
            <w:pPr>
              <w:ind w:firstLine="480"/>
              <w:rPr>
                <w:color w:val="auto"/>
                <w:u w:val="none" w:color="auto"/>
              </w:rPr>
            </w:pPr>
            <w:r>
              <w:rPr>
                <w:rFonts w:hint="eastAsia"/>
                <w:color w:val="auto"/>
                <w:u w:val="none" w:color="auto"/>
              </w:rPr>
              <w:t>标志牌设置位置在排污口（采样点）附近且醒目处，高度为标志牌上缘离地面2米。排污口附近1米范围内有建筑物的，设平面式标志牌，无建筑物的设立式标志牌。</w:t>
            </w:r>
          </w:p>
          <w:p w14:paraId="4026A3D6">
            <w:pPr>
              <w:ind w:firstLine="480"/>
              <w:rPr>
                <w:color w:val="auto"/>
                <w:u w:val="none" w:color="auto"/>
              </w:rPr>
            </w:pPr>
            <w:r>
              <w:rPr>
                <w:rFonts w:hint="eastAsia"/>
                <w:color w:val="auto"/>
                <w:u w:val="none" w:color="auto"/>
              </w:rPr>
              <w:t>⑥排污口建档要求</w:t>
            </w:r>
          </w:p>
          <w:p w14:paraId="5C9B0616">
            <w:pPr>
              <w:ind w:firstLine="480"/>
              <w:rPr>
                <w:color w:val="auto"/>
                <w:u w:val="none" w:color="auto"/>
              </w:rPr>
            </w:pPr>
            <w:r>
              <w:rPr>
                <w:rFonts w:hint="eastAsia"/>
                <w:color w:val="auto"/>
                <w:u w:val="none" w:color="auto"/>
              </w:rPr>
              <w:t>要求使用生态环境部统一印刷的《中华人民共和国规范化排污口标志登记证》，并按要求填写有关内容；根据排污口管理档案内容要求，项目建成后，应将主要污染物种类、数量、浓度、排放去向、达标情况及设施运行情况</w:t>
            </w:r>
            <w:r>
              <w:rPr>
                <w:rFonts w:hint="eastAsia"/>
                <w:color w:val="auto"/>
                <w:u w:val="none" w:color="auto"/>
                <w:lang w:eastAsia="zh-CN"/>
              </w:rPr>
              <w:t>记录</w:t>
            </w:r>
            <w:r>
              <w:rPr>
                <w:rFonts w:hint="eastAsia"/>
                <w:color w:val="auto"/>
                <w:u w:val="none" w:color="auto"/>
              </w:rPr>
              <w:t>于档案。</w:t>
            </w:r>
          </w:p>
          <w:p w14:paraId="62655CC7">
            <w:pPr>
              <w:ind w:firstLine="480"/>
              <w:rPr>
                <w:color w:val="auto"/>
                <w:u w:val="none" w:color="auto"/>
              </w:rPr>
            </w:pPr>
            <w:r>
              <w:rPr>
                <w:rFonts w:hint="eastAsia"/>
                <w:color w:val="auto"/>
                <w:u w:val="none" w:color="auto"/>
              </w:rPr>
              <w:t>（4）负责项目环境保护竣工验收工作。</w:t>
            </w:r>
          </w:p>
          <w:p w14:paraId="7187E7C0">
            <w:pPr>
              <w:ind w:firstLine="480"/>
              <w:rPr>
                <w:color w:val="auto"/>
                <w:u w:val="none" w:color="auto"/>
              </w:rPr>
            </w:pPr>
            <w:r>
              <w:rPr>
                <w:rFonts w:hint="eastAsia"/>
                <w:color w:val="auto"/>
                <w:u w:val="none" w:color="auto"/>
              </w:rPr>
              <w:t>按照《建设项目竣工环境保护验收暂行办法》（国环规环评[2017]4号）要求</w:t>
            </w:r>
            <w:r>
              <w:rPr>
                <w:rFonts w:hint="eastAsia"/>
                <w:color w:val="auto"/>
                <w:u w:val="none" w:color="auto"/>
                <w:lang w:eastAsia="zh-CN"/>
              </w:rPr>
              <w:t>，尽快</w:t>
            </w:r>
            <w:r>
              <w:rPr>
                <w:rFonts w:hint="eastAsia"/>
                <w:color w:val="auto"/>
                <w:u w:val="none" w:color="auto"/>
              </w:rPr>
              <w:t>组织本项目竣工环境保护验收工作；本工程应建立以企业总经理领导，专职环保职能科室负责企业的环境档案管理，制定各项环保计划并监督实施，对厂区排污实行全程控制的监管，确保环保计划的实施和各项污染物的达标排放。</w:t>
            </w:r>
          </w:p>
          <w:p w14:paraId="4AF1AED4">
            <w:pPr>
              <w:ind w:firstLine="480"/>
              <w:rPr>
                <w:color w:val="auto"/>
                <w:u w:val="none" w:color="auto"/>
              </w:rPr>
            </w:pPr>
            <w:r>
              <w:rPr>
                <w:rFonts w:hint="eastAsia"/>
                <w:color w:val="auto"/>
                <w:u w:val="none" w:color="auto"/>
              </w:rPr>
              <w:t>（5）建立环境管理台账</w:t>
            </w:r>
          </w:p>
          <w:p w14:paraId="30E9AF3D">
            <w:pPr>
              <w:ind w:firstLine="480"/>
              <w:rPr>
                <w:color w:val="auto"/>
                <w:u w:val="none" w:color="auto"/>
              </w:rPr>
            </w:pPr>
            <w:r>
              <w:rPr>
                <w:rFonts w:hint="eastAsia"/>
                <w:color w:val="auto"/>
                <w:u w:val="none" w:color="auto"/>
              </w:rPr>
              <w:t>环境管理台账，指排污单位根据排污许可证的规定，对自行监测、落实各项环境管理要求等行为的具体记录。</w:t>
            </w:r>
          </w:p>
          <w:p w14:paraId="78422E9F">
            <w:pPr>
              <w:ind w:firstLine="480"/>
              <w:rPr>
                <w:color w:val="auto"/>
                <w:u w:val="none" w:color="auto"/>
              </w:rPr>
            </w:pPr>
            <w:r>
              <w:rPr>
                <w:rFonts w:hint="eastAsia"/>
                <w:color w:val="auto"/>
                <w:u w:val="none" w:color="auto"/>
              </w:rPr>
              <w:t>排污单位应建立环境管理台账记录制度，设置专职人员进行台账的记录、整理、维护和管理，并对环境管理台账的真实性、完整性和规范性负责。</w:t>
            </w:r>
          </w:p>
          <w:p w14:paraId="7D1A3885">
            <w:pPr>
              <w:ind w:firstLine="480"/>
              <w:rPr>
                <w:color w:val="auto"/>
                <w:u w:val="none" w:color="auto"/>
              </w:rPr>
            </w:pPr>
            <w:r>
              <w:rPr>
                <w:rFonts w:hint="eastAsia"/>
                <w:color w:val="auto"/>
                <w:u w:val="none" w:color="auto"/>
              </w:rPr>
              <w:t>环境管理台账的编制要求按照《排污单位环境管理台账及排污许可证执行报告技术规范总则</w:t>
            </w:r>
            <w:r>
              <w:rPr>
                <w:rFonts w:hint="eastAsia"/>
                <w:color w:val="auto"/>
                <w:u w:val="none" w:color="auto"/>
                <w:lang w:eastAsia="zh-CN"/>
              </w:rPr>
              <w:t>（</w:t>
            </w:r>
            <w:r>
              <w:rPr>
                <w:rFonts w:hint="eastAsia"/>
                <w:color w:val="auto"/>
                <w:u w:val="none" w:color="auto"/>
              </w:rPr>
              <w:t>试行</w:t>
            </w:r>
            <w:r>
              <w:rPr>
                <w:rFonts w:hint="eastAsia"/>
                <w:color w:val="auto"/>
                <w:u w:val="none" w:color="auto"/>
                <w:lang w:eastAsia="zh-CN"/>
              </w:rPr>
              <w:t>）</w:t>
            </w:r>
            <w:r>
              <w:rPr>
                <w:rFonts w:hint="eastAsia"/>
                <w:color w:val="auto"/>
                <w:u w:val="none" w:color="auto"/>
              </w:rPr>
              <w:t>》（HJ944-2018）执行，该技术规范规定了排污单位环境管理台账记录形式、记录内容、记录频次和记录保存的一般要求。</w:t>
            </w:r>
          </w:p>
          <w:p w14:paraId="29800500">
            <w:pPr>
              <w:ind w:firstLine="480"/>
              <w:rPr>
                <w:color w:val="auto"/>
                <w:u w:val="none" w:color="auto"/>
              </w:rPr>
            </w:pPr>
            <w:r>
              <w:rPr>
                <w:rFonts w:hint="eastAsia"/>
                <w:color w:val="auto"/>
                <w:u w:val="none" w:color="auto"/>
              </w:rPr>
              <w:t>环境管理台账记录形式分为电子台账和纸质台账两种形式，保存时间原则上不低于3年。</w:t>
            </w:r>
          </w:p>
          <w:p w14:paraId="17F79E64">
            <w:pPr>
              <w:ind w:firstLine="480"/>
              <w:rPr>
                <w:color w:val="auto"/>
                <w:u w:val="none" w:color="auto"/>
              </w:rPr>
            </w:pPr>
            <w:r>
              <w:rPr>
                <w:rFonts w:hint="eastAsia"/>
                <w:color w:val="auto"/>
                <w:u w:val="none" w:color="auto"/>
              </w:rPr>
              <w:t>环境管理台账记录内容包括基本信息、生产设施运行管理信息、污染防治设施运行管理信息、监测记录信息及其他环境管理信息等。生产设施、污染防治设施、排放口编码应与排污许可证副本中载明的编码一致。记录频次和记录内容要满足排污许可证的各项环境管理要求。</w:t>
            </w:r>
          </w:p>
          <w:p w14:paraId="44C43F91">
            <w:pPr>
              <w:ind w:firstLine="482"/>
              <w:rPr>
                <w:rFonts w:hint="eastAsia"/>
                <w:b/>
                <w:bCs/>
                <w:color w:val="auto"/>
                <w:u w:val="none" w:color="auto"/>
              </w:rPr>
            </w:pPr>
            <w:r>
              <w:rPr>
                <w:rFonts w:hint="eastAsia"/>
                <w:b/>
                <w:bCs/>
                <w:color w:val="auto"/>
                <w:u w:val="none" w:color="auto"/>
              </w:rPr>
              <w:t>（九）应急预案</w:t>
            </w:r>
          </w:p>
          <w:p w14:paraId="1F93D801">
            <w:pPr>
              <w:ind w:firstLine="480"/>
              <w:rPr>
                <w:color w:val="auto"/>
                <w:u w:val="none" w:color="auto"/>
              </w:rPr>
            </w:pPr>
            <w:r>
              <w:rPr>
                <w:rFonts w:hint="eastAsia"/>
                <w:color w:val="auto"/>
                <w:u w:val="none" w:color="auto"/>
              </w:rPr>
              <w:t>评价要求项目按照</w:t>
            </w:r>
            <w:r>
              <w:rPr>
                <w:rFonts w:hint="default" w:ascii="Times New Roman" w:hAnsi="Times New Roman" w:eastAsia="宋体" w:cs="Times New Roman"/>
                <w:color w:val="auto"/>
                <w:sz w:val="24"/>
                <w:u w:val="none" w:color="auto"/>
              </w:rPr>
              <w:t>《</w:t>
            </w:r>
            <w:r>
              <w:rPr>
                <w:rFonts w:hint="default" w:ascii="Times New Roman" w:hAnsi="Times New Roman" w:eastAsia="宋体" w:cs="Times New Roman"/>
                <w:color w:val="auto"/>
                <w:sz w:val="24"/>
                <w:u w:val="none" w:color="auto"/>
                <w:lang w:val="en-US" w:eastAsia="zh-CN"/>
              </w:rPr>
              <w:t>湖南省突发环境事件应急预案管理办法（修订版）</w:t>
            </w:r>
            <w:r>
              <w:rPr>
                <w:rFonts w:hint="default" w:ascii="Times New Roman" w:hAnsi="Times New Roman" w:eastAsia="宋体" w:cs="Times New Roman"/>
                <w:color w:val="auto"/>
                <w:sz w:val="24"/>
                <w:u w:val="none" w:color="auto"/>
              </w:rPr>
              <w:t>》(</w:t>
            </w:r>
            <w:r>
              <w:rPr>
                <w:rFonts w:hint="default" w:ascii="Times New Roman" w:hAnsi="Times New Roman" w:eastAsia="宋体" w:cs="Times New Roman"/>
                <w:color w:val="auto"/>
                <w:sz w:val="24"/>
                <w:u w:val="none" w:color="auto"/>
                <w:lang w:eastAsia="zh-CN"/>
              </w:rPr>
              <w:t>湘环发〔</w:t>
            </w:r>
            <w:r>
              <w:rPr>
                <w:rFonts w:hint="default" w:ascii="Times New Roman" w:hAnsi="Times New Roman" w:eastAsia="宋体" w:cs="Times New Roman"/>
                <w:color w:val="auto"/>
                <w:sz w:val="24"/>
                <w:u w:val="none" w:color="auto"/>
                <w:lang w:val="en-US" w:eastAsia="zh-CN"/>
              </w:rPr>
              <w:t>2024</w:t>
            </w:r>
            <w:r>
              <w:rPr>
                <w:rFonts w:hint="default" w:ascii="Times New Roman" w:hAnsi="Times New Roman" w:eastAsia="宋体" w:cs="Times New Roman"/>
                <w:color w:val="auto"/>
                <w:sz w:val="24"/>
                <w:u w:val="none" w:color="auto"/>
                <w:lang w:eastAsia="zh-CN"/>
              </w:rPr>
              <w:t>〕</w:t>
            </w:r>
            <w:r>
              <w:rPr>
                <w:rFonts w:hint="default" w:ascii="Times New Roman" w:hAnsi="Times New Roman" w:eastAsia="宋体" w:cs="Times New Roman"/>
                <w:color w:val="auto"/>
                <w:sz w:val="24"/>
                <w:u w:val="none" w:color="auto"/>
                <w:lang w:val="en-US" w:eastAsia="zh-CN"/>
              </w:rPr>
              <w:t>49号</w:t>
            </w:r>
            <w:r>
              <w:rPr>
                <w:rFonts w:hint="default" w:ascii="Times New Roman" w:hAnsi="Times New Roman" w:eastAsia="宋体" w:cs="Times New Roman"/>
                <w:color w:val="auto"/>
                <w:sz w:val="24"/>
                <w:u w:val="none" w:color="auto"/>
              </w:rPr>
              <w:t>)</w:t>
            </w:r>
            <w:r>
              <w:rPr>
                <w:rFonts w:hint="eastAsia"/>
                <w:color w:val="auto"/>
                <w:u w:val="none" w:color="auto"/>
              </w:rPr>
              <w:t>有关规定编制</w:t>
            </w:r>
            <w:r>
              <w:rPr>
                <w:rFonts w:hint="eastAsia"/>
                <w:color w:val="auto"/>
                <w:u w:val="none" w:color="auto"/>
                <w:lang w:val="en-US" w:eastAsia="zh-CN"/>
              </w:rPr>
              <w:t>企事业单位突发环境事件</w:t>
            </w:r>
            <w:r>
              <w:rPr>
                <w:rFonts w:hint="eastAsia"/>
                <w:color w:val="auto"/>
                <w:u w:val="none" w:color="auto"/>
              </w:rPr>
              <w:t>应急预案，该应急预案主要内容汇总见表4-</w:t>
            </w:r>
            <w:r>
              <w:rPr>
                <w:rFonts w:hint="eastAsia"/>
                <w:color w:val="auto"/>
                <w:u w:val="none" w:color="auto"/>
                <w:lang w:val="en-US" w:eastAsia="zh-CN"/>
              </w:rPr>
              <w:t>19</w:t>
            </w:r>
            <w:r>
              <w:rPr>
                <w:rFonts w:hint="eastAsia"/>
                <w:color w:val="auto"/>
                <w:u w:val="none" w:color="auto"/>
              </w:rPr>
              <w:t>。</w:t>
            </w:r>
          </w:p>
          <w:p w14:paraId="2C697862">
            <w:pPr>
              <w:spacing w:line="240" w:lineRule="auto"/>
              <w:ind w:firstLine="422"/>
              <w:jc w:val="center"/>
              <w:rPr>
                <w:b/>
                <w:bCs/>
                <w:color w:val="auto"/>
                <w:sz w:val="21"/>
                <w:szCs w:val="21"/>
                <w:u w:val="none" w:color="auto"/>
              </w:rPr>
            </w:pPr>
            <w:r>
              <w:rPr>
                <w:rFonts w:hint="eastAsia"/>
                <w:b/>
                <w:bCs/>
                <w:color w:val="auto"/>
                <w:sz w:val="21"/>
                <w:szCs w:val="21"/>
                <w:u w:val="none" w:color="auto"/>
              </w:rPr>
              <w:t>表4-</w:t>
            </w:r>
            <w:r>
              <w:rPr>
                <w:rFonts w:hint="eastAsia"/>
                <w:b/>
                <w:bCs/>
                <w:color w:val="auto"/>
                <w:sz w:val="21"/>
                <w:szCs w:val="21"/>
                <w:u w:val="none" w:color="auto"/>
                <w:lang w:val="en-US" w:eastAsia="zh-CN"/>
              </w:rPr>
              <w:t>19</w:t>
            </w:r>
            <w:r>
              <w:rPr>
                <w:rFonts w:hint="eastAsia"/>
                <w:b/>
                <w:bCs/>
                <w:color w:val="auto"/>
                <w:sz w:val="21"/>
                <w:szCs w:val="21"/>
                <w:u w:val="none" w:color="auto"/>
              </w:rPr>
              <w:t>应急预案主要内容汇总表</w:t>
            </w:r>
          </w:p>
          <w:tbl>
            <w:tblPr>
              <w:tblStyle w:val="28"/>
              <w:tblW w:w="8306" w:type="dxa"/>
              <w:tblInd w:w="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66"/>
              <w:gridCol w:w="2212"/>
              <w:gridCol w:w="5528"/>
            </w:tblGrid>
            <w:tr w14:paraId="18FE2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566" w:type="dxa"/>
                  <w:noWrap w:val="0"/>
                  <w:vAlign w:val="center"/>
                </w:tcPr>
                <w:p w14:paraId="4501B478">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序号</w:t>
                  </w:r>
                </w:p>
              </w:tc>
              <w:tc>
                <w:tcPr>
                  <w:tcW w:w="2212" w:type="dxa"/>
                  <w:noWrap w:val="0"/>
                  <w:vAlign w:val="center"/>
                </w:tcPr>
                <w:p w14:paraId="01029BB4">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项目</w:t>
                  </w:r>
                </w:p>
              </w:tc>
              <w:tc>
                <w:tcPr>
                  <w:tcW w:w="5528" w:type="dxa"/>
                  <w:noWrap w:val="0"/>
                  <w:vAlign w:val="center"/>
                </w:tcPr>
                <w:p w14:paraId="2B6CCEB6">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内容及要求</w:t>
                  </w:r>
                </w:p>
              </w:tc>
            </w:tr>
            <w:tr w14:paraId="23E87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566" w:type="dxa"/>
                  <w:noWrap w:val="0"/>
                  <w:vAlign w:val="center"/>
                </w:tcPr>
                <w:p w14:paraId="09FA0D60">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1</w:t>
                  </w:r>
                </w:p>
              </w:tc>
              <w:tc>
                <w:tcPr>
                  <w:tcW w:w="2212" w:type="dxa"/>
                  <w:noWrap w:val="0"/>
                  <w:vAlign w:val="center"/>
                </w:tcPr>
                <w:p w14:paraId="0081ED40">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应急计划区</w:t>
                  </w:r>
                </w:p>
              </w:tc>
              <w:tc>
                <w:tcPr>
                  <w:tcW w:w="5528" w:type="dxa"/>
                  <w:noWrap w:val="0"/>
                  <w:vAlign w:val="center"/>
                </w:tcPr>
                <w:p w14:paraId="03F5F05B">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危险目标：仓库区、生产车间、环境保护目标</w:t>
                  </w:r>
                </w:p>
                <w:p w14:paraId="37380736">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厂内：仓库、车间、检测室、配电房等</w:t>
                  </w:r>
                </w:p>
                <w:p w14:paraId="1DEBBABC">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厂外：交通要道等</w:t>
                  </w:r>
                </w:p>
              </w:tc>
            </w:tr>
            <w:tr w14:paraId="512898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566" w:type="dxa"/>
                  <w:noWrap w:val="0"/>
                  <w:vAlign w:val="center"/>
                </w:tcPr>
                <w:p w14:paraId="7B0ABF83">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2</w:t>
                  </w:r>
                </w:p>
              </w:tc>
              <w:tc>
                <w:tcPr>
                  <w:tcW w:w="2212" w:type="dxa"/>
                  <w:noWrap w:val="0"/>
                  <w:vAlign w:val="center"/>
                </w:tcPr>
                <w:p w14:paraId="2F47C6B9">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应急组织机构、人员</w:t>
                  </w:r>
                </w:p>
              </w:tc>
              <w:tc>
                <w:tcPr>
                  <w:tcW w:w="5528" w:type="dxa"/>
                  <w:noWrap w:val="0"/>
                  <w:vAlign w:val="center"/>
                </w:tcPr>
                <w:p w14:paraId="10A0B72C">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工厂应急组织机构、人员</w:t>
                  </w:r>
                </w:p>
              </w:tc>
            </w:tr>
            <w:tr w14:paraId="47B6C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566" w:type="dxa"/>
                  <w:noWrap w:val="0"/>
                  <w:vAlign w:val="center"/>
                </w:tcPr>
                <w:p w14:paraId="16F518A8">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3</w:t>
                  </w:r>
                </w:p>
              </w:tc>
              <w:tc>
                <w:tcPr>
                  <w:tcW w:w="2212" w:type="dxa"/>
                  <w:noWrap w:val="0"/>
                  <w:vAlign w:val="center"/>
                </w:tcPr>
                <w:p w14:paraId="0DEB1296">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预案分级响应条件</w:t>
                  </w:r>
                </w:p>
              </w:tc>
              <w:tc>
                <w:tcPr>
                  <w:tcW w:w="5528" w:type="dxa"/>
                  <w:noWrap w:val="0"/>
                  <w:vAlign w:val="center"/>
                </w:tcPr>
                <w:p w14:paraId="31B01A42">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规定预案级别分级响应程序</w:t>
                  </w:r>
                </w:p>
              </w:tc>
            </w:tr>
            <w:tr w14:paraId="6C3CC8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566" w:type="dxa"/>
                  <w:noWrap w:val="0"/>
                  <w:vAlign w:val="center"/>
                </w:tcPr>
                <w:p w14:paraId="37D87F92">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4</w:t>
                  </w:r>
                </w:p>
              </w:tc>
              <w:tc>
                <w:tcPr>
                  <w:tcW w:w="2212" w:type="dxa"/>
                  <w:noWrap w:val="0"/>
                  <w:vAlign w:val="center"/>
                </w:tcPr>
                <w:p w14:paraId="007C10BC">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应急救援保障</w:t>
                  </w:r>
                </w:p>
              </w:tc>
              <w:tc>
                <w:tcPr>
                  <w:tcW w:w="5528" w:type="dxa"/>
                  <w:noWrap w:val="0"/>
                  <w:vAlign w:val="center"/>
                </w:tcPr>
                <w:p w14:paraId="6CB1F1CF">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应急设施、设备与器材</w:t>
                  </w:r>
                </w:p>
              </w:tc>
            </w:tr>
            <w:tr w14:paraId="480885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566" w:type="dxa"/>
                  <w:noWrap w:val="0"/>
                  <w:vAlign w:val="center"/>
                </w:tcPr>
                <w:p w14:paraId="0B9D5B9C">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5</w:t>
                  </w:r>
                </w:p>
              </w:tc>
              <w:tc>
                <w:tcPr>
                  <w:tcW w:w="2212" w:type="dxa"/>
                  <w:noWrap w:val="0"/>
                  <w:vAlign w:val="center"/>
                </w:tcPr>
                <w:p w14:paraId="3AD5C4E9">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报警、通讯联络方式</w:t>
                  </w:r>
                </w:p>
              </w:tc>
              <w:tc>
                <w:tcPr>
                  <w:tcW w:w="5528" w:type="dxa"/>
                  <w:noWrap w:val="0"/>
                  <w:vAlign w:val="center"/>
                </w:tcPr>
                <w:p w14:paraId="22BDAA89">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规定应急状态下的报警方式、通知方式和交通保障、管制等相关内容</w:t>
                  </w:r>
                </w:p>
              </w:tc>
            </w:tr>
            <w:tr w14:paraId="3C3FCB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566" w:type="dxa"/>
                  <w:noWrap w:val="0"/>
                  <w:vAlign w:val="center"/>
                </w:tcPr>
                <w:p w14:paraId="00DC2BC3">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6</w:t>
                  </w:r>
                </w:p>
              </w:tc>
              <w:tc>
                <w:tcPr>
                  <w:tcW w:w="2212" w:type="dxa"/>
                  <w:noWrap w:val="0"/>
                  <w:vAlign w:val="center"/>
                </w:tcPr>
                <w:p w14:paraId="5A102C3C">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应急环境监测、抢险、救援及控制措施</w:t>
                  </w:r>
                </w:p>
              </w:tc>
              <w:tc>
                <w:tcPr>
                  <w:tcW w:w="5528" w:type="dxa"/>
                  <w:noWrap w:val="0"/>
                  <w:vAlign w:val="center"/>
                </w:tcPr>
                <w:p w14:paraId="378598F4">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由专业队伍负责对事故现场进行监测，对事故性质、参数与后果进行评估，为指挥部门提供决策依据</w:t>
                  </w:r>
                </w:p>
              </w:tc>
            </w:tr>
            <w:tr w14:paraId="01135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566" w:type="dxa"/>
                  <w:noWrap w:val="0"/>
                  <w:vAlign w:val="center"/>
                </w:tcPr>
                <w:p w14:paraId="13D39C00">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7</w:t>
                  </w:r>
                </w:p>
              </w:tc>
              <w:tc>
                <w:tcPr>
                  <w:tcW w:w="2212" w:type="dxa"/>
                  <w:noWrap w:val="0"/>
                  <w:vAlign w:val="center"/>
                </w:tcPr>
                <w:p w14:paraId="3A961A95">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应急检测、防护措施、清除泄漏措施和器材</w:t>
                  </w:r>
                </w:p>
              </w:tc>
              <w:tc>
                <w:tcPr>
                  <w:tcW w:w="5528" w:type="dxa"/>
                  <w:noWrap w:val="0"/>
                  <w:vAlign w:val="center"/>
                </w:tcPr>
                <w:p w14:paraId="16419A04">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防火区域控制：事故现场邻近区域</w:t>
                  </w:r>
                </w:p>
                <w:p w14:paraId="6E56F78A">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清除污染措施：事故现场邻近区域</w:t>
                  </w:r>
                </w:p>
                <w:p w14:paraId="3F5FBACE">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清除污染设备及配置</w:t>
                  </w:r>
                </w:p>
              </w:tc>
            </w:tr>
            <w:tr w14:paraId="4E069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566" w:type="dxa"/>
                  <w:noWrap w:val="0"/>
                  <w:vAlign w:val="center"/>
                </w:tcPr>
                <w:p w14:paraId="219B3B45">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8</w:t>
                  </w:r>
                </w:p>
              </w:tc>
              <w:tc>
                <w:tcPr>
                  <w:tcW w:w="2212" w:type="dxa"/>
                  <w:noWrap w:val="0"/>
                  <w:vAlign w:val="center"/>
                </w:tcPr>
                <w:p w14:paraId="3259084D">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人员紧急撤离、疏散、应急剂量控制、撤离组织计划</w:t>
                  </w:r>
                </w:p>
              </w:tc>
              <w:tc>
                <w:tcPr>
                  <w:tcW w:w="5528" w:type="dxa"/>
                  <w:noWrap w:val="0"/>
                  <w:vAlign w:val="center"/>
                </w:tcPr>
                <w:p w14:paraId="345113D6">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毒物应急剂量控制规定：事故现场、工厂、邻近区</w:t>
                  </w:r>
                </w:p>
                <w:p w14:paraId="0D1F23B0">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撤离组织计划医疗救护公众健康</w:t>
                  </w:r>
                </w:p>
              </w:tc>
            </w:tr>
            <w:tr w14:paraId="53FCAA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566" w:type="dxa"/>
                  <w:noWrap w:val="0"/>
                  <w:vAlign w:val="center"/>
                </w:tcPr>
                <w:p w14:paraId="0EA2D282">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9</w:t>
                  </w:r>
                </w:p>
              </w:tc>
              <w:tc>
                <w:tcPr>
                  <w:tcW w:w="2212" w:type="dxa"/>
                  <w:noWrap w:val="0"/>
                  <w:vAlign w:val="center"/>
                </w:tcPr>
                <w:p w14:paraId="58CF66C9">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事故应急救援关闭程序</w:t>
                  </w:r>
                </w:p>
              </w:tc>
              <w:tc>
                <w:tcPr>
                  <w:tcW w:w="5528" w:type="dxa"/>
                  <w:noWrap w:val="0"/>
                  <w:vAlign w:val="center"/>
                </w:tcPr>
                <w:p w14:paraId="1F4C623B">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规定应急状态终止程序事故现场善后处理，恢复措施</w:t>
                  </w:r>
                </w:p>
                <w:p w14:paraId="29CCC714">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基地、邻近区域解除事故警戒及善后恢复措施</w:t>
                  </w:r>
                </w:p>
              </w:tc>
            </w:tr>
            <w:tr w14:paraId="5876C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566" w:type="dxa"/>
                  <w:noWrap w:val="0"/>
                  <w:vAlign w:val="center"/>
                </w:tcPr>
                <w:p w14:paraId="42753440">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10</w:t>
                  </w:r>
                </w:p>
              </w:tc>
              <w:tc>
                <w:tcPr>
                  <w:tcW w:w="2212" w:type="dxa"/>
                  <w:noWrap w:val="0"/>
                  <w:vAlign w:val="center"/>
                </w:tcPr>
                <w:p w14:paraId="7A03A799">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应急培训计划</w:t>
                  </w:r>
                </w:p>
              </w:tc>
              <w:tc>
                <w:tcPr>
                  <w:tcW w:w="5528" w:type="dxa"/>
                  <w:noWrap w:val="0"/>
                  <w:vAlign w:val="center"/>
                </w:tcPr>
                <w:p w14:paraId="1CA24612">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人员培训应急预案演练</w:t>
                  </w:r>
                </w:p>
              </w:tc>
            </w:tr>
            <w:tr w14:paraId="463E92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566" w:type="dxa"/>
                  <w:noWrap w:val="0"/>
                  <w:vAlign w:val="center"/>
                </w:tcPr>
                <w:p w14:paraId="336D9791">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11</w:t>
                  </w:r>
                </w:p>
              </w:tc>
              <w:tc>
                <w:tcPr>
                  <w:tcW w:w="2212" w:type="dxa"/>
                  <w:noWrap w:val="0"/>
                  <w:vAlign w:val="center"/>
                </w:tcPr>
                <w:p w14:paraId="09522871">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公众教育和信息</w:t>
                  </w:r>
                </w:p>
              </w:tc>
              <w:tc>
                <w:tcPr>
                  <w:tcW w:w="5528" w:type="dxa"/>
                  <w:noWrap w:val="0"/>
                  <w:vAlign w:val="center"/>
                </w:tcPr>
                <w:p w14:paraId="4238B52E">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和公众教育及发布</w:t>
                  </w:r>
                </w:p>
              </w:tc>
            </w:tr>
          </w:tbl>
          <w:p w14:paraId="660A73AD">
            <w:pPr>
              <w:ind w:firstLine="480"/>
              <w:rPr>
                <w:rFonts w:hint="eastAsia"/>
                <w:color w:val="auto"/>
                <w:u w:val="none" w:color="auto"/>
              </w:rPr>
            </w:pPr>
            <w:r>
              <w:rPr>
                <w:rFonts w:hint="eastAsia"/>
                <w:color w:val="auto"/>
                <w:u w:val="none" w:color="auto"/>
              </w:rPr>
              <w:t>在项目投入运行前办理相关安全生产手续（如开展</w:t>
            </w:r>
            <w:r>
              <w:rPr>
                <w:color w:val="auto"/>
                <w:u w:val="none" w:color="auto"/>
              </w:rPr>
              <w:t>危险化学品安全评价</w:t>
            </w:r>
            <w:r>
              <w:rPr>
                <w:rFonts w:hint="eastAsia"/>
                <w:color w:val="auto"/>
                <w:u w:val="none" w:color="auto"/>
              </w:rPr>
              <w:t>，</w:t>
            </w:r>
            <w:r>
              <w:rPr>
                <w:color w:val="auto"/>
                <w:u w:val="none" w:color="auto"/>
              </w:rPr>
              <w:t>通过安全设施竣工验收</w:t>
            </w:r>
            <w:r>
              <w:rPr>
                <w:rFonts w:hint="eastAsia"/>
                <w:color w:val="auto"/>
                <w:u w:val="none" w:color="auto"/>
              </w:rPr>
              <w:t>，取得</w:t>
            </w:r>
            <w:r>
              <w:rPr>
                <w:color w:val="auto"/>
                <w:u w:val="none" w:color="auto"/>
              </w:rPr>
              <w:t>安全生产许可证</w:t>
            </w:r>
            <w:r>
              <w:rPr>
                <w:rFonts w:hint="eastAsia"/>
                <w:color w:val="auto"/>
                <w:u w:val="none" w:color="auto"/>
              </w:rPr>
              <w:t>等），并进行“突发环境事件应急预案”备案。</w:t>
            </w:r>
          </w:p>
          <w:p w14:paraId="6D79E1B5">
            <w:pPr>
              <w:ind w:firstLine="482"/>
              <w:rPr>
                <w:rFonts w:hint="eastAsia"/>
                <w:b/>
                <w:bCs/>
                <w:color w:val="auto"/>
                <w:u w:val="none" w:color="auto"/>
              </w:rPr>
            </w:pPr>
            <w:r>
              <w:rPr>
                <w:rFonts w:hint="eastAsia"/>
                <w:b/>
                <w:bCs/>
                <w:color w:val="auto"/>
                <w:u w:val="none" w:color="auto"/>
              </w:rPr>
              <w:t>（</w:t>
            </w:r>
            <w:r>
              <w:rPr>
                <w:rFonts w:hint="eastAsia"/>
                <w:b/>
                <w:bCs/>
                <w:color w:val="auto"/>
                <w:u w:val="none" w:color="auto"/>
                <w:lang w:eastAsia="zh-CN"/>
              </w:rPr>
              <w:t>十</w:t>
            </w:r>
            <w:r>
              <w:rPr>
                <w:rFonts w:hint="eastAsia"/>
                <w:b/>
                <w:bCs/>
                <w:color w:val="auto"/>
                <w:u w:val="none" w:color="auto"/>
              </w:rPr>
              <w:t>）环保投资</w:t>
            </w:r>
          </w:p>
          <w:p w14:paraId="299780C6">
            <w:pPr>
              <w:ind w:firstLine="480"/>
              <w:rPr>
                <w:color w:val="auto"/>
                <w:u w:val="none" w:color="auto"/>
              </w:rPr>
            </w:pPr>
            <w:r>
              <w:rPr>
                <w:rFonts w:hint="eastAsia"/>
                <w:color w:val="auto"/>
                <w:u w:val="none" w:color="auto"/>
              </w:rPr>
              <w:t>项目总投资</w:t>
            </w:r>
            <w:r>
              <w:rPr>
                <w:rFonts w:hint="eastAsia"/>
                <w:color w:val="auto"/>
                <w:u w:val="none" w:color="auto"/>
                <w:lang w:val="en-US" w:eastAsia="zh-CN"/>
              </w:rPr>
              <w:t>2</w:t>
            </w:r>
            <w:r>
              <w:rPr>
                <w:rFonts w:hint="eastAsia"/>
                <w:color w:val="auto"/>
                <w:u w:val="none" w:color="auto"/>
              </w:rPr>
              <w:t>0000万元，其中用于本项目污染防治的投资约</w:t>
            </w:r>
            <w:r>
              <w:rPr>
                <w:rFonts w:hint="eastAsia"/>
                <w:color w:val="auto"/>
                <w:u w:val="none" w:color="auto"/>
                <w:lang w:eastAsia="zh-CN"/>
              </w:rPr>
              <w:t>91万元</w:t>
            </w:r>
            <w:r>
              <w:rPr>
                <w:rFonts w:hint="eastAsia"/>
                <w:color w:val="auto"/>
                <w:u w:val="none" w:color="auto"/>
              </w:rPr>
              <w:t>，占总投资的</w:t>
            </w:r>
            <w:r>
              <w:rPr>
                <w:rFonts w:hint="eastAsia"/>
                <w:color w:val="auto"/>
                <w:u w:val="none" w:color="auto"/>
                <w:lang w:eastAsia="zh-CN"/>
              </w:rPr>
              <w:t>0.</w:t>
            </w:r>
            <w:r>
              <w:rPr>
                <w:rFonts w:hint="eastAsia"/>
                <w:color w:val="auto"/>
                <w:u w:val="none" w:color="auto"/>
                <w:lang w:val="en-US" w:eastAsia="zh-CN"/>
              </w:rPr>
              <w:t>455</w:t>
            </w:r>
            <w:r>
              <w:rPr>
                <w:rFonts w:hint="eastAsia"/>
                <w:color w:val="auto"/>
                <w:u w:val="none" w:color="auto"/>
                <w:lang w:eastAsia="zh-CN"/>
              </w:rPr>
              <w:t>%</w:t>
            </w:r>
            <w:r>
              <w:rPr>
                <w:rFonts w:hint="eastAsia"/>
                <w:color w:val="auto"/>
                <w:u w:val="none" w:color="auto"/>
              </w:rPr>
              <w:t>，具体分析如下：</w:t>
            </w:r>
          </w:p>
          <w:p w14:paraId="1E51D8E0">
            <w:pPr>
              <w:spacing w:line="240" w:lineRule="auto"/>
              <w:ind w:firstLine="422"/>
              <w:jc w:val="center"/>
              <w:rPr>
                <w:b/>
                <w:bCs/>
                <w:color w:val="auto"/>
                <w:sz w:val="21"/>
                <w:szCs w:val="21"/>
                <w:u w:val="none" w:color="auto"/>
              </w:rPr>
            </w:pPr>
            <w:r>
              <w:rPr>
                <w:b/>
                <w:bCs/>
                <w:color w:val="auto"/>
                <w:sz w:val="21"/>
                <w:szCs w:val="21"/>
                <w:u w:val="none" w:color="auto"/>
              </w:rPr>
              <w:t>表</w:t>
            </w:r>
            <w:r>
              <w:rPr>
                <w:rFonts w:hint="eastAsia"/>
                <w:b/>
                <w:bCs/>
                <w:color w:val="auto"/>
                <w:sz w:val="21"/>
                <w:szCs w:val="21"/>
                <w:u w:val="none" w:color="auto"/>
              </w:rPr>
              <w:t>4-</w:t>
            </w:r>
            <w:r>
              <w:rPr>
                <w:rFonts w:hint="eastAsia"/>
                <w:b/>
                <w:bCs/>
                <w:color w:val="auto"/>
                <w:sz w:val="21"/>
                <w:szCs w:val="21"/>
                <w:u w:val="none" w:color="auto"/>
                <w:lang w:val="en-US" w:eastAsia="zh-CN"/>
              </w:rPr>
              <w:t>20</w:t>
            </w:r>
            <w:r>
              <w:rPr>
                <w:b/>
                <w:bCs/>
                <w:color w:val="auto"/>
                <w:sz w:val="21"/>
                <w:szCs w:val="21"/>
                <w:u w:val="none" w:color="auto"/>
              </w:rPr>
              <w:t>项目环保投资一览表</w:t>
            </w:r>
            <w:r>
              <w:rPr>
                <w:rFonts w:hint="eastAsia"/>
                <w:b/>
                <w:bCs/>
                <w:color w:val="auto"/>
                <w:sz w:val="21"/>
                <w:szCs w:val="21"/>
                <w:u w:val="none" w:color="auto"/>
                <w:lang w:val="en-US" w:eastAsia="zh-CN"/>
              </w:rPr>
              <w:t xml:space="preserve"> </w:t>
            </w:r>
            <w:r>
              <w:rPr>
                <w:b/>
                <w:bCs/>
                <w:color w:val="auto"/>
                <w:sz w:val="21"/>
                <w:szCs w:val="21"/>
                <w:u w:val="none" w:color="auto"/>
              </w:rPr>
              <w:t>单位：万元</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15"/>
              <w:gridCol w:w="1838"/>
              <w:gridCol w:w="3572"/>
              <w:gridCol w:w="922"/>
              <w:gridCol w:w="819"/>
            </w:tblGrid>
            <w:tr w14:paraId="5A33EE4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80" w:hRule="atLeast"/>
              </w:trPr>
              <w:tc>
                <w:tcPr>
                  <w:tcW w:w="674" w:type="pct"/>
                  <w:vMerge w:val="restart"/>
                  <w:noWrap w:val="0"/>
                  <w:vAlign w:val="center"/>
                </w:tcPr>
                <w:p w14:paraId="09C5BD48">
                  <w:pPr>
                    <w:widowControl/>
                    <w:spacing w:line="276" w:lineRule="auto"/>
                    <w:ind w:firstLine="0" w:firstLineChars="0"/>
                    <w:jc w:val="center"/>
                    <w:rPr>
                      <w:rFonts w:hint="eastAsia"/>
                      <w:color w:val="auto"/>
                      <w:sz w:val="21"/>
                      <w:szCs w:val="21"/>
                      <w:u w:val="none" w:color="auto"/>
                    </w:rPr>
                  </w:pPr>
                  <w:r>
                    <w:rPr>
                      <w:rFonts w:hint="eastAsia"/>
                      <w:color w:val="auto"/>
                      <w:sz w:val="21"/>
                      <w:szCs w:val="21"/>
                      <w:u w:val="none" w:color="auto"/>
                    </w:rPr>
                    <w:t>治理项目</w:t>
                  </w:r>
                </w:p>
              </w:tc>
              <w:tc>
                <w:tcPr>
                  <w:tcW w:w="1111" w:type="pct"/>
                  <w:vMerge w:val="restart"/>
                  <w:noWrap w:val="0"/>
                  <w:vAlign w:val="center"/>
                </w:tcPr>
                <w:p w14:paraId="797C8A7F">
                  <w:pPr>
                    <w:widowControl/>
                    <w:spacing w:line="276" w:lineRule="auto"/>
                    <w:ind w:firstLine="0" w:firstLineChars="0"/>
                    <w:jc w:val="center"/>
                    <w:rPr>
                      <w:rFonts w:hint="eastAsia"/>
                      <w:color w:val="auto"/>
                      <w:sz w:val="21"/>
                      <w:szCs w:val="21"/>
                      <w:u w:val="none" w:color="auto"/>
                    </w:rPr>
                  </w:pPr>
                  <w:r>
                    <w:rPr>
                      <w:rFonts w:hint="eastAsia"/>
                      <w:color w:val="auto"/>
                      <w:sz w:val="21"/>
                      <w:szCs w:val="21"/>
                      <w:u w:val="none" w:color="auto"/>
                    </w:rPr>
                    <w:t>污染物</w:t>
                  </w:r>
                </w:p>
              </w:tc>
              <w:tc>
                <w:tcPr>
                  <w:tcW w:w="2160" w:type="pct"/>
                  <w:vMerge w:val="restart"/>
                  <w:noWrap w:val="0"/>
                  <w:vAlign w:val="center"/>
                </w:tcPr>
                <w:p w14:paraId="21B8C1DF">
                  <w:pPr>
                    <w:widowControl/>
                    <w:spacing w:line="276" w:lineRule="auto"/>
                    <w:ind w:firstLine="0" w:firstLineChars="0"/>
                    <w:jc w:val="center"/>
                    <w:rPr>
                      <w:rFonts w:hint="eastAsia"/>
                      <w:color w:val="auto"/>
                      <w:sz w:val="21"/>
                      <w:szCs w:val="21"/>
                      <w:u w:val="none" w:color="auto"/>
                    </w:rPr>
                  </w:pPr>
                  <w:r>
                    <w:rPr>
                      <w:rFonts w:hint="eastAsia"/>
                      <w:color w:val="auto"/>
                      <w:sz w:val="21"/>
                      <w:szCs w:val="21"/>
                      <w:u w:val="none" w:color="auto"/>
                    </w:rPr>
                    <w:t>环保设施</w:t>
                  </w:r>
                </w:p>
              </w:tc>
              <w:tc>
                <w:tcPr>
                  <w:tcW w:w="1053" w:type="pct"/>
                  <w:gridSpan w:val="2"/>
                  <w:tcBorders>
                    <w:bottom w:val="single" w:color="auto" w:sz="4" w:space="0"/>
                  </w:tcBorders>
                  <w:noWrap w:val="0"/>
                  <w:vAlign w:val="center"/>
                </w:tcPr>
                <w:p w14:paraId="2A1CFF0B">
                  <w:pPr>
                    <w:widowControl/>
                    <w:spacing w:line="276" w:lineRule="auto"/>
                    <w:ind w:firstLine="0" w:firstLineChars="0"/>
                    <w:jc w:val="center"/>
                    <w:rPr>
                      <w:rFonts w:hint="eastAsia"/>
                      <w:color w:val="auto"/>
                      <w:sz w:val="21"/>
                      <w:szCs w:val="21"/>
                      <w:u w:val="none" w:color="auto"/>
                    </w:rPr>
                  </w:pPr>
                  <w:r>
                    <w:rPr>
                      <w:rFonts w:hint="eastAsia"/>
                      <w:color w:val="auto"/>
                      <w:sz w:val="21"/>
                      <w:szCs w:val="21"/>
                      <w:u w:val="none" w:color="auto"/>
                    </w:rPr>
                    <w:t>环保投资（万元）</w:t>
                  </w:r>
                </w:p>
              </w:tc>
            </w:tr>
            <w:tr w14:paraId="3A2BEBA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674" w:type="pct"/>
                  <w:vMerge w:val="continue"/>
                  <w:noWrap w:val="0"/>
                  <w:vAlign w:val="center"/>
                </w:tcPr>
                <w:p w14:paraId="424D2CFA">
                  <w:pPr>
                    <w:widowControl/>
                    <w:spacing w:line="276" w:lineRule="auto"/>
                    <w:ind w:firstLine="0" w:firstLineChars="0"/>
                    <w:jc w:val="center"/>
                    <w:rPr>
                      <w:rFonts w:hint="eastAsia"/>
                      <w:color w:val="auto"/>
                      <w:sz w:val="21"/>
                      <w:szCs w:val="21"/>
                      <w:u w:val="none" w:color="auto"/>
                    </w:rPr>
                  </w:pPr>
                </w:p>
              </w:tc>
              <w:tc>
                <w:tcPr>
                  <w:tcW w:w="1111" w:type="pct"/>
                  <w:vMerge w:val="continue"/>
                  <w:noWrap w:val="0"/>
                  <w:vAlign w:val="center"/>
                </w:tcPr>
                <w:p w14:paraId="251FC07B">
                  <w:pPr>
                    <w:widowControl/>
                    <w:spacing w:line="276" w:lineRule="auto"/>
                    <w:ind w:firstLine="0" w:firstLineChars="0"/>
                    <w:jc w:val="center"/>
                    <w:rPr>
                      <w:rFonts w:hint="eastAsia"/>
                      <w:color w:val="auto"/>
                      <w:sz w:val="21"/>
                      <w:szCs w:val="21"/>
                      <w:u w:val="none" w:color="auto"/>
                    </w:rPr>
                  </w:pPr>
                </w:p>
              </w:tc>
              <w:tc>
                <w:tcPr>
                  <w:tcW w:w="2160" w:type="pct"/>
                  <w:vMerge w:val="continue"/>
                  <w:noWrap w:val="0"/>
                  <w:vAlign w:val="center"/>
                </w:tcPr>
                <w:p w14:paraId="22E18E0F">
                  <w:pPr>
                    <w:widowControl/>
                    <w:spacing w:line="276" w:lineRule="auto"/>
                    <w:ind w:firstLine="0" w:firstLineChars="0"/>
                    <w:jc w:val="center"/>
                    <w:rPr>
                      <w:rFonts w:hint="eastAsia"/>
                      <w:color w:val="auto"/>
                      <w:sz w:val="21"/>
                      <w:szCs w:val="21"/>
                      <w:u w:val="none" w:color="auto"/>
                    </w:rPr>
                  </w:pPr>
                </w:p>
              </w:tc>
              <w:tc>
                <w:tcPr>
                  <w:tcW w:w="557" w:type="pct"/>
                  <w:tcBorders>
                    <w:top w:val="single" w:color="auto" w:sz="4" w:space="0"/>
                    <w:right w:val="single" w:color="auto" w:sz="4" w:space="0"/>
                  </w:tcBorders>
                  <w:noWrap w:val="0"/>
                  <w:vAlign w:val="center"/>
                </w:tcPr>
                <w:p w14:paraId="0F7178C0">
                  <w:pPr>
                    <w:widowControl/>
                    <w:spacing w:line="276" w:lineRule="auto"/>
                    <w:ind w:firstLine="0" w:firstLineChars="0"/>
                    <w:jc w:val="center"/>
                    <w:rPr>
                      <w:rFonts w:hint="eastAsia" w:eastAsia="宋体"/>
                      <w:color w:val="auto"/>
                      <w:sz w:val="21"/>
                      <w:szCs w:val="21"/>
                      <w:u w:val="none" w:color="auto"/>
                      <w:lang w:eastAsia="zh-CN"/>
                    </w:rPr>
                  </w:pPr>
                  <w:r>
                    <w:rPr>
                      <w:rFonts w:hint="eastAsia"/>
                      <w:color w:val="auto"/>
                      <w:sz w:val="21"/>
                      <w:szCs w:val="21"/>
                      <w:u w:val="none" w:color="auto"/>
                      <w:lang w:eastAsia="zh-CN"/>
                    </w:rPr>
                    <w:t>已投资</w:t>
                  </w:r>
                </w:p>
              </w:tc>
              <w:tc>
                <w:tcPr>
                  <w:tcW w:w="495" w:type="pct"/>
                  <w:tcBorders>
                    <w:top w:val="single" w:color="auto" w:sz="4" w:space="0"/>
                    <w:left w:val="single" w:color="auto" w:sz="4" w:space="0"/>
                  </w:tcBorders>
                  <w:noWrap w:val="0"/>
                  <w:vAlign w:val="center"/>
                </w:tcPr>
                <w:p w14:paraId="65415A00">
                  <w:pPr>
                    <w:widowControl/>
                    <w:spacing w:line="276" w:lineRule="auto"/>
                    <w:ind w:firstLine="0" w:firstLineChars="0"/>
                    <w:jc w:val="center"/>
                    <w:rPr>
                      <w:rFonts w:hint="eastAsia" w:eastAsia="宋体"/>
                      <w:color w:val="auto"/>
                      <w:sz w:val="21"/>
                      <w:szCs w:val="21"/>
                      <w:u w:val="none" w:color="auto"/>
                      <w:lang w:eastAsia="zh-CN"/>
                    </w:rPr>
                  </w:pPr>
                  <w:r>
                    <w:rPr>
                      <w:rFonts w:hint="eastAsia"/>
                      <w:color w:val="auto"/>
                      <w:sz w:val="21"/>
                      <w:szCs w:val="21"/>
                      <w:u w:val="none" w:color="auto"/>
                      <w:lang w:eastAsia="zh-CN"/>
                    </w:rPr>
                    <w:t>新增</w:t>
                  </w:r>
                </w:p>
              </w:tc>
            </w:tr>
            <w:tr w14:paraId="28DD20D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3" w:hRule="atLeast"/>
              </w:trPr>
              <w:tc>
                <w:tcPr>
                  <w:tcW w:w="674" w:type="pct"/>
                  <w:vMerge w:val="restart"/>
                  <w:noWrap w:val="0"/>
                  <w:vAlign w:val="center"/>
                </w:tcPr>
                <w:p w14:paraId="05616467">
                  <w:pPr>
                    <w:widowControl/>
                    <w:spacing w:line="276" w:lineRule="auto"/>
                    <w:ind w:firstLine="0" w:firstLineChars="0"/>
                    <w:jc w:val="center"/>
                    <w:rPr>
                      <w:rFonts w:hint="eastAsia"/>
                      <w:color w:val="auto"/>
                      <w:sz w:val="21"/>
                      <w:szCs w:val="21"/>
                      <w:u w:val="none" w:color="auto"/>
                    </w:rPr>
                  </w:pPr>
                  <w:r>
                    <w:rPr>
                      <w:rFonts w:hint="eastAsia"/>
                      <w:color w:val="auto"/>
                      <w:sz w:val="21"/>
                      <w:szCs w:val="21"/>
                      <w:u w:val="none" w:color="auto"/>
                    </w:rPr>
                    <w:t>废气</w:t>
                  </w:r>
                </w:p>
              </w:tc>
              <w:tc>
                <w:tcPr>
                  <w:tcW w:w="1111" w:type="pct"/>
                  <w:tcBorders>
                    <w:bottom w:val="single" w:color="auto" w:sz="4" w:space="0"/>
                  </w:tcBorders>
                  <w:noWrap w:val="0"/>
                  <w:vAlign w:val="center"/>
                </w:tcPr>
                <w:p w14:paraId="3C4B8E26">
                  <w:pPr>
                    <w:widowControl/>
                    <w:spacing w:line="276" w:lineRule="auto"/>
                    <w:ind w:firstLine="0" w:firstLineChars="0"/>
                    <w:jc w:val="center"/>
                    <w:rPr>
                      <w:rFonts w:hint="eastAsia"/>
                      <w:color w:val="auto"/>
                      <w:sz w:val="21"/>
                      <w:szCs w:val="21"/>
                      <w:u w:val="none" w:color="auto"/>
                    </w:rPr>
                  </w:pPr>
                  <w:r>
                    <w:rPr>
                      <w:rFonts w:hint="eastAsia"/>
                      <w:color w:val="auto"/>
                      <w:sz w:val="21"/>
                      <w:szCs w:val="21"/>
                      <w:u w:val="none" w:color="auto"/>
                    </w:rPr>
                    <w:t>NMP废气</w:t>
                  </w:r>
                </w:p>
              </w:tc>
              <w:tc>
                <w:tcPr>
                  <w:tcW w:w="2160" w:type="pct"/>
                  <w:tcBorders>
                    <w:bottom w:val="single" w:color="auto" w:sz="4" w:space="0"/>
                  </w:tcBorders>
                  <w:noWrap w:val="0"/>
                  <w:vAlign w:val="center"/>
                </w:tcPr>
                <w:p w14:paraId="3C790CBD">
                  <w:pPr>
                    <w:widowControl/>
                    <w:spacing w:line="276" w:lineRule="auto"/>
                    <w:ind w:firstLine="0" w:firstLineChars="0"/>
                    <w:jc w:val="center"/>
                    <w:rPr>
                      <w:rFonts w:hint="eastAsia"/>
                      <w:color w:val="auto"/>
                      <w:sz w:val="21"/>
                      <w:szCs w:val="21"/>
                      <w:u w:val="none" w:color="auto"/>
                    </w:rPr>
                  </w:pPr>
                  <w:r>
                    <w:rPr>
                      <w:rFonts w:hint="eastAsia"/>
                      <w:color w:val="auto"/>
                      <w:sz w:val="21"/>
                      <w:szCs w:val="21"/>
                      <w:u w:val="none" w:color="auto"/>
                      <w:lang w:val="en-US" w:eastAsia="zh-CN"/>
                    </w:rPr>
                    <w:t>1套</w:t>
                  </w:r>
                  <w:r>
                    <w:rPr>
                      <w:rFonts w:hint="eastAsia"/>
                      <w:color w:val="auto"/>
                      <w:sz w:val="21"/>
                      <w:szCs w:val="21"/>
                      <w:u w:val="none" w:color="auto"/>
                    </w:rPr>
                    <w:t>高效冷凝回收</w:t>
                  </w:r>
                  <w:r>
                    <w:rPr>
                      <w:rFonts w:hint="eastAsia"/>
                      <w:color w:val="auto"/>
                      <w:sz w:val="21"/>
                      <w:szCs w:val="21"/>
                      <w:u w:val="none" w:color="auto"/>
                      <w:lang w:eastAsia="zh-CN"/>
                    </w:rPr>
                    <w:t>系统</w:t>
                  </w:r>
                  <w:r>
                    <w:rPr>
                      <w:rFonts w:hint="eastAsia"/>
                      <w:color w:val="auto"/>
                      <w:sz w:val="21"/>
                      <w:szCs w:val="21"/>
                      <w:u w:val="none" w:color="auto"/>
                    </w:rPr>
                    <w:t>+</w:t>
                  </w:r>
                  <w:r>
                    <w:rPr>
                      <w:rFonts w:hint="eastAsia"/>
                      <w:color w:val="auto"/>
                      <w:sz w:val="21"/>
                      <w:szCs w:val="21"/>
                      <w:u w:val="none" w:color="auto"/>
                      <w:lang w:val="en-US" w:eastAsia="zh-CN"/>
                    </w:rPr>
                    <w:t>25</w:t>
                  </w:r>
                  <w:r>
                    <w:rPr>
                      <w:rFonts w:hint="eastAsia"/>
                      <w:color w:val="auto"/>
                      <w:sz w:val="21"/>
                      <w:szCs w:val="21"/>
                      <w:u w:val="none" w:color="auto"/>
                      <w:lang w:eastAsia="zh-CN"/>
                    </w:rPr>
                    <w:t>m</w:t>
                  </w:r>
                  <w:r>
                    <w:rPr>
                      <w:rFonts w:hint="eastAsia"/>
                      <w:color w:val="auto"/>
                      <w:sz w:val="21"/>
                      <w:szCs w:val="21"/>
                      <w:u w:val="none" w:color="auto"/>
                    </w:rPr>
                    <w:t>排气筒</w:t>
                  </w:r>
                </w:p>
              </w:tc>
              <w:tc>
                <w:tcPr>
                  <w:tcW w:w="557" w:type="pct"/>
                  <w:tcBorders>
                    <w:bottom w:val="single" w:color="auto" w:sz="4" w:space="0"/>
                    <w:right w:val="single" w:color="auto" w:sz="4" w:space="0"/>
                  </w:tcBorders>
                  <w:noWrap w:val="0"/>
                  <w:vAlign w:val="center"/>
                </w:tcPr>
                <w:p w14:paraId="25001566">
                  <w:pPr>
                    <w:widowControl/>
                    <w:spacing w:line="276" w:lineRule="auto"/>
                    <w:ind w:firstLine="0" w:firstLineChars="0"/>
                    <w:jc w:val="center"/>
                    <w:rPr>
                      <w:rFonts w:hint="default"/>
                      <w:color w:val="auto"/>
                      <w:sz w:val="21"/>
                      <w:szCs w:val="21"/>
                      <w:u w:val="none" w:color="auto"/>
                      <w:lang w:val="en-US"/>
                    </w:rPr>
                  </w:pPr>
                  <w:r>
                    <w:rPr>
                      <w:rFonts w:hint="eastAsia"/>
                      <w:color w:val="auto"/>
                      <w:sz w:val="21"/>
                      <w:szCs w:val="21"/>
                      <w:u w:val="none" w:color="auto"/>
                      <w:lang w:val="en-US" w:eastAsia="zh-CN"/>
                    </w:rPr>
                    <w:t>49.9</w:t>
                  </w:r>
                </w:p>
              </w:tc>
              <w:tc>
                <w:tcPr>
                  <w:tcW w:w="495" w:type="pct"/>
                  <w:tcBorders>
                    <w:left w:val="single" w:color="auto" w:sz="4" w:space="0"/>
                    <w:bottom w:val="single" w:color="auto" w:sz="4" w:space="0"/>
                  </w:tcBorders>
                  <w:noWrap w:val="0"/>
                  <w:vAlign w:val="center"/>
                </w:tcPr>
                <w:p w14:paraId="634DE9FC">
                  <w:pPr>
                    <w:widowControl/>
                    <w:spacing w:line="276" w:lineRule="auto"/>
                    <w:ind w:firstLine="0" w:firstLineChars="0"/>
                    <w:jc w:val="center"/>
                    <w:rPr>
                      <w:rFonts w:hint="default"/>
                      <w:color w:val="auto"/>
                      <w:sz w:val="21"/>
                      <w:szCs w:val="21"/>
                      <w:u w:val="none" w:color="auto"/>
                      <w:lang w:val="en-US" w:eastAsia="zh-CN"/>
                    </w:rPr>
                  </w:pPr>
                  <w:r>
                    <w:rPr>
                      <w:rFonts w:hint="eastAsia"/>
                      <w:color w:val="auto"/>
                      <w:sz w:val="21"/>
                      <w:szCs w:val="21"/>
                      <w:u w:val="none" w:color="auto"/>
                      <w:lang w:val="en-US" w:eastAsia="zh-CN"/>
                    </w:rPr>
                    <w:t>0.1</w:t>
                  </w:r>
                </w:p>
              </w:tc>
            </w:tr>
            <w:tr w14:paraId="51FA780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86" w:hRule="atLeast"/>
              </w:trPr>
              <w:tc>
                <w:tcPr>
                  <w:tcW w:w="674" w:type="pct"/>
                  <w:vMerge w:val="continue"/>
                  <w:noWrap w:val="0"/>
                  <w:vAlign w:val="center"/>
                </w:tcPr>
                <w:p w14:paraId="26235E21">
                  <w:pPr>
                    <w:widowControl/>
                    <w:spacing w:line="276" w:lineRule="auto"/>
                    <w:ind w:firstLine="0" w:firstLineChars="0"/>
                    <w:jc w:val="center"/>
                    <w:rPr>
                      <w:rFonts w:hint="eastAsia"/>
                      <w:color w:val="auto"/>
                      <w:sz w:val="21"/>
                      <w:szCs w:val="21"/>
                      <w:u w:val="none" w:color="auto"/>
                    </w:rPr>
                  </w:pPr>
                </w:p>
              </w:tc>
              <w:tc>
                <w:tcPr>
                  <w:tcW w:w="1111" w:type="pct"/>
                  <w:tcBorders>
                    <w:top w:val="single" w:color="auto" w:sz="4" w:space="0"/>
                    <w:bottom w:val="single" w:color="auto" w:sz="4" w:space="0"/>
                  </w:tcBorders>
                  <w:noWrap w:val="0"/>
                  <w:vAlign w:val="center"/>
                </w:tcPr>
                <w:p w14:paraId="08C99073">
                  <w:pPr>
                    <w:widowControl/>
                    <w:spacing w:line="276" w:lineRule="auto"/>
                    <w:ind w:firstLine="0" w:firstLineChars="0"/>
                    <w:jc w:val="center"/>
                    <w:rPr>
                      <w:rFonts w:hint="eastAsia"/>
                      <w:color w:val="auto"/>
                      <w:sz w:val="21"/>
                      <w:szCs w:val="21"/>
                      <w:u w:val="none" w:color="auto"/>
                    </w:rPr>
                  </w:pPr>
                  <w:r>
                    <w:rPr>
                      <w:rFonts w:hint="eastAsia"/>
                      <w:color w:val="auto"/>
                      <w:sz w:val="21"/>
                      <w:szCs w:val="21"/>
                      <w:u w:val="none" w:color="auto"/>
                    </w:rPr>
                    <w:t>注液废气</w:t>
                  </w:r>
                </w:p>
              </w:tc>
              <w:tc>
                <w:tcPr>
                  <w:tcW w:w="2160" w:type="pct"/>
                  <w:tcBorders>
                    <w:top w:val="single" w:color="auto" w:sz="4" w:space="0"/>
                    <w:bottom w:val="single" w:color="000000" w:sz="2" w:space="0"/>
                  </w:tcBorders>
                  <w:noWrap w:val="0"/>
                  <w:vAlign w:val="center"/>
                </w:tcPr>
                <w:p w14:paraId="397400B3">
                  <w:pPr>
                    <w:widowControl/>
                    <w:spacing w:line="276" w:lineRule="auto"/>
                    <w:ind w:firstLine="0" w:firstLineChars="0"/>
                    <w:jc w:val="center"/>
                    <w:rPr>
                      <w:rFonts w:hint="default" w:eastAsia="宋体"/>
                      <w:color w:val="auto"/>
                      <w:sz w:val="21"/>
                      <w:szCs w:val="21"/>
                      <w:u w:val="none" w:color="auto"/>
                      <w:lang w:val="en-US" w:eastAsia="zh-CN"/>
                    </w:rPr>
                  </w:pPr>
                  <w:r>
                    <w:rPr>
                      <w:rFonts w:hint="eastAsia"/>
                      <w:color w:val="auto"/>
                      <w:sz w:val="21"/>
                      <w:szCs w:val="21"/>
                      <w:u w:val="none" w:color="auto"/>
                      <w:lang w:val="en-US" w:eastAsia="zh-CN"/>
                    </w:rPr>
                    <w:t>全密闭自动注液机，引至厂外排放</w:t>
                  </w:r>
                </w:p>
              </w:tc>
              <w:tc>
                <w:tcPr>
                  <w:tcW w:w="557" w:type="pct"/>
                  <w:tcBorders>
                    <w:top w:val="single" w:color="auto" w:sz="4" w:space="0"/>
                    <w:bottom w:val="single" w:color="000000" w:sz="2" w:space="0"/>
                    <w:right w:val="single" w:color="auto" w:sz="4" w:space="0"/>
                  </w:tcBorders>
                  <w:noWrap w:val="0"/>
                  <w:vAlign w:val="center"/>
                </w:tcPr>
                <w:p w14:paraId="7C42B3F5">
                  <w:pPr>
                    <w:widowControl/>
                    <w:spacing w:line="276" w:lineRule="auto"/>
                    <w:ind w:firstLine="0" w:firstLineChars="0"/>
                    <w:jc w:val="center"/>
                    <w:rPr>
                      <w:rFonts w:hint="eastAsia" w:eastAsia="宋体"/>
                      <w:color w:val="auto"/>
                      <w:sz w:val="21"/>
                      <w:szCs w:val="21"/>
                      <w:u w:val="none" w:color="auto"/>
                      <w:lang w:val="en-US" w:eastAsia="zh-CN"/>
                    </w:rPr>
                  </w:pPr>
                  <w:r>
                    <w:rPr>
                      <w:rFonts w:hint="eastAsia"/>
                      <w:color w:val="auto"/>
                      <w:sz w:val="21"/>
                      <w:szCs w:val="21"/>
                      <w:u w:val="none" w:color="auto"/>
                      <w:lang w:val="en-US" w:eastAsia="zh-CN"/>
                    </w:rPr>
                    <w:t>3</w:t>
                  </w:r>
                </w:p>
              </w:tc>
              <w:tc>
                <w:tcPr>
                  <w:tcW w:w="495" w:type="pct"/>
                  <w:tcBorders>
                    <w:top w:val="single" w:color="auto" w:sz="4" w:space="0"/>
                    <w:left w:val="single" w:color="auto" w:sz="4" w:space="0"/>
                    <w:bottom w:val="single" w:color="000000" w:sz="2" w:space="0"/>
                  </w:tcBorders>
                  <w:noWrap w:val="0"/>
                  <w:vAlign w:val="center"/>
                </w:tcPr>
                <w:p w14:paraId="5CA45FD0">
                  <w:pPr>
                    <w:widowControl/>
                    <w:spacing w:line="276" w:lineRule="auto"/>
                    <w:ind w:firstLine="0" w:firstLineChars="0"/>
                    <w:jc w:val="center"/>
                    <w:rPr>
                      <w:rFonts w:hint="default"/>
                      <w:color w:val="auto"/>
                      <w:sz w:val="21"/>
                      <w:szCs w:val="21"/>
                      <w:u w:val="none" w:color="auto"/>
                      <w:lang w:val="en-US" w:eastAsia="zh-CN"/>
                    </w:rPr>
                  </w:pPr>
                  <w:r>
                    <w:rPr>
                      <w:rFonts w:hint="eastAsia"/>
                      <w:color w:val="auto"/>
                      <w:sz w:val="21"/>
                      <w:szCs w:val="21"/>
                      <w:u w:val="none" w:color="auto"/>
                      <w:lang w:val="en-US" w:eastAsia="zh-CN"/>
                    </w:rPr>
                    <w:t>0</w:t>
                  </w:r>
                </w:p>
              </w:tc>
            </w:tr>
            <w:tr w14:paraId="3F15BA8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2" w:hRule="atLeast"/>
              </w:trPr>
              <w:tc>
                <w:tcPr>
                  <w:tcW w:w="674" w:type="pct"/>
                  <w:vMerge w:val="continue"/>
                  <w:noWrap w:val="0"/>
                  <w:vAlign w:val="center"/>
                </w:tcPr>
                <w:p w14:paraId="4D90B451">
                  <w:pPr>
                    <w:widowControl/>
                    <w:spacing w:line="276" w:lineRule="auto"/>
                    <w:ind w:firstLine="0" w:firstLineChars="0"/>
                    <w:jc w:val="center"/>
                    <w:rPr>
                      <w:rFonts w:hint="eastAsia"/>
                      <w:color w:val="auto"/>
                      <w:sz w:val="21"/>
                      <w:szCs w:val="21"/>
                      <w:u w:val="none" w:color="auto"/>
                    </w:rPr>
                  </w:pPr>
                </w:p>
              </w:tc>
              <w:tc>
                <w:tcPr>
                  <w:tcW w:w="1111" w:type="pct"/>
                  <w:tcBorders>
                    <w:top w:val="single" w:color="auto" w:sz="4" w:space="0"/>
                  </w:tcBorders>
                  <w:noWrap w:val="0"/>
                  <w:vAlign w:val="center"/>
                </w:tcPr>
                <w:p w14:paraId="3812D7C1">
                  <w:pPr>
                    <w:widowControl/>
                    <w:spacing w:line="276" w:lineRule="auto"/>
                    <w:ind w:firstLine="0" w:firstLineChars="0"/>
                    <w:jc w:val="center"/>
                    <w:rPr>
                      <w:rFonts w:hint="eastAsia"/>
                      <w:color w:val="auto"/>
                      <w:sz w:val="21"/>
                      <w:szCs w:val="21"/>
                      <w:u w:val="none" w:color="auto"/>
                    </w:rPr>
                  </w:pPr>
                  <w:r>
                    <w:rPr>
                      <w:rFonts w:hint="eastAsia"/>
                      <w:color w:val="auto"/>
                      <w:sz w:val="21"/>
                      <w:szCs w:val="21"/>
                      <w:u w:val="none" w:color="auto"/>
                    </w:rPr>
                    <w:t>喷码等无组织有机废气</w:t>
                  </w:r>
                </w:p>
              </w:tc>
              <w:tc>
                <w:tcPr>
                  <w:tcW w:w="2160" w:type="pct"/>
                  <w:tcBorders>
                    <w:top w:val="single" w:color="000000" w:sz="2" w:space="0"/>
                  </w:tcBorders>
                  <w:noWrap w:val="0"/>
                  <w:vAlign w:val="center"/>
                </w:tcPr>
                <w:p w14:paraId="64CAF3DC">
                  <w:pPr>
                    <w:widowControl/>
                    <w:spacing w:line="276" w:lineRule="auto"/>
                    <w:ind w:firstLine="0" w:firstLineChars="0"/>
                    <w:jc w:val="center"/>
                    <w:rPr>
                      <w:rFonts w:hint="eastAsia"/>
                      <w:color w:val="auto"/>
                      <w:sz w:val="21"/>
                      <w:szCs w:val="21"/>
                      <w:u w:val="none" w:color="auto"/>
                    </w:rPr>
                  </w:pPr>
                  <w:r>
                    <w:rPr>
                      <w:rFonts w:hint="eastAsia"/>
                      <w:color w:val="auto"/>
                      <w:sz w:val="21"/>
                      <w:szCs w:val="21"/>
                      <w:u w:val="none" w:color="auto"/>
                    </w:rPr>
                    <w:t>车间排风扇</w:t>
                  </w:r>
                </w:p>
              </w:tc>
              <w:tc>
                <w:tcPr>
                  <w:tcW w:w="557" w:type="pct"/>
                  <w:tcBorders>
                    <w:top w:val="single" w:color="000000" w:sz="2" w:space="0"/>
                    <w:right w:val="single" w:color="auto" w:sz="4" w:space="0"/>
                  </w:tcBorders>
                  <w:noWrap w:val="0"/>
                  <w:vAlign w:val="center"/>
                </w:tcPr>
                <w:p w14:paraId="67EDD9F4">
                  <w:pPr>
                    <w:widowControl/>
                    <w:spacing w:line="276" w:lineRule="auto"/>
                    <w:ind w:firstLine="0" w:firstLineChars="0"/>
                    <w:jc w:val="center"/>
                    <w:rPr>
                      <w:rFonts w:hint="eastAsia"/>
                      <w:color w:val="auto"/>
                      <w:sz w:val="21"/>
                      <w:szCs w:val="21"/>
                      <w:u w:val="none" w:color="auto"/>
                    </w:rPr>
                  </w:pPr>
                  <w:r>
                    <w:rPr>
                      <w:rFonts w:hint="eastAsia"/>
                      <w:color w:val="auto"/>
                      <w:sz w:val="21"/>
                      <w:szCs w:val="21"/>
                      <w:u w:val="none" w:color="auto"/>
                    </w:rPr>
                    <w:t>0.5</w:t>
                  </w:r>
                </w:p>
              </w:tc>
              <w:tc>
                <w:tcPr>
                  <w:tcW w:w="495" w:type="pct"/>
                  <w:tcBorders>
                    <w:top w:val="single" w:color="000000" w:sz="2" w:space="0"/>
                    <w:left w:val="single" w:color="auto" w:sz="4" w:space="0"/>
                  </w:tcBorders>
                  <w:noWrap w:val="0"/>
                  <w:vAlign w:val="center"/>
                </w:tcPr>
                <w:p w14:paraId="22735E59">
                  <w:pPr>
                    <w:widowControl/>
                    <w:spacing w:line="276" w:lineRule="auto"/>
                    <w:ind w:firstLine="0" w:firstLineChars="0"/>
                    <w:jc w:val="center"/>
                    <w:rPr>
                      <w:rFonts w:hint="eastAsia" w:eastAsia="宋体"/>
                      <w:color w:val="auto"/>
                      <w:sz w:val="21"/>
                      <w:szCs w:val="21"/>
                      <w:u w:val="none" w:color="auto"/>
                      <w:lang w:val="en-US" w:eastAsia="zh-CN"/>
                    </w:rPr>
                  </w:pPr>
                  <w:r>
                    <w:rPr>
                      <w:rFonts w:hint="eastAsia"/>
                      <w:color w:val="auto"/>
                      <w:sz w:val="21"/>
                      <w:szCs w:val="21"/>
                      <w:u w:val="none" w:color="auto"/>
                      <w:lang w:val="en-US" w:eastAsia="zh-CN"/>
                    </w:rPr>
                    <w:t>0</w:t>
                  </w:r>
                </w:p>
              </w:tc>
            </w:tr>
            <w:tr w14:paraId="391EF0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71" w:hRule="atLeast"/>
              </w:trPr>
              <w:tc>
                <w:tcPr>
                  <w:tcW w:w="674" w:type="pct"/>
                  <w:vMerge w:val="restart"/>
                  <w:tcBorders>
                    <w:top w:val="single" w:color="000000" w:sz="4" w:space="0"/>
                  </w:tcBorders>
                  <w:noWrap w:val="0"/>
                  <w:vAlign w:val="center"/>
                </w:tcPr>
                <w:p w14:paraId="6EE4B835">
                  <w:pPr>
                    <w:widowControl/>
                    <w:spacing w:line="276" w:lineRule="auto"/>
                    <w:ind w:firstLine="0" w:firstLineChars="0"/>
                    <w:jc w:val="center"/>
                    <w:rPr>
                      <w:rFonts w:hint="eastAsia"/>
                      <w:color w:val="auto"/>
                      <w:sz w:val="21"/>
                      <w:szCs w:val="21"/>
                      <w:u w:val="none" w:color="auto"/>
                    </w:rPr>
                  </w:pPr>
                  <w:r>
                    <w:rPr>
                      <w:rFonts w:hint="eastAsia"/>
                      <w:color w:val="auto"/>
                      <w:sz w:val="21"/>
                      <w:szCs w:val="21"/>
                      <w:u w:val="none" w:color="auto"/>
                    </w:rPr>
                    <w:t>废水</w:t>
                  </w:r>
                </w:p>
              </w:tc>
              <w:tc>
                <w:tcPr>
                  <w:tcW w:w="1111" w:type="pct"/>
                  <w:tcBorders>
                    <w:top w:val="single" w:color="000000" w:sz="4" w:space="0"/>
                    <w:bottom w:val="single" w:color="000000" w:sz="6" w:space="0"/>
                  </w:tcBorders>
                  <w:noWrap w:val="0"/>
                  <w:vAlign w:val="center"/>
                </w:tcPr>
                <w:p w14:paraId="2391CB4D">
                  <w:pPr>
                    <w:widowControl/>
                    <w:spacing w:line="276" w:lineRule="auto"/>
                    <w:ind w:firstLine="0" w:firstLineChars="0"/>
                    <w:jc w:val="center"/>
                    <w:rPr>
                      <w:rFonts w:hint="eastAsia"/>
                      <w:color w:val="auto"/>
                      <w:sz w:val="21"/>
                      <w:szCs w:val="21"/>
                      <w:u w:val="none" w:color="auto"/>
                    </w:rPr>
                  </w:pPr>
                  <w:r>
                    <w:rPr>
                      <w:rFonts w:hint="eastAsia"/>
                      <w:color w:val="auto"/>
                      <w:sz w:val="21"/>
                      <w:szCs w:val="21"/>
                      <w:u w:val="none" w:color="auto"/>
                    </w:rPr>
                    <w:t>生活污水</w:t>
                  </w:r>
                </w:p>
              </w:tc>
              <w:tc>
                <w:tcPr>
                  <w:tcW w:w="2160" w:type="pct"/>
                  <w:tcBorders>
                    <w:bottom w:val="single" w:color="000000" w:sz="6" w:space="0"/>
                  </w:tcBorders>
                  <w:noWrap w:val="0"/>
                  <w:vAlign w:val="center"/>
                </w:tcPr>
                <w:p w14:paraId="47ED0C7B">
                  <w:pPr>
                    <w:widowControl/>
                    <w:spacing w:line="276" w:lineRule="auto"/>
                    <w:ind w:firstLine="0" w:firstLineChars="0"/>
                    <w:jc w:val="center"/>
                    <w:rPr>
                      <w:rFonts w:hint="eastAsia" w:eastAsia="宋体"/>
                      <w:color w:val="auto"/>
                      <w:sz w:val="21"/>
                      <w:szCs w:val="21"/>
                      <w:u w:val="none" w:color="auto"/>
                      <w:lang w:eastAsia="zh-CN"/>
                    </w:rPr>
                  </w:pPr>
                  <w:r>
                    <w:rPr>
                      <w:rFonts w:hint="eastAsia"/>
                      <w:color w:val="auto"/>
                      <w:sz w:val="21"/>
                      <w:szCs w:val="21"/>
                      <w:u w:val="none" w:color="auto"/>
                      <w:lang w:eastAsia="zh-CN"/>
                    </w:rPr>
                    <w:t>依托</w:t>
                  </w:r>
                  <w:r>
                    <w:rPr>
                      <w:rFonts w:hint="eastAsia"/>
                      <w:color w:val="auto"/>
                      <w:sz w:val="21"/>
                      <w:szCs w:val="21"/>
                      <w:u w:val="none" w:color="auto"/>
                    </w:rPr>
                    <w:t>园区化粪池</w:t>
                  </w:r>
                  <w:r>
                    <w:rPr>
                      <w:rFonts w:hint="eastAsia"/>
                      <w:color w:val="auto"/>
                      <w:sz w:val="21"/>
                      <w:szCs w:val="21"/>
                      <w:u w:val="none" w:color="auto"/>
                      <w:lang w:eastAsia="zh-CN"/>
                    </w:rPr>
                    <w:t>设施</w:t>
                  </w:r>
                </w:p>
              </w:tc>
              <w:tc>
                <w:tcPr>
                  <w:tcW w:w="557" w:type="pct"/>
                  <w:tcBorders>
                    <w:bottom w:val="single" w:color="000000" w:sz="6" w:space="0"/>
                    <w:right w:val="single" w:color="auto" w:sz="4" w:space="0"/>
                  </w:tcBorders>
                  <w:noWrap w:val="0"/>
                  <w:vAlign w:val="center"/>
                </w:tcPr>
                <w:p w14:paraId="22AA7FD5">
                  <w:pPr>
                    <w:widowControl/>
                    <w:spacing w:line="276" w:lineRule="auto"/>
                    <w:ind w:firstLine="0" w:firstLineChars="0"/>
                    <w:jc w:val="center"/>
                    <w:rPr>
                      <w:color w:val="auto"/>
                      <w:sz w:val="21"/>
                      <w:szCs w:val="21"/>
                      <w:u w:val="none" w:color="auto"/>
                    </w:rPr>
                  </w:pPr>
                  <w:r>
                    <w:rPr>
                      <w:rFonts w:hint="eastAsia"/>
                      <w:color w:val="auto"/>
                      <w:sz w:val="21"/>
                      <w:szCs w:val="21"/>
                      <w:u w:val="none" w:color="auto"/>
                    </w:rPr>
                    <w:t>0</w:t>
                  </w:r>
                </w:p>
              </w:tc>
              <w:tc>
                <w:tcPr>
                  <w:tcW w:w="495" w:type="pct"/>
                  <w:tcBorders>
                    <w:left w:val="single" w:color="auto" w:sz="4" w:space="0"/>
                    <w:bottom w:val="single" w:color="000000" w:sz="6" w:space="0"/>
                  </w:tcBorders>
                  <w:noWrap w:val="0"/>
                  <w:vAlign w:val="center"/>
                </w:tcPr>
                <w:p w14:paraId="7C426C65">
                  <w:pPr>
                    <w:widowControl/>
                    <w:spacing w:line="276" w:lineRule="auto"/>
                    <w:ind w:firstLine="0" w:firstLineChars="0"/>
                    <w:jc w:val="center"/>
                    <w:rPr>
                      <w:rFonts w:hint="eastAsia" w:eastAsia="宋体"/>
                      <w:color w:val="auto"/>
                      <w:sz w:val="21"/>
                      <w:szCs w:val="21"/>
                      <w:u w:val="none" w:color="auto"/>
                      <w:lang w:val="en-US" w:eastAsia="zh-CN"/>
                    </w:rPr>
                  </w:pPr>
                  <w:r>
                    <w:rPr>
                      <w:rFonts w:hint="eastAsia"/>
                      <w:color w:val="auto"/>
                      <w:sz w:val="21"/>
                      <w:szCs w:val="21"/>
                      <w:u w:val="none" w:color="auto"/>
                      <w:lang w:val="en-US" w:eastAsia="zh-CN"/>
                    </w:rPr>
                    <w:t>0</w:t>
                  </w:r>
                </w:p>
              </w:tc>
            </w:tr>
            <w:tr w14:paraId="11F35B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57" w:hRule="atLeast"/>
              </w:trPr>
              <w:tc>
                <w:tcPr>
                  <w:tcW w:w="674" w:type="pct"/>
                  <w:vMerge w:val="continue"/>
                  <w:noWrap w:val="0"/>
                  <w:vAlign w:val="center"/>
                </w:tcPr>
                <w:p w14:paraId="49E57F2B">
                  <w:pPr>
                    <w:widowControl/>
                    <w:spacing w:line="276" w:lineRule="auto"/>
                    <w:ind w:firstLine="0" w:firstLineChars="0"/>
                    <w:jc w:val="center"/>
                    <w:rPr>
                      <w:rFonts w:hint="eastAsia"/>
                      <w:color w:val="auto"/>
                      <w:sz w:val="21"/>
                      <w:szCs w:val="21"/>
                      <w:u w:val="none" w:color="auto"/>
                    </w:rPr>
                  </w:pPr>
                </w:p>
              </w:tc>
              <w:tc>
                <w:tcPr>
                  <w:tcW w:w="1111" w:type="pct"/>
                  <w:tcBorders>
                    <w:top w:val="single" w:color="000000" w:sz="6" w:space="0"/>
                  </w:tcBorders>
                  <w:noWrap w:val="0"/>
                  <w:vAlign w:val="center"/>
                </w:tcPr>
                <w:p w14:paraId="145E4670">
                  <w:pPr>
                    <w:widowControl/>
                    <w:spacing w:line="276" w:lineRule="auto"/>
                    <w:ind w:firstLine="0" w:firstLineChars="0"/>
                    <w:jc w:val="center"/>
                    <w:rPr>
                      <w:rFonts w:hint="default" w:eastAsia="宋体"/>
                      <w:color w:val="auto"/>
                      <w:sz w:val="21"/>
                      <w:szCs w:val="21"/>
                      <w:u w:val="none" w:color="auto"/>
                      <w:lang w:val="en-US" w:eastAsia="zh-CN"/>
                    </w:rPr>
                  </w:pPr>
                  <w:r>
                    <w:rPr>
                      <w:rFonts w:hint="eastAsia"/>
                      <w:color w:val="auto"/>
                      <w:sz w:val="21"/>
                      <w:szCs w:val="21"/>
                      <w:u w:val="none" w:color="auto"/>
                      <w:lang w:val="en-US" w:eastAsia="zh-CN"/>
                    </w:rPr>
                    <w:t>生产废水</w:t>
                  </w:r>
                </w:p>
              </w:tc>
              <w:tc>
                <w:tcPr>
                  <w:tcW w:w="2160" w:type="pct"/>
                  <w:tcBorders>
                    <w:top w:val="single" w:color="000000" w:sz="6" w:space="0"/>
                  </w:tcBorders>
                  <w:noWrap w:val="0"/>
                  <w:vAlign w:val="center"/>
                </w:tcPr>
                <w:p w14:paraId="2E5AD033">
                  <w:pPr>
                    <w:widowControl/>
                    <w:spacing w:line="276" w:lineRule="auto"/>
                    <w:ind w:firstLine="0" w:firstLineChars="0"/>
                    <w:jc w:val="center"/>
                    <w:rPr>
                      <w:rFonts w:hint="default" w:eastAsia="宋体"/>
                      <w:color w:val="auto"/>
                      <w:sz w:val="21"/>
                      <w:szCs w:val="21"/>
                      <w:u w:val="none" w:color="auto"/>
                      <w:lang w:val="en-US" w:eastAsia="zh-CN"/>
                    </w:rPr>
                  </w:pPr>
                  <w:r>
                    <w:rPr>
                      <w:rFonts w:hint="eastAsia"/>
                      <w:color w:val="auto"/>
                      <w:sz w:val="21"/>
                      <w:szCs w:val="21"/>
                      <w:u w:val="none" w:color="auto"/>
                      <w:lang w:val="en-US" w:eastAsia="zh-CN"/>
                    </w:rPr>
                    <w:t>沉淀池</w:t>
                  </w:r>
                </w:p>
              </w:tc>
              <w:tc>
                <w:tcPr>
                  <w:tcW w:w="557" w:type="pct"/>
                  <w:tcBorders>
                    <w:top w:val="single" w:color="000000" w:sz="6" w:space="0"/>
                    <w:right w:val="single" w:color="auto" w:sz="4" w:space="0"/>
                  </w:tcBorders>
                  <w:noWrap w:val="0"/>
                  <w:vAlign w:val="center"/>
                </w:tcPr>
                <w:p w14:paraId="7C1CAA98">
                  <w:pPr>
                    <w:widowControl/>
                    <w:spacing w:line="276" w:lineRule="auto"/>
                    <w:ind w:firstLine="0" w:firstLineChars="0"/>
                    <w:jc w:val="center"/>
                    <w:rPr>
                      <w:rFonts w:hint="eastAsia" w:eastAsia="宋体"/>
                      <w:color w:val="auto"/>
                      <w:sz w:val="21"/>
                      <w:szCs w:val="21"/>
                      <w:u w:val="none" w:color="auto"/>
                      <w:lang w:val="en-US" w:eastAsia="zh-CN"/>
                    </w:rPr>
                  </w:pPr>
                  <w:r>
                    <w:rPr>
                      <w:rFonts w:hint="eastAsia"/>
                      <w:color w:val="auto"/>
                      <w:sz w:val="21"/>
                      <w:szCs w:val="21"/>
                      <w:u w:val="none" w:color="auto"/>
                      <w:lang w:val="en-US" w:eastAsia="zh-CN"/>
                    </w:rPr>
                    <w:t>6</w:t>
                  </w:r>
                </w:p>
              </w:tc>
              <w:tc>
                <w:tcPr>
                  <w:tcW w:w="495" w:type="pct"/>
                  <w:tcBorders>
                    <w:top w:val="single" w:color="000000" w:sz="6" w:space="0"/>
                    <w:left w:val="single" w:color="auto" w:sz="4" w:space="0"/>
                  </w:tcBorders>
                  <w:noWrap w:val="0"/>
                  <w:vAlign w:val="center"/>
                </w:tcPr>
                <w:p w14:paraId="6F3BF69B">
                  <w:pPr>
                    <w:widowControl/>
                    <w:spacing w:line="276" w:lineRule="auto"/>
                    <w:ind w:firstLine="0" w:firstLineChars="0"/>
                    <w:jc w:val="center"/>
                    <w:rPr>
                      <w:rFonts w:hint="default"/>
                      <w:color w:val="auto"/>
                      <w:sz w:val="21"/>
                      <w:szCs w:val="21"/>
                      <w:u w:val="none" w:color="auto"/>
                      <w:lang w:val="en-US" w:eastAsia="zh-CN"/>
                    </w:rPr>
                  </w:pPr>
                  <w:r>
                    <w:rPr>
                      <w:rFonts w:hint="eastAsia"/>
                      <w:color w:val="auto"/>
                      <w:sz w:val="21"/>
                      <w:szCs w:val="21"/>
                      <w:u w:val="none" w:color="auto"/>
                      <w:lang w:val="en-US" w:eastAsia="zh-CN"/>
                    </w:rPr>
                    <w:t>0</w:t>
                  </w:r>
                </w:p>
              </w:tc>
            </w:tr>
            <w:tr w14:paraId="4CCBC96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74" w:type="pct"/>
                  <w:vMerge w:val="restart"/>
                  <w:noWrap w:val="0"/>
                  <w:vAlign w:val="center"/>
                </w:tcPr>
                <w:p w14:paraId="6C012D1C">
                  <w:pPr>
                    <w:widowControl/>
                    <w:spacing w:line="276" w:lineRule="auto"/>
                    <w:ind w:firstLine="0" w:firstLineChars="0"/>
                    <w:jc w:val="center"/>
                    <w:rPr>
                      <w:rFonts w:hint="eastAsia"/>
                      <w:color w:val="auto"/>
                      <w:sz w:val="21"/>
                      <w:szCs w:val="21"/>
                      <w:u w:val="none" w:color="auto"/>
                    </w:rPr>
                  </w:pPr>
                  <w:r>
                    <w:rPr>
                      <w:rFonts w:hint="eastAsia"/>
                      <w:color w:val="auto"/>
                      <w:sz w:val="21"/>
                      <w:szCs w:val="21"/>
                      <w:u w:val="none" w:color="auto"/>
                    </w:rPr>
                    <w:t>固体废物</w:t>
                  </w:r>
                </w:p>
              </w:tc>
              <w:tc>
                <w:tcPr>
                  <w:tcW w:w="1111" w:type="pct"/>
                  <w:noWrap w:val="0"/>
                  <w:vAlign w:val="center"/>
                </w:tcPr>
                <w:p w14:paraId="4D8CCF73">
                  <w:pPr>
                    <w:widowControl/>
                    <w:spacing w:line="276" w:lineRule="auto"/>
                    <w:ind w:firstLine="0" w:firstLineChars="0"/>
                    <w:jc w:val="center"/>
                    <w:rPr>
                      <w:rFonts w:hint="eastAsia"/>
                      <w:color w:val="auto"/>
                      <w:sz w:val="21"/>
                      <w:szCs w:val="21"/>
                      <w:u w:val="none" w:color="auto"/>
                    </w:rPr>
                  </w:pPr>
                  <w:r>
                    <w:rPr>
                      <w:rFonts w:hint="eastAsia"/>
                      <w:color w:val="auto"/>
                      <w:sz w:val="21"/>
                      <w:szCs w:val="21"/>
                      <w:u w:val="none" w:color="auto"/>
                    </w:rPr>
                    <w:t>一般废物</w:t>
                  </w:r>
                </w:p>
              </w:tc>
              <w:tc>
                <w:tcPr>
                  <w:tcW w:w="2160" w:type="pct"/>
                  <w:noWrap w:val="0"/>
                  <w:vAlign w:val="center"/>
                </w:tcPr>
                <w:p w14:paraId="41F21B01">
                  <w:pPr>
                    <w:widowControl/>
                    <w:spacing w:line="276" w:lineRule="auto"/>
                    <w:ind w:firstLine="0" w:firstLineChars="0"/>
                    <w:jc w:val="center"/>
                    <w:rPr>
                      <w:rFonts w:hint="eastAsia"/>
                      <w:color w:val="auto"/>
                      <w:sz w:val="21"/>
                      <w:szCs w:val="21"/>
                      <w:u w:val="none" w:color="auto"/>
                    </w:rPr>
                  </w:pPr>
                  <w:r>
                    <w:rPr>
                      <w:rFonts w:hint="eastAsia"/>
                      <w:color w:val="auto"/>
                      <w:sz w:val="21"/>
                      <w:szCs w:val="21"/>
                      <w:u w:val="none" w:color="auto"/>
                    </w:rPr>
                    <w:t>一般工业固体废物贮存场所</w:t>
                  </w:r>
                </w:p>
              </w:tc>
              <w:tc>
                <w:tcPr>
                  <w:tcW w:w="557" w:type="pct"/>
                  <w:tcBorders>
                    <w:right w:val="single" w:color="auto" w:sz="4" w:space="0"/>
                  </w:tcBorders>
                  <w:noWrap w:val="0"/>
                  <w:vAlign w:val="center"/>
                </w:tcPr>
                <w:p w14:paraId="5241A30B">
                  <w:pPr>
                    <w:widowControl/>
                    <w:spacing w:line="276" w:lineRule="auto"/>
                    <w:ind w:firstLine="0" w:firstLineChars="0"/>
                    <w:jc w:val="center"/>
                    <w:rPr>
                      <w:color w:val="auto"/>
                      <w:sz w:val="21"/>
                      <w:szCs w:val="21"/>
                      <w:u w:val="none" w:color="auto"/>
                    </w:rPr>
                  </w:pPr>
                  <w:r>
                    <w:rPr>
                      <w:rFonts w:hint="eastAsia"/>
                      <w:color w:val="auto"/>
                      <w:sz w:val="21"/>
                      <w:szCs w:val="21"/>
                      <w:u w:val="none" w:color="auto"/>
                    </w:rPr>
                    <w:t>0.5</w:t>
                  </w:r>
                </w:p>
              </w:tc>
              <w:tc>
                <w:tcPr>
                  <w:tcW w:w="495" w:type="pct"/>
                  <w:tcBorders>
                    <w:left w:val="single" w:color="auto" w:sz="4" w:space="0"/>
                  </w:tcBorders>
                  <w:noWrap w:val="0"/>
                  <w:vAlign w:val="center"/>
                </w:tcPr>
                <w:p w14:paraId="63C1BFCF">
                  <w:pPr>
                    <w:widowControl/>
                    <w:spacing w:line="276" w:lineRule="auto"/>
                    <w:ind w:firstLine="0" w:firstLineChars="0"/>
                    <w:jc w:val="center"/>
                    <w:rPr>
                      <w:rFonts w:hint="eastAsia" w:eastAsia="宋体"/>
                      <w:color w:val="auto"/>
                      <w:sz w:val="21"/>
                      <w:szCs w:val="21"/>
                      <w:u w:val="none" w:color="auto"/>
                      <w:lang w:val="en-US" w:eastAsia="zh-CN"/>
                    </w:rPr>
                  </w:pPr>
                  <w:r>
                    <w:rPr>
                      <w:rFonts w:hint="eastAsia"/>
                      <w:color w:val="auto"/>
                      <w:sz w:val="21"/>
                      <w:szCs w:val="21"/>
                      <w:u w:val="none" w:color="auto"/>
                      <w:lang w:val="en-US" w:eastAsia="zh-CN"/>
                    </w:rPr>
                    <w:t>0</w:t>
                  </w:r>
                </w:p>
              </w:tc>
            </w:tr>
            <w:tr w14:paraId="06FD865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74" w:type="pct"/>
                  <w:vMerge w:val="continue"/>
                  <w:tcBorders>
                    <w:bottom w:val="single" w:color="000000" w:sz="4" w:space="0"/>
                  </w:tcBorders>
                  <w:noWrap w:val="0"/>
                  <w:vAlign w:val="center"/>
                </w:tcPr>
                <w:p w14:paraId="6432E567">
                  <w:pPr>
                    <w:widowControl/>
                    <w:spacing w:line="276" w:lineRule="auto"/>
                    <w:ind w:firstLine="0" w:firstLineChars="0"/>
                    <w:jc w:val="center"/>
                    <w:rPr>
                      <w:rFonts w:hint="eastAsia"/>
                      <w:color w:val="auto"/>
                      <w:sz w:val="21"/>
                      <w:szCs w:val="21"/>
                      <w:u w:val="none" w:color="auto"/>
                    </w:rPr>
                  </w:pPr>
                </w:p>
              </w:tc>
              <w:tc>
                <w:tcPr>
                  <w:tcW w:w="1111" w:type="pct"/>
                  <w:tcBorders>
                    <w:bottom w:val="single" w:color="000000" w:sz="4" w:space="0"/>
                  </w:tcBorders>
                  <w:noWrap w:val="0"/>
                  <w:vAlign w:val="center"/>
                </w:tcPr>
                <w:p w14:paraId="4E6FA7EC">
                  <w:pPr>
                    <w:widowControl/>
                    <w:spacing w:line="276" w:lineRule="auto"/>
                    <w:ind w:firstLine="0" w:firstLineChars="0"/>
                    <w:jc w:val="center"/>
                    <w:rPr>
                      <w:rFonts w:hint="eastAsia"/>
                      <w:color w:val="auto"/>
                      <w:sz w:val="21"/>
                      <w:szCs w:val="21"/>
                      <w:u w:val="none" w:color="auto"/>
                    </w:rPr>
                  </w:pPr>
                  <w:r>
                    <w:rPr>
                      <w:rFonts w:hint="eastAsia"/>
                      <w:color w:val="auto"/>
                      <w:sz w:val="21"/>
                      <w:szCs w:val="21"/>
                      <w:u w:val="none" w:color="auto"/>
                    </w:rPr>
                    <w:t>危险废物</w:t>
                  </w:r>
                </w:p>
              </w:tc>
              <w:tc>
                <w:tcPr>
                  <w:tcW w:w="2160" w:type="pct"/>
                  <w:noWrap w:val="0"/>
                  <w:vAlign w:val="center"/>
                </w:tcPr>
                <w:p w14:paraId="227CC614">
                  <w:pPr>
                    <w:widowControl/>
                    <w:spacing w:line="276" w:lineRule="auto"/>
                    <w:ind w:firstLine="0" w:firstLineChars="0"/>
                    <w:jc w:val="center"/>
                    <w:rPr>
                      <w:color w:val="auto"/>
                      <w:sz w:val="21"/>
                      <w:szCs w:val="21"/>
                      <w:u w:val="none" w:color="auto"/>
                    </w:rPr>
                  </w:pPr>
                  <w:r>
                    <w:rPr>
                      <w:rFonts w:hint="eastAsia"/>
                      <w:color w:val="auto"/>
                      <w:sz w:val="21"/>
                      <w:szCs w:val="21"/>
                      <w:u w:val="none" w:color="auto"/>
                    </w:rPr>
                    <w:t>危废暂存间20m</w:t>
                  </w:r>
                  <w:r>
                    <w:rPr>
                      <w:rFonts w:hint="eastAsia"/>
                      <w:color w:val="auto"/>
                      <w:sz w:val="21"/>
                      <w:szCs w:val="21"/>
                      <w:u w:val="none" w:color="auto"/>
                      <w:vertAlign w:val="superscript"/>
                    </w:rPr>
                    <w:t>2</w:t>
                  </w:r>
                </w:p>
              </w:tc>
              <w:tc>
                <w:tcPr>
                  <w:tcW w:w="557" w:type="pct"/>
                  <w:tcBorders>
                    <w:right w:val="single" w:color="auto" w:sz="4" w:space="0"/>
                  </w:tcBorders>
                  <w:noWrap w:val="0"/>
                  <w:vAlign w:val="center"/>
                </w:tcPr>
                <w:p w14:paraId="5E7AE320">
                  <w:pPr>
                    <w:widowControl/>
                    <w:spacing w:line="276" w:lineRule="auto"/>
                    <w:ind w:firstLine="0" w:firstLineChars="0"/>
                    <w:jc w:val="center"/>
                    <w:rPr>
                      <w:rFonts w:hint="default" w:eastAsia="宋体"/>
                      <w:color w:val="auto"/>
                      <w:sz w:val="21"/>
                      <w:szCs w:val="21"/>
                      <w:u w:val="none" w:color="auto"/>
                      <w:lang w:val="en-US" w:eastAsia="zh-CN"/>
                    </w:rPr>
                  </w:pPr>
                  <w:r>
                    <w:rPr>
                      <w:rFonts w:hint="eastAsia"/>
                      <w:color w:val="auto"/>
                      <w:sz w:val="21"/>
                      <w:szCs w:val="21"/>
                      <w:u w:val="none" w:color="auto"/>
                      <w:lang w:val="en-US" w:eastAsia="zh-CN"/>
                    </w:rPr>
                    <w:t>9.9</w:t>
                  </w:r>
                </w:p>
              </w:tc>
              <w:tc>
                <w:tcPr>
                  <w:tcW w:w="495" w:type="pct"/>
                  <w:tcBorders>
                    <w:left w:val="single" w:color="auto" w:sz="4" w:space="0"/>
                  </w:tcBorders>
                  <w:noWrap w:val="0"/>
                  <w:vAlign w:val="center"/>
                </w:tcPr>
                <w:p w14:paraId="4A4A0C26">
                  <w:pPr>
                    <w:widowControl/>
                    <w:spacing w:line="276" w:lineRule="auto"/>
                    <w:ind w:firstLine="0" w:firstLineChars="0"/>
                    <w:jc w:val="center"/>
                    <w:rPr>
                      <w:rFonts w:hint="default" w:eastAsia="宋体"/>
                      <w:color w:val="auto"/>
                      <w:sz w:val="21"/>
                      <w:szCs w:val="21"/>
                      <w:u w:val="none" w:color="auto"/>
                      <w:lang w:val="en-US" w:eastAsia="zh-CN"/>
                    </w:rPr>
                  </w:pPr>
                  <w:r>
                    <w:rPr>
                      <w:rFonts w:hint="eastAsia"/>
                      <w:color w:val="auto"/>
                      <w:sz w:val="21"/>
                      <w:szCs w:val="21"/>
                      <w:u w:val="none" w:color="auto"/>
                      <w:lang w:val="en-US" w:eastAsia="zh-CN"/>
                    </w:rPr>
                    <w:t>0.1</w:t>
                  </w:r>
                </w:p>
              </w:tc>
            </w:tr>
            <w:tr w14:paraId="19E4CAE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2" w:hRule="atLeast"/>
              </w:trPr>
              <w:tc>
                <w:tcPr>
                  <w:tcW w:w="674" w:type="pct"/>
                  <w:noWrap w:val="0"/>
                  <w:vAlign w:val="center"/>
                </w:tcPr>
                <w:p w14:paraId="74205E66">
                  <w:pPr>
                    <w:widowControl/>
                    <w:spacing w:line="276" w:lineRule="auto"/>
                    <w:ind w:firstLine="0" w:firstLineChars="0"/>
                    <w:jc w:val="center"/>
                    <w:rPr>
                      <w:rFonts w:hint="eastAsia"/>
                      <w:color w:val="auto"/>
                      <w:sz w:val="21"/>
                      <w:szCs w:val="21"/>
                      <w:u w:val="none" w:color="auto"/>
                    </w:rPr>
                  </w:pPr>
                  <w:r>
                    <w:rPr>
                      <w:rFonts w:hint="eastAsia"/>
                      <w:color w:val="auto"/>
                      <w:sz w:val="21"/>
                      <w:szCs w:val="21"/>
                      <w:u w:val="none" w:color="auto"/>
                    </w:rPr>
                    <w:t>噪声</w:t>
                  </w:r>
                </w:p>
              </w:tc>
              <w:tc>
                <w:tcPr>
                  <w:tcW w:w="1111" w:type="pct"/>
                  <w:noWrap w:val="0"/>
                  <w:vAlign w:val="center"/>
                </w:tcPr>
                <w:p w14:paraId="777D571E">
                  <w:pPr>
                    <w:widowControl/>
                    <w:spacing w:line="276" w:lineRule="auto"/>
                    <w:ind w:firstLine="0" w:firstLineChars="0"/>
                    <w:jc w:val="center"/>
                    <w:rPr>
                      <w:rFonts w:hint="eastAsia"/>
                      <w:color w:val="auto"/>
                      <w:sz w:val="21"/>
                      <w:szCs w:val="21"/>
                      <w:u w:val="none" w:color="auto"/>
                    </w:rPr>
                  </w:pPr>
                  <w:r>
                    <w:rPr>
                      <w:rFonts w:hint="eastAsia"/>
                      <w:color w:val="auto"/>
                      <w:sz w:val="21"/>
                      <w:szCs w:val="21"/>
                      <w:u w:val="none" w:color="auto"/>
                    </w:rPr>
                    <w:t>风机、空压机等</w:t>
                  </w:r>
                </w:p>
              </w:tc>
              <w:tc>
                <w:tcPr>
                  <w:tcW w:w="2160" w:type="pct"/>
                  <w:tcBorders>
                    <w:right w:val="single" w:color="000000" w:sz="4" w:space="0"/>
                  </w:tcBorders>
                  <w:noWrap w:val="0"/>
                  <w:vAlign w:val="center"/>
                </w:tcPr>
                <w:p w14:paraId="7B0A3E2D">
                  <w:pPr>
                    <w:widowControl/>
                    <w:spacing w:line="276" w:lineRule="auto"/>
                    <w:ind w:firstLine="0" w:firstLineChars="0"/>
                    <w:jc w:val="center"/>
                    <w:rPr>
                      <w:rFonts w:hint="eastAsia"/>
                      <w:color w:val="auto"/>
                      <w:sz w:val="21"/>
                      <w:szCs w:val="21"/>
                      <w:u w:val="none" w:color="auto"/>
                    </w:rPr>
                  </w:pPr>
                  <w:r>
                    <w:rPr>
                      <w:rFonts w:hint="eastAsia"/>
                      <w:color w:val="auto"/>
                      <w:sz w:val="21"/>
                      <w:szCs w:val="21"/>
                      <w:u w:val="none" w:color="auto"/>
                    </w:rPr>
                    <w:t>减振、隔声</w:t>
                  </w:r>
                </w:p>
              </w:tc>
              <w:tc>
                <w:tcPr>
                  <w:tcW w:w="557" w:type="pct"/>
                  <w:tcBorders>
                    <w:right w:val="single" w:color="auto" w:sz="4" w:space="0"/>
                  </w:tcBorders>
                  <w:noWrap w:val="0"/>
                  <w:vAlign w:val="center"/>
                </w:tcPr>
                <w:p w14:paraId="63D04F02">
                  <w:pPr>
                    <w:widowControl/>
                    <w:spacing w:line="276" w:lineRule="auto"/>
                    <w:ind w:firstLine="0" w:firstLineChars="0"/>
                    <w:jc w:val="center"/>
                    <w:rPr>
                      <w:color w:val="auto"/>
                      <w:sz w:val="21"/>
                      <w:szCs w:val="21"/>
                      <w:u w:val="none" w:color="auto"/>
                    </w:rPr>
                  </w:pPr>
                  <w:r>
                    <w:rPr>
                      <w:rFonts w:hint="eastAsia"/>
                      <w:color w:val="auto"/>
                      <w:sz w:val="21"/>
                      <w:szCs w:val="21"/>
                      <w:u w:val="none" w:color="auto"/>
                    </w:rPr>
                    <w:t>1</w:t>
                  </w:r>
                </w:p>
              </w:tc>
              <w:tc>
                <w:tcPr>
                  <w:tcW w:w="495" w:type="pct"/>
                  <w:tcBorders>
                    <w:left w:val="single" w:color="auto" w:sz="4" w:space="0"/>
                  </w:tcBorders>
                  <w:noWrap w:val="0"/>
                  <w:vAlign w:val="center"/>
                </w:tcPr>
                <w:p w14:paraId="137E34EF">
                  <w:pPr>
                    <w:widowControl/>
                    <w:spacing w:line="276" w:lineRule="auto"/>
                    <w:ind w:firstLine="0" w:firstLineChars="0"/>
                    <w:jc w:val="center"/>
                    <w:rPr>
                      <w:rFonts w:hint="eastAsia" w:eastAsia="宋体"/>
                      <w:color w:val="auto"/>
                      <w:sz w:val="21"/>
                      <w:szCs w:val="21"/>
                      <w:u w:val="none" w:color="auto"/>
                      <w:lang w:val="en-US" w:eastAsia="zh-CN"/>
                    </w:rPr>
                  </w:pPr>
                  <w:r>
                    <w:rPr>
                      <w:rFonts w:hint="eastAsia"/>
                      <w:color w:val="auto"/>
                      <w:sz w:val="21"/>
                      <w:szCs w:val="21"/>
                      <w:u w:val="none" w:color="auto"/>
                      <w:lang w:val="en-US" w:eastAsia="zh-CN"/>
                    </w:rPr>
                    <w:t>0</w:t>
                  </w:r>
                </w:p>
              </w:tc>
            </w:tr>
            <w:tr w14:paraId="6C0E485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2" w:hRule="atLeast"/>
              </w:trPr>
              <w:tc>
                <w:tcPr>
                  <w:tcW w:w="1786" w:type="pct"/>
                  <w:gridSpan w:val="2"/>
                  <w:noWrap w:val="0"/>
                  <w:vAlign w:val="center"/>
                </w:tcPr>
                <w:p w14:paraId="162D342A">
                  <w:pPr>
                    <w:widowControl/>
                    <w:spacing w:line="276" w:lineRule="auto"/>
                    <w:ind w:firstLine="0" w:firstLineChars="0"/>
                    <w:jc w:val="center"/>
                    <w:rPr>
                      <w:rFonts w:hint="eastAsia"/>
                      <w:color w:val="auto"/>
                      <w:sz w:val="21"/>
                      <w:szCs w:val="21"/>
                      <w:u w:val="none" w:color="auto"/>
                    </w:rPr>
                  </w:pPr>
                  <w:r>
                    <w:rPr>
                      <w:rFonts w:hint="eastAsia"/>
                      <w:color w:val="auto"/>
                      <w:sz w:val="21"/>
                      <w:szCs w:val="21"/>
                      <w:u w:val="none" w:color="auto"/>
                      <w:lang w:val="zh-CN"/>
                    </w:rPr>
                    <w:t>土壤及地下水污染防治措施</w:t>
                  </w:r>
                </w:p>
              </w:tc>
              <w:tc>
                <w:tcPr>
                  <w:tcW w:w="2160" w:type="pct"/>
                  <w:tcBorders>
                    <w:right w:val="single" w:color="000000" w:sz="4" w:space="0"/>
                  </w:tcBorders>
                  <w:noWrap w:val="0"/>
                  <w:vAlign w:val="center"/>
                </w:tcPr>
                <w:p w14:paraId="085CB410">
                  <w:pPr>
                    <w:widowControl/>
                    <w:spacing w:line="276" w:lineRule="auto"/>
                    <w:ind w:firstLine="0" w:firstLineChars="0"/>
                    <w:jc w:val="center"/>
                    <w:rPr>
                      <w:rFonts w:hint="eastAsia"/>
                      <w:color w:val="auto"/>
                      <w:sz w:val="21"/>
                      <w:szCs w:val="21"/>
                      <w:u w:val="none" w:color="auto"/>
                    </w:rPr>
                  </w:pPr>
                  <w:r>
                    <w:rPr>
                      <w:rFonts w:hint="eastAsia"/>
                      <w:color w:val="auto"/>
                      <w:sz w:val="21"/>
                      <w:szCs w:val="21"/>
                      <w:u w:val="none" w:color="auto"/>
                      <w:lang w:val="zh-CN"/>
                    </w:rPr>
                    <w:t>分区防渗，</w:t>
                  </w:r>
                  <w:r>
                    <w:rPr>
                      <w:rFonts w:hint="eastAsia"/>
                      <w:color w:val="auto"/>
                      <w:sz w:val="21"/>
                      <w:szCs w:val="21"/>
                      <w:u w:val="none" w:color="auto"/>
                    </w:rPr>
                    <w:t>N-甲基吡咯烷酮、电解液等液体化学品原辅材料仓、正负极材料配料搅拌车间、危险废物暂存间</w:t>
                  </w:r>
                  <w:r>
                    <w:rPr>
                      <w:rFonts w:hint="eastAsia"/>
                      <w:color w:val="auto"/>
                      <w:sz w:val="21"/>
                      <w:szCs w:val="21"/>
                      <w:u w:val="none" w:color="auto"/>
                      <w:lang w:eastAsia="zh-CN"/>
                    </w:rPr>
                    <w:t>、污水处理沉淀池</w:t>
                  </w:r>
                  <w:r>
                    <w:rPr>
                      <w:rFonts w:hint="eastAsia"/>
                      <w:color w:val="auto"/>
                      <w:sz w:val="21"/>
                      <w:szCs w:val="21"/>
                      <w:u w:val="none" w:color="auto"/>
                    </w:rPr>
                    <w:t>重点防渗</w:t>
                  </w:r>
                </w:p>
              </w:tc>
              <w:tc>
                <w:tcPr>
                  <w:tcW w:w="557" w:type="pct"/>
                  <w:tcBorders>
                    <w:right w:val="single" w:color="auto" w:sz="4" w:space="0"/>
                  </w:tcBorders>
                  <w:noWrap w:val="0"/>
                  <w:vAlign w:val="center"/>
                </w:tcPr>
                <w:p w14:paraId="2B7ED307">
                  <w:pPr>
                    <w:widowControl/>
                    <w:spacing w:line="276" w:lineRule="auto"/>
                    <w:ind w:firstLine="0" w:firstLineChars="0"/>
                    <w:jc w:val="center"/>
                    <w:rPr>
                      <w:color w:val="auto"/>
                      <w:sz w:val="21"/>
                      <w:szCs w:val="21"/>
                      <w:u w:val="none" w:color="auto"/>
                    </w:rPr>
                  </w:pPr>
                  <w:r>
                    <w:rPr>
                      <w:rFonts w:hint="eastAsia"/>
                      <w:color w:val="auto"/>
                      <w:sz w:val="21"/>
                      <w:szCs w:val="21"/>
                      <w:u w:val="none" w:color="auto"/>
                    </w:rPr>
                    <w:t>20</w:t>
                  </w:r>
                </w:p>
              </w:tc>
              <w:tc>
                <w:tcPr>
                  <w:tcW w:w="495" w:type="pct"/>
                  <w:tcBorders>
                    <w:left w:val="single" w:color="auto" w:sz="4" w:space="0"/>
                  </w:tcBorders>
                  <w:noWrap w:val="0"/>
                  <w:vAlign w:val="center"/>
                </w:tcPr>
                <w:p w14:paraId="50A0CACE">
                  <w:pPr>
                    <w:widowControl/>
                    <w:spacing w:line="276" w:lineRule="auto"/>
                    <w:ind w:firstLine="0" w:firstLineChars="0"/>
                    <w:jc w:val="center"/>
                    <w:rPr>
                      <w:rFonts w:hint="eastAsia" w:eastAsia="宋体"/>
                      <w:color w:val="auto"/>
                      <w:sz w:val="21"/>
                      <w:szCs w:val="21"/>
                      <w:u w:val="none" w:color="auto"/>
                      <w:lang w:val="en-US" w:eastAsia="zh-CN"/>
                    </w:rPr>
                  </w:pPr>
                  <w:r>
                    <w:rPr>
                      <w:rFonts w:hint="eastAsia"/>
                      <w:color w:val="auto"/>
                      <w:sz w:val="21"/>
                      <w:szCs w:val="21"/>
                      <w:u w:val="none" w:color="auto"/>
                      <w:lang w:val="en-US" w:eastAsia="zh-CN"/>
                    </w:rPr>
                    <w:t>0</w:t>
                  </w:r>
                </w:p>
              </w:tc>
            </w:tr>
            <w:tr w14:paraId="512A807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2" w:hRule="atLeast"/>
              </w:trPr>
              <w:tc>
                <w:tcPr>
                  <w:tcW w:w="3946" w:type="pct"/>
                  <w:gridSpan w:val="3"/>
                  <w:tcBorders>
                    <w:right w:val="single" w:color="000000" w:sz="4" w:space="0"/>
                  </w:tcBorders>
                  <w:noWrap w:val="0"/>
                  <w:vAlign w:val="center"/>
                </w:tcPr>
                <w:p w14:paraId="656A2C5A">
                  <w:pPr>
                    <w:widowControl/>
                    <w:spacing w:line="276" w:lineRule="auto"/>
                    <w:ind w:firstLine="0" w:firstLineChars="0"/>
                    <w:jc w:val="center"/>
                    <w:rPr>
                      <w:rFonts w:hint="eastAsia"/>
                      <w:color w:val="auto"/>
                      <w:sz w:val="21"/>
                      <w:szCs w:val="21"/>
                      <w:u w:val="none" w:color="auto"/>
                    </w:rPr>
                  </w:pPr>
                  <w:r>
                    <w:rPr>
                      <w:rFonts w:hint="eastAsia"/>
                      <w:color w:val="auto"/>
                      <w:sz w:val="21"/>
                      <w:szCs w:val="21"/>
                      <w:u w:val="none" w:color="auto"/>
                    </w:rPr>
                    <w:t>合计</w:t>
                  </w:r>
                </w:p>
              </w:tc>
              <w:tc>
                <w:tcPr>
                  <w:tcW w:w="1053" w:type="pct"/>
                  <w:gridSpan w:val="2"/>
                  <w:noWrap w:val="0"/>
                  <w:vAlign w:val="center"/>
                </w:tcPr>
                <w:p w14:paraId="3E50E5E4">
                  <w:pPr>
                    <w:widowControl/>
                    <w:spacing w:line="276" w:lineRule="auto"/>
                    <w:ind w:firstLine="0" w:firstLineChars="0"/>
                    <w:jc w:val="center"/>
                    <w:rPr>
                      <w:rFonts w:hint="eastAsia"/>
                      <w:color w:val="auto"/>
                      <w:sz w:val="21"/>
                      <w:szCs w:val="21"/>
                      <w:u w:val="none" w:color="auto"/>
                      <w:lang w:val="en-US" w:eastAsia="zh-CN"/>
                    </w:rPr>
                  </w:pPr>
                  <w:r>
                    <w:rPr>
                      <w:rFonts w:hint="eastAsia"/>
                      <w:color w:val="auto"/>
                      <w:sz w:val="21"/>
                      <w:szCs w:val="21"/>
                      <w:u w:val="none" w:color="auto"/>
                      <w:lang w:val="en-US" w:eastAsia="zh-CN"/>
                    </w:rPr>
                    <w:t>91</w:t>
                  </w:r>
                </w:p>
              </w:tc>
            </w:tr>
          </w:tbl>
          <w:p w14:paraId="325CB098">
            <w:pPr>
              <w:ind w:firstLine="480"/>
              <w:rPr>
                <w:rFonts w:hint="eastAsia" w:ascii="Times New Roman" w:hAnsi="Times New Roman" w:eastAsia="宋体" w:cs="Times New Roman"/>
                <w:color w:val="auto"/>
                <w:u w:val="none" w:color="auto"/>
              </w:rPr>
            </w:pPr>
            <w:r>
              <w:rPr>
                <w:rFonts w:hint="eastAsia" w:ascii="Times New Roman" w:hAnsi="Times New Roman" w:eastAsia="宋体" w:cs="Times New Roman"/>
                <w:color w:val="auto"/>
                <w:u w:val="none" w:color="auto"/>
              </w:rPr>
              <w:t>项目区采取的环保设施能满足有关污染治理方面的需要，投资合理，环保措施可以保证污染物达标排放的要求。项目在污染治理和控制方面有较大的投入，通过设施建设和日常运行管理，可保证各类污染物的达标排放，对预防和杜绝可能产生的潜在事故污染影响也能发挥明显的作用。项目环保投入比较合理，污染物经过各项设施处理后对周围环境影响比较小。</w:t>
            </w:r>
          </w:p>
          <w:p w14:paraId="37F95A8F">
            <w:pPr>
              <w:ind w:firstLine="480"/>
              <w:rPr>
                <w:rFonts w:hint="eastAsia" w:ascii="Times New Roman" w:hAnsi="Times New Roman" w:eastAsia="宋体" w:cs="Times New Roman"/>
                <w:color w:val="auto"/>
                <w:u w:val="none" w:color="auto"/>
                <w:lang w:eastAsia="zh-CN"/>
              </w:rPr>
            </w:pPr>
            <w:r>
              <w:rPr>
                <w:rFonts w:hint="eastAsia" w:ascii="Times New Roman" w:hAnsi="Times New Roman" w:eastAsia="宋体" w:cs="Times New Roman"/>
                <w:color w:val="auto"/>
                <w:u w:val="none" w:color="auto"/>
                <w:lang w:eastAsia="zh-CN"/>
              </w:rPr>
              <w:t>竣工验收内容详见</w:t>
            </w:r>
            <w:r>
              <w:rPr>
                <w:rFonts w:hint="eastAsia" w:ascii="Times New Roman" w:hAnsi="Times New Roman" w:eastAsia="宋体" w:cs="Times New Roman"/>
                <w:color w:val="auto"/>
                <w:u w:val="none" w:color="auto"/>
              </w:rPr>
              <w:t>环境保护措施监督检查清单</w:t>
            </w:r>
            <w:r>
              <w:rPr>
                <w:rFonts w:hint="eastAsia" w:ascii="Times New Roman" w:hAnsi="Times New Roman" w:eastAsia="宋体" w:cs="Times New Roman"/>
                <w:color w:val="auto"/>
                <w:u w:val="none" w:color="auto"/>
                <w:lang w:eastAsia="zh-CN"/>
              </w:rPr>
              <w:t>。</w:t>
            </w:r>
          </w:p>
          <w:p w14:paraId="34A4524D">
            <w:pPr>
              <w:ind w:firstLine="482"/>
              <w:rPr>
                <w:rFonts w:hint="eastAsia"/>
                <w:b/>
                <w:bCs/>
                <w:color w:val="auto"/>
                <w:u w:val="none" w:color="auto"/>
              </w:rPr>
            </w:pPr>
            <w:r>
              <w:rPr>
                <w:rFonts w:hint="eastAsia"/>
                <w:b/>
                <w:bCs/>
                <w:color w:val="auto"/>
                <w:u w:val="none" w:color="auto"/>
              </w:rPr>
              <w:t>（十）排污许可衔接</w:t>
            </w:r>
          </w:p>
          <w:p w14:paraId="34AB8648">
            <w:pPr>
              <w:ind w:firstLine="480"/>
              <w:rPr>
                <w:color w:val="auto"/>
                <w:u w:val="none" w:color="auto"/>
              </w:rPr>
            </w:pPr>
            <w:r>
              <w:rPr>
                <w:rFonts w:hint="eastAsia"/>
                <w:color w:val="auto"/>
                <w:u w:val="none" w:color="auto"/>
              </w:rPr>
              <w:t>根据《固定污染源排污许可分类管理名录（2019年版）》第四条，现有排污单位应当在生态环境部规定的实施时限内申请取得排污许可证或者填报排污登记表。新建排污单位应当在启动生产设施或者发生实际排污之前申请取得排污许可证或者填报排污登记表。根据《国民经济行业分类》（GB/T4754-2017），本项目属于“</w:t>
            </w:r>
            <w:r>
              <w:rPr>
                <w:rFonts w:hint="eastAsia" w:ascii="Times New Roman" w:hAnsi="Times New Roman" w:eastAsia="宋体" w:cs="Times New Roman"/>
                <w:color w:val="auto"/>
                <w:u w:val="none" w:color="auto"/>
                <w:lang w:val="en-US" w:eastAsia="zh-CN"/>
              </w:rPr>
              <w:t>3</w:t>
            </w:r>
            <w:r>
              <w:rPr>
                <w:rFonts w:hint="eastAsia" w:cs="Times New Roman"/>
                <w:color w:val="auto"/>
                <w:u w:val="none" w:color="auto"/>
                <w:lang w:val="en-US" w:eastAsia="zh-CN"/>
              </w:rPr>
              <w:t>841</w:t>
            </w:r>
            <w:r>
              <w:rPr>
                <w:rFonts w:hint="eastAsia" w:ascii="Times New Roman" w:hAnsi="Times New Roman" w:eastAsia="宋体" w:cs="Times New Roman"/>
                <w:color w:val="auto"/>
                <w:u w:val="none" w:color="auto"/>
              </w:rPr>
              <w:t>锂离子电池制造</w:t>
            </w:r>
            <w:r>
              <w:rPr>
                <w:rFonts w:hint="eastAsia"/>
                <w:color w:val="auto"/>
                <w:u w:val="none" w:color="auto"/>
              </w:rPr>
              <w:t>”，根据《固定污染源排污许可分类管理名录（2019版）》中的“三十三、电气机械和器材制造业38，电池制造384”中的“锂离子电池制造3841”，本项目属于简化管理的排污单位，需要申请排污许可证，并持证排污。另项目在取得环评批复后，并配套环评要求的环保设施，在具备正常生产条件下应尽快完成本项目验收工作。</w:t>
            </w:r>
          </w:p>
          <w:p w14:paraId="0BA553A4">
            <w:pPr>
              <w:pStyle w:val="11"/>
              <w:rPr>
                <w:rFonts w:ascii="宋体" w:hAnsi="宋体" w:cs="宋体"/>
                <w:bCs/>
                <w:color w:val="auto"/>
                <w:spacing w:val="-10"/>
                <w:szCs w:val="21"/>
                <w:u w:val="none" w:color="auto"/>
              </w:rPr>
            </w:pPr>
          </w:p>
        </w:tc>
      </w:tr>
    </w:tbl>
    <w:p w14:paraId="0EEF9940">
      <w:pPr>
        <w:adjustRightInd w:val="0"/>
        <w:snapToGrid w:val="0"/>
        <w:ind w:firstLine="562"/>
        <w:rPr>
          <w:rFonts w:hint="eastAsia" w:ascii="宋体" w:cs="宋体"/>
          <w:b/>
          <w:color w:val="auto"/>
          <w:kern w:val="0"/>
          <w:sz w:val="28"/>
          <w:szCs w:val="28"/>
          <w:u w:val="none" w:color="auto"/>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0AE1F314">
      <w:pPr>
        <w:pStyle w:val="26"/>
        <w:ind w:firstLine="600"/>
        <w:jc w:val="center"/>
        <w:outlineLvl w:val="0"/>
        <w:rPr>
          <w:rFonts w:hint="eastAsia" w:ascii="黑体" w:hAnsi="黑体" w:eastAsia="黑体"/>
          <w:snapToGrid w:val="0"/>
          <w:color w:val="auto"/>
          <w:sz w:val="30"/>
          <w:szCs w:val="30"/>
          <w:u w:val="none" w:color="auto"/>
        </w:rPr>
      </w:pPr>
      <w:bookmarkStart w:id="11" w:name="_Toc6657"/>
      <w:bookmarkStart w:id="12" w:name="_Toc31819"/>
      <w:r>
        <w:rPr>
          <w:rFonts w:hint="eastAsia" w:ascii="黑体" w:hAnsi="黑体" w:eastAsia="黑体"/>
          <w:snapToGrid w:val="0"/>
          <w:color w:val="auto"/>
          <w:sz w:val="30"/>
          <w:szCs w:val="30"/>
          <w:u w:val="none" w:color="auto"/>
        </w:rPr>
        <w:t>五、</w:t>
      </w:r>
      <w:bookmarkStart w:id="13" w:name="_Hlk54167917"/>
      <w:r>
        <w:rPr>
          <w:rFonts w:hint="eastAsia" w:ascii="黑体" w:hAnsi="黑体" w:eastAsia="黑体"/>
          <w:snapToGrid w:val="0"/>
          <w:color w:val="auto"/>
          <w:sz w:val="30"/>
          <w:szCs w:val="30"/>
          <w:u w:val="none" w:color="auto"/>
        </w:rPr>
        <w:t>环境保护</w:t>
      </w:r>
      <w:bookmarkEnd w:id="11"/>
      <w:bookmarkEnd w:id="12"/>
      <w:bookmarkEnd w:id="13"/>
      <w:r>
        <w:rPr>
          <w:rFonts w:hint="eastAsia" w:ascii="黑体" w:hAnsi="黑体" w:eastAsia="黑体"/>
          <w:snapToGrid w:val="0"/>
          <w:color w:val="auto"/>
          <w:sz w:val="30"/>
          <w:szCs w:val="30"/>
          <w:u w:val="none" w:color="auto"/>
        </w:rPr>
        <w:t>措施监督检查清单</w:t>
      </w:r>
    </w:p>
    <w:tbl>
      <w:tblPr>
        <w:tblStyle w:val="2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7"/>
        <w:gridCol w:w="1575"/>
        <w:gridCol w:w="1035"/>
        <w:gridCol w:w="2437"/>
        <w:gridCol w:w="2877"/>
      </w:tblGrid>
      <w:tr w14:paraId="46361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147" w:type="dxa"/>
            <w:noWrap w:val="0"/>
            <w:vAlign w:val="top"/>
            <mc:AlternateContent>
              <mc:Choice Requires="wpsCustomData">
                <wpsCustomData:diagonals>
                  <wpsCustomData:diagonal from="10000" to="30000">
                    <wpsCustomData:border w:val="single" w:color="auto" w:sz="4" w:space="0"/>
                  </wpsCustomData:diagonal>
                </wpsCustomData:diagonals>
              </mc:Choice>
            </mc:AlternateContent>
          </w:tcPr>
          <w:p w14:paraId="7DB7E9DE">
            <w:pPr>
              <w:pStyle w:val="11"/>
              <w:rPr>
                <w:color w:val="auto"/>
                <w:u w:val="none" w:color="auto"/>
              </w:rPr>
            </w:pPr>
            <w:r>
              <w:rPr>
                <w:color w:val="auto"/>
                <w:sz w:val="21"/>
                <w:szCs w:val="21"/>
                <w:u w:val="none" w:color="auto"/>
              </w:rPr>
              <w:t>要素</w:t>
            </w:r>
          </w:p>
          <w:p w14:paraId="2293D0F5">
            <w:pPr>
              <w:pStyle w:val="11"/>
              <w:snapToGrid w:val="0"/>
              <mc:AlternateContent>
                <mc:Choice Requires="wpsCustomData">
                  <wpsCustomData:diagonalParaType/>
                </mc:Choice>
              </mc:AlternateContent>
              <w:rPr>
                <w:color w:val="auto"/>
                <w:u w:val="none" w:color="auto"/>
              </w:rPr>
            </w:pPr>
          </w:p>
          <w:p w14:paraId="77B16E0A">
            <w:pPr>
              <w:pStyle w:val="11"/>
              <w:rPr>
                <w:color w:val="auto"/>
                <w:u w:val="none" w:color="auto"/>
              </w:rPr>
            </w:pPr>
            <w:r>
              <w:rPr>
                <w:color w:val="auto"/>
                <w:sz w:val="21"/>
                <w:szCs w:val="21"/>
                <w:u w:val="none" w:color="auto"/>
              </w:rPr>
              <w:t>内容</w:t>
            </w:r>
          </w:p>
        </w:tc>
        <w:tc>
          <w:tcPr>
            <w:tcW w:w="1575" w:type="dxa"/>
            <w:noWrap w:val="0"/>
            <w:vAlign w:val="center"/>
          </w:tcPr>
          <w:p w14:paraId="1480E413">
            <w:pPr>
              <w:pStyle w:val="11"/>
              <w:rPr>
                <w:color w:val="auto"/>
                <w:sz w:val="21"/>
                <w:szCs w:val="21"/>
                <w:u w:val="none" w:color="auto"/>
              </w:rPr>
            </w:pPr>
            <w:r>
              <w:rPr>
                <w:color w:val="auto"/>
                <w:sz w:val="21"/>
                <w:szCs w:val="21"/>
                <w:u w:val="none" w:color="auto"/>
              </w:rPr>
              <w:t>排放口</w:t>
            </w:r>
            <w:r>
              <w:rPr>
                <w:rFonts w:hint="eastAsia"/>
                <w:color w:val="auto"/>
                <w:sz w:val="21"/>
                <w:szCs w:val="21"/>
                <w:u w:val="none" w:color="auto"/>
                <w:lang w:eastAsia="zh-CN"/>
              </w:rPr>
              <w:t>（</w:t>
            </w:r>
            <w:r>
              <w:rPr>
                <w:color w:val="auto"/>
                <w:sz w:val="21"/>
                <w:szCs w:val="21"/>
                <w:u w:val="none" w:color="auto"/>
              </w:rPr>
              <w:t>编号、</w:t>
            </w:r>
          </w:p>
          <w:p w14:paraId="05D0EC61">
            <w:pPr>
              <w:pStyle w:val="11"/>
              <w:rPr>
                <w:color w:val="auto"/>
                <w:u w:val="none" w:color="auto"/>
              </w:rPr>
            </w:pPr>
            <w:r>
              <w:rPr>
                <w:color w:val="auto"/>
                <w:sz w:val="21"/>
                <w:szCs w:val="21"/>
                <w:u w:val="none" w:color="auto"/>
              </w:rPr>
              <w:t>名称</w:t>
            </w:r>
            <w:r>
              <w:rPr>
                <w:rFonts w:hint="eastAsia"/>
                <w:color w:val="auto"/>
                <w:sz w:val="21"/>
                <w:szCs w:val="21"/>
                <w:u w:val="none" w:color="auto"/>
                <w:lang w:eastAsia="zh-CN"/>
              </w:rPr>
              <w:t>）</w:t>
            </w:r>
            <w:r>
              <w:rPr>
                <w:color w:val="auto"/>
                <w:sz w:val="21"/>
                <w:szCs w:val="21"/>
                <w:u w:val="none" w:color="auto"/>
              </w:rPr>
              <w:t>/污染源</w:t>
            </w:r>
          </w:p>
        </w:tc>
        <w:tc>
          <w:tcPr>
            <w:tcW w:w="1035" w:type="dxa"/>
            <w:noWrap w:val="0"/>
            <w:vAlign w:val="center"/>
          </w:tcPr>
          <w:p w14:paraId="6BECC7FF">
            <w:pPr>
              <w:pStyle w:val="11"/>
              <w:rPr>
                <w:color w:val="auto"/>
                <w:u w:val="none" w:color="auto"/>
              </w:rPr>
            </w:pPr>
            <w:r>
              <w:rPr>
                <w:color w:val="auto"/>
                <w:sz w:val="21"/>
                <w:szCs w:val="21"/>
                <w:u w:val="none" w:color="auto"/>
              </w:rPr>
              <w:t>污染物项目</w:t>
            </w:r>
          </w:p>
        </w:tc>
        <w:tc>
          <w:tcPr>
            <w:tcW w:w="2437" w:type="dxa"/>
            <w:noWrap w:val="0"/>
            <w:vAlign w:val="center"/>
          </w:tcPr>
          <w:p w14:paraId="34692BB8">
            <w:pPr>
              <w:pStyle w:val="11"/>
              <w:rPr>
                <w:color w:val="auto"/>
                <w:u w:val="none" w:color="auto"/>
              </w:rPr>
            </w:pPr>
            <w:r>
              <w:rPr>
                <w:color w:val="auto"/>
                <w:sz w:val="21"/>
                <w:szCs w:val="21"/>
                <w:u w:val="none" w:color="auto"/>
              </w:rPr>
              <w:t>环境保护措施</w:t>
            </w:r>
          </w:p>
        </w:tc>
        <w:tc>
          <w:tcPr>
            <w:tcW w:w="2877" w:type="dxa"/>
            <w:noWrap w:val="0"/>
            <w:vAlign w:val="center"/>
          </w:tcPr>
          <w:p w14:paraId="0CE6D216">
            <w:pPr>
              <w:pStyle w:val="11"/>
              <w:rPr>
                <w:color w:val="auto"/>
                <w:u w:val="none" w:color="auto"/>
              </w:rPr>
            </w:pPr>
            <w:r>
              <w:rPr>
                <w:color w:val="auto"/>
                <w:sz w:val="21"/>
                <w:szCs w:val="21"/>
                <w:u w:val="none" w:color="auto"/>
              </w:rPr>
              <w:t>执行标准</w:t>
            </w:r>
          </w:p>
        </w:tc>
      </w:tr>
      <w:tr w14:paraId="27A2F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147" w:type="dxa"/>
            <w:vMerge w:val="restart"/>
            <w:noWrap w:val="0"/>
            <w:vAlign w:val="center"/>
          </w:tcPr>
          <w:p w14:paraId="57B9D417">
            <w:pPr>
              <w:pStyle w:val="11"/>
              <w:rPr>
                <w:color w:val="auto"/>
                <w:sz w:val="21"/>
                <w:szCs w:val="21"/>
                <w:u w:val="none" w:color="auto"/>
              </w:rPr>
            </w:pPr>
            <w:r>
              <w:rPr>
                <w:rFonts w:hint="eastAsia"/>
                <w:color w:val="auto"/>
                <w:sz w:val="21"/>
                <w:szCs w:val="21"/>
                <w:u w:val="none" w:color="auto"/>
              </w:rPr>
              <w:t>大气环境</w:t>
            </w:r>
          </w:p>
        </w:tc>
        <w:tc>
          <w:tcPr>
            <w:tcW w:w="1575" w:type="dxa"/>
            <w:noWrap w:val="0"/>
            <w:vAlign w:val="center"/>
          </w:tcPr>
          <w:p w14:paraId="77DF54AF">
            <w:pPr>
              <w:pStyle w:val="11"/>
              <w:rPr>
                <w:rFonts w:hint="eastAsia" w:eastAsia="宋体"/>
                <w:color w:val="auto"/>
                <w:sz w:val="21"/>
                <w:szCs w:val="21"/>
                <w:u w:val="none" w:color="auto"/>
                <w:lang w:eastAsia="zh-CN"/>
              </w:rPr>
            </w:pPr>
            <w:r>
              <w:rPr>
                <w:rFonts w:hint="eastAsia"/>
                <w:color w:val="auto"/>
                <w:sz w:val="21"/>
                <w:szCs w:val="21"/>
                <w:u w:val="none" w:color="auto"/>
                <w:lang w:eastAsia="zh-CN"/>
              </w:rPr>
              <w:t>供卸料、原料堆放、原料投加</w:t>
            </w:r>
          </w:p>
        </w:tc>
        <w:tc>
          <w:tcPr>
            <w:tcW w:w="1035" w:type="dxa"/>
            <w:noWrap w:val="0"/>
            <w:vAlign w:val="center"/>
          </w:tcPr>
          <w:p w14:paraId="46A6E3D1">
            <w:pPr>
              <w:pStyle w:val="11"/>
              <w:rPr>
                <w:color w:val="auto"/>
                <w:sz w:val="21"/>
                <w:szCs w:val="21"/>
                <w:u w:val="none" w:color="auto"/>
              </w:rPr>
            </w:pPr>
            <w:r>
              <w:rPr>
                <w:rFonts w:hint="eastAsia"/>
                <w:color w:val="auto"/>
                <w:sz w:val="21"/>
                <w:szCs w:val="21"/>
                <w:u w:val="none" w:color="auto"/>
              </w:rPr>
              <w:t>颗粒物</w:t>
            </w:r>
          </w:p>
        </w:tc>
        <w:tc>
          <w:tcPr>
            <w:tcW w:w="2437" w:type="dxa"/>
            <w:noWrap w:val="0"/>
            <w:vAlign w:val="center"/>
          </w:tcPr>
          <w:p w14:paraId="02CBBBE7">
            <w:pPr>
              <w:pStyle w:val="11"/>
              <w:rPr>
                <w:rFonts w:hint="default" w:eastAsia="宋体"/>
                <w:color w:val="auto"/>
                <w:sz w:val="21"/>
                <w:szCs w:val="21"/>
                <w:u w:val="none" w:color="auto"/>
                <w:lang w:val="en-US" w:eastAsia="zh-CN"/>
              </w:rPr>
            </w:pPr>
            <w:r>
              <w:rPr>
                <w:rFonts w:hint="eastAsia"/>
                <w:color w:val="auto"/>
                <w:sz w:val="21"/>
                <w:szCs w:val="21"/>
                <w:u w:val="none" w:color="auto"/>
                <w:lang w:val="en-US" w:eastAsia="zh-CN"/>
              </w:rPr>
              <w:t>原辅材料包装堆放在仓库内，配料设置在密闭车间内，减少无组织粉尘的排放</w:t>
            </w:r>
          </w:p>
        </w:tc>
        <w:tc>
          <w:tcPr>
            <w:tcW w:w="2877" w:type="dxa"/>
            <w:vMerge w:val="restart"/>
            <w:noWrap w:val="0"/>
            <w:vAlign w:val="center"/>
          </w:tcPr>
          <w:p w14:paraId="19458003">
            <w:pPr>
              <w:pStyle w:val="11"/>
              <w:rPr>
                <w:color w:val="auto"/>
                <w:sz w:val="21"/>
                <w:szCs w:val="21"/>
                <w:u w:val="none" w:color="auto"/>
              </w:rPr>
            </w:pPr>
            <w:r>
              <w:rPr>
                <w:rFonts w:hint="eastAsia"/>
                <w:color w:val="auto"/>
                <w:sz w:val="21"/>
                <w:szCs w:val="21"/>
                <w:u w:val="none" w:color="auto"/>
              </w:rPr>
              <w:t>《电池工业污染物排放标准》(GB30484-2013</w:t>
            </w:r>
            <w:r>
              <w:rPr>
                <w:rFonts w:hint="eastAsia"/>
                <w:color w:val="auto"/>
                <w:sz w:val="21"/>
                <w:szCs w:val="21"/>
                <w:u w:val="none" w:color="auto"/>
                <w:lang w:eastAsia="zh-CN"/>
              </w:rPr>
              <w:t>）</w:t>
            </w:r>
            <w:r>
              <w:rPr>
                <w:rFonts w:hint="eastAsia"/>
                <w:color w:val="auto"/>
                <w:sz w:val="21"/>
                <w:szCs w:val="21"/>
                <w:u w:val="none" w:color="auto"/>
              </w:rPr>
              <w:t>表6现有和新建企业边界大气污染物浓度限值</w:t>
            </w:r>
          </w:p>
        </w:tc>
      </w:tr>
      <w:tr w14:paraId="2B572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1147" w:type="dxa"/>
            <w:vMerge w:val="continue"/>
            <w:noWrap w:val="0"/>
            <w:vAlign w:val="center"/>
          </w:tcPr>
          <w:p w14:paraId="00A6BBB7">
            <w:pPr>
              <w:pStyle w:val="11"/>
              <w:rPr>
                <w:rFonts w:hint="eastAsia"/>
                <w:color w:val="auto"/>
                <w:sz w:val="21"/>
                <w:szCs w:val="21"/>
                <w:u w:val="none" w:color="auto"/>
              </w:rPr>
            </w:pPr>
          </w:p>
        </w:tc>
        <w:tc>
          <w:tcPr>
            <w:tcW w:w="1575" w:type="dxa"/>
            <w:noWrap w:val="0"/>
            <w:vAlign w:val="center"/>
          </w:tcPr>
          <w:p w14:paraId="5534561D">
            <w:pPr>
              <w:pStyle w:val="11"/>
              <w:rPr>
                <w:rFonts w:hint="eastAsia"/>
                <w:color w:val="auto"/>
                <w:sz w:val="21"/>
                <w:szCs w:val="21"/>
                <w:u w:val="none" w:color="auto"/>
              </w:rPr>
            </w:pPr>
            <w:r>
              <w:rPr>
                <w:rFonts w:hint="eastAsia"/>
                <w:color w:val="auto"/>
                <w:sz w:val="21"/>
                <w:szCs w:val="21"/>
                <w:u w:val="none" w:color="auto"/>
              </w:rPr>
              <w:t>喷码等无组织废气</w:t>
            </w:r>
          </w:p>
        </w:tc>
        <w:tc>
          <w:tcPr>
            <w:tcW w:w="1035" w:type="dxa"/>
            <w:noWrap w:val="0"/>
            <w:vAlign w:val="center"/>
          </w:tcPr>
          <w:p w14:paraId="75288CED">
            <w:pPr>
              <w:pStyle w:val="11"/>
              <w:rPr>
                <w:rFonts w:hint="eastAsia"/>
                <w:color w:val="auto"/>
                <w:sz w:val="21"/>
                <w:szCs w:val="21"/>
                <w:u w:val="none" w:color="auto"/>
              </w:rPr>
            </w:pPr>
            <w:r>
              <w:rPr>
                <w:rFonts w:hint="eastAsia"/>
                <w:color w:val="auto"/>
                <w:sz w:val="21"/>
                <w:szCs w:val="21"/>
                <w:u w:val="none" w:color="auto"/>
              </w:rPr>
              <w:t>非甲烷总烃</w:t>
            </w:r>
          </w:p>
        </w:tc>
        <w:tc>
          <w:tcPr>
            <w:tcW w:w="2437" w:type="dxa"/>
            <w:noWrap w:val="0"/>
            <w:vAlign w:val="center"/>
          </w:tcPr>
          <w:p w14:paraId="5F5021BF">
            <w:pPr>
              <w:pStyle w:val="11"/>
              <w:rPr>
                <w:rFonts w:hint="eastAsia"/>
                <w:color w:val="auto"/>
                <w:sz w:val="21"/>
                <w:szCs w:val="21"/>
                <w:u w:val="none" w:color="auto"/>
              </w:rPr>
            </w:pPr>
            <w:r>
              <w:rPr>
                <w:rFonts w:hint="eastAsia"/>
                <w:color w:val="auto"/>
                <w:sz w:val="21"/>
                <w:szCs w:val="21"/>
                <w:u w:val="none" w:color="auto"/>
              </w:rPr>
              <w:t>车间排风扇</w:t>
            </w:r>
          </w:p>
        </w:tc>
        <w:tc>
          <w:tcPr>
            <w:tcW w:w="2877" w:type="dxa"/>
            <w:vMerge w:val="continue"/>
            <w:noWrap w:val="0"/>
            <w:vAlign w:val="center"/>
          </w:tcPr>
          <w:p w14:paraId="3265168E">
            <w:pPr>
              <w:pStyle w:val="11"/>
              <w:rPr>
                <w:rFonts w:hint="eastAsia"/>
                <w:color w:val="auto"/>
                <w:sz w:val="21"/>
                <w:szCs w:val="21"/>
                <w:u w:val="none" w:color="auto"/>
              </w:rPr>
            </w:pPr>
          </w:p>
        </w:tc>
      </w:tr>
      <w:tr w14:paraId="00BBF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147" w:type="dxa"/>
            <w:vMerge w:val="continue"/>
            <w:noWrap w:val="0"/>
            <w:vAlign w:val="center"/>
          </w:tcPr>
          <w:p w14:paraId="40E6D109">
            <w:pPr>
              <w:pStyle w:val="11"/>
              <w:rPr>
                <w:color w:val="auto"/>
                <w:sz w:val="21"/>
                <w:szCs w:val="21"/>
                <w:u w:val="none" w:color="auto"/>
              </w:rPr>
            </w:pPr>
          </w:p>
        </w:tc>
        <w:tc>
          <w:tcPr>
            <w:tcW w:w="1575" w:type="dxa"/>
            <w:noWrap w:val="0"/>
            <w:vAlign w:val="center"/>
          </w:tcPr>
          <w:p w14:paraId="5CC5B6D8">
            <w:pPr>
              <w:pStyle w:val="11"/>
              <w:rPr>
                <w:color w:val="auto"/>
                <w:sz w:val="21"/>
                <w:szCs w:val="21"/>
                <w:u w:val="none" w:color="auto"/>
              </w:rPr>
            </w:pPr>
            <w:r>
              <w:rPr>
                <w:rFonts w:hint="eastAsia"/>
                <w:color w:val="auto"/>
                <w:sz w:val="21"/>
                <w:szCs w:val="21"/>
                <w:u w:val="none" w:color="auto"/>
                <w:lang w:eastAsia="zh-CN"/>
              </w:rPr>
              <w:t>正极</w:t>
            </w:r>
            <w:r>
              <w:rPr>
                <w:rFonts w:hint="eastAsia"/>
                <w:color w:val="auto"/>
                <w:sz w:val="21"/>
                <w:szCs w:val="21"/>
                <w:u w:val="none" w:color="auto"/>
              </w:rPr>
              <w:t>涂布烘干NMP废气</w:t>
            </w:r>
          </w:p>
        </w:tc>
        <w:tc>
          <w:tcPr>
            <w:tcW w:w="1035" w:type="dxa"/>
            <w:noWrap w:val="0"/>
            <w:vAlign w:val="center"/>
          </w:tcPr>
          <w:p w14:paraId="1777A539">
            <w:pPr>
              <w:pStyle w:val="11"/>
              <w:rPr>
                <w:color w:val="auto"/>
                <w:sz w:val="21"/>
                <w:szCs w:val="21"/>
                <w:u w:val="none" w:color="auto"/>
              </w:rPr>
            </w:pPr>
            <w:r>
              <w:rPr>
                <w:rFonts w:hint="eastAsia"/>
                <w:color w:val="auto"/>
                <w:sz w:val="21"/>
                <w:szCs w:val="21"/>
                <w:u w:val="none" w:color="auto"/>
              </w:rPr>
              <w:t>非甲烷总烃</w:t>
            </w:r>
          </w:p>
        </w:tc>
        <w:tc>
          <w:tcPr>
            <w:tcW w:w="2437" w:type="dxa"/>
            <w:noWrap w:val="0"/>
            <w:vAlign w:val="center"/>
          </w:tcPr>
          <w:p w14:paraId="788130C5">
            <w:pPr>
              <w:pStyle w:val="11"/>
              <w:rPr>
                <w:color w:val="auto"/>
                <w:sz w:val="21"/>
                <w:szCs w:val="21"/>
                <w:u w:val="none" w:color="auto"/>
              </w:rPr>
            </w:pPr>
            <w:r>
              <w:rPr>
                <w:rFonts w:hint="eastAsia"/>
                <w:color w:val="auto"/>
                <w:sz w:val="21"/>
                <w:szCs w:val="21"/>
                <w:u w:val="none" w:color="auto"/>
                <w:lang w:val="en-US" w:eastAsia="zh-CN"/>
              </w:rPr>
              <w:t>1套</w:t>
            </w:r>
            <w:r>
              <w:rPr>
                <w:rFonts w:hint="eastAsia"/>
                <w:color w:val="auto"/>
                <w:sz w:val="21"/>
                <w:szCs w:val="21"/>
                <w:u w:val="none" w:color="auto"/>
              </w:rPr>
              <w:t>高效冷凝回收系统+</w:t>
            </w:r>
            <w:r>
              <w:rPr>
                <w:rFonts w:hint="eastAsia"/>
                <w:color w:val="auto"/>
                <w:sz w:val="21"/>
                <w:szCs w:val="21"/>
                <w:u w:val="none" w:color="auto"/>
                <w:lang w:val="en-US" w:eastAsia="zh-CN"/>
              </w:rPr>
              <w:t>25</w:t>
            </w:r>
            <w:r>
              <w:rPr>
                <w:rFonts w:hint="eastAsia"/>
                <w:color w:val="auto"/>
                <w:sz w:val="21"/>
                <w:szCs w:val="21"/>
                <w:u w:val="none" w:color="auto"/>
                <w:lang w:eastAsia="zh-CN"/>
              </w:rPr>
              <w:t>m高</w:t>
            </w:r>
            <w:r>
              <w:rPr>
                <w:rFonts w:hint="eastAsia"/>
                <w:color w:val="auto"/>
                <w:sz w:val="21"/>
                <w:szCs w:val="21"/>
                <w:u w:val="none" w:color="auto"/>
              </w:rPr>
              <w:t>排气筒</w:t>
            </w:r>
          </w:p>
        </w:tc>
        <w:tc>
          <w:tcPr>
            <w:tcW w:w="2877" w:type="dxa"/>
            <w:vMerge w:val="restart"/>
            <w:noWrap w:val="0"/>
            <w:vAlign w:val="center"/>
          </w:tcPr>
          <w:p w14:paraId="72900F35">
            <w:pPr>
              <w:pStyle w:val="11"/>
              <w:rPr>
                <w:color w:val="auto"/>
                <w:sz w:val="21"/>
                <w:szCs w:val="21"/>
                <w:u w:val="none" w:color="auto"/>
              </w:rPr>
            </w:pPr>
            <w:r>
              <w:rPr>
                <w:rFonts w:hint="eastAsia"/>
                <w:color w:val="auto"/>
                <w:sz w:val="21"/>
                <w:szCs w:val="21"/>
                <w:u w:val="none" w:color="auto"/>
              </w:rPr>
              <w:t>《电池工业污染物排放标准》（GB30484-2013）中</w:t>
            </w:r>
            <w:r>
              <w:rPr>
                <w:rFonts w:hint="eastAsia"/>
                <w:color w:val="auto"/>
                <w:sz w:val="21"/>
                <w:szCs w:val="21"/>
                <w:u w:val="none" w:color="auto"/>
                <w:lang w:eastAsia="zh-CN"/>
              </w:rPr>
              <w:t>（</w:t>
            </w:r>
            <w:r>
              <w:rPr>
                <w:rFonts w:hint="eastAsia"/>
                <w:color w:val="auto"/>
                <w:sz w:val="21"/>
                <w:szCs w:val="21"/>
                <w:u w:val="none" w:color="auto"/>
              </w:rPr>
              <w:t>表5</w:t>
            </w:r>
            <w:r>
              <w:rPr>
                <w:rFonts w:hint="eastAsia"/>
                <w:color w:val="auto"/>
                <w:sz w:val="21"/>
                <w:szCs w:val="21"/>
                <w:u w:val="none" w:color="auto"/>
                <w:lang w:eastAsia="zh-CN"/>
              </w:rPr>
              <w:t>）</w:t>
            </w:r>
          </w:p>
        </w:tc>
      </w:tr>
      <w:tr w14:paraId="258D6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147" w:type="dxa"/>
            <w:vMerge w:val="continue"/>
            <w:noWrap w:val="0"/>
            <w:vAlign w:val="center"/>
          </w:tcPr>
          <w:p w14:paraId="3B17248B">
            <w:pPr>
              <w:pStyle w:val="11"/>
              <w:rPr>
                <w:color w:val="auto"/>
                <w:sz w:val="21"/>
                <w:szCs w:val="21"/>
                <w:u w:val="none" w:color="auto"/>
              </w:rPr>
            </w:pPr>
          </w:p>
        </w:tc>
        <w:tc>
          <w:tcPr>
            <w:tcW w:w="1575" w:type="dxa"/>
            <w:noWrap w:val="0"/>
            <w:vAlign w:val="center"/>
          </w:tcPr>
          <w:p w14:paraId="7C7940DB">
            <w:pPr>
              <w:pStyle w:val="11"/>
              <w:rPr>
                <w:rFonts w:hint="eastAsia"/>
                <w:color w:val="auto"/>
                <w:sz w:val="21"/>
                <w:szCs w:val="21"/>
                <w:u w:val="none" w:color="auto"/>
              </w:rPr>
            </w:pPr>
            <w:r>
              <w:rPr>
                <w:rFonts w:hint="eastAsia"/>
                <w:color w:val="auto"/>
                <w:sz w:val="21"/>
                <w:szCs w:val="21"/>
                <w:u w:val="none" w:color="auto"/>
              </w:rPr>
              <w:t>注液废气</w:t>
            </w:r>
          </w:p>
        </w:tc>
        <w:tc>
          <w:tcPr>
            <w:tcW w:w="1035" w:type="dxa"/>
            <w:noWrap w:val="0"/>
            <w:vAlign w:val="center"/>
          </w:tcPr>
          <w:p w14:paraId="6C95F154">
            <w:pPr>
              <w:pStyle w:val="11"/>
              <w:rPr>
                <w:rFonts w:hint="eastAsia"/>
                <w:color w:val="auto"/>
                <w:sz w:val="21"/>
                <w:szCs w:val="21"/>
                <w:u w:val="none" w:color="auto"/>
              </w:rPr>
            </w:pPr>
            <w:r>
              <w:rPr>
                <w:rFonts w:hint="eastAsia"/>
                <w:color w:val="auto"/>
                <w:sz w:val="21"/>
                <w:szCs w:val="21"/>
                <w:u w:val="none" w:color="auto"/>
              </w:rPr>
              <w:t>非甲烷总烃</w:t>
            </w:r>
          </w:p>
        </w:tc>
        <w:tc>
          <w:tcPr>
            <w:tcW w:w="2437" w:type="dxa"/>
            <w:noWrap w:val="0"/>
            <w:vAlign w:val="center"/>
          </w:tcPr>
          <w:p w14:paraId="623DC0F3">
            <w:pPr>
              <w:pStyle w:val="11"/>
              <w:rPr>
                <w:rFonts w:hint="default" w:eastAsia="宋体"/>
                <w:color w:val="auto"/>
                <w:sz w:val="21"/>
                <w:szCs w:val="21"/>
                <w:u w:val="none" w:color="auto"/>
                <w:lang w:val="en-US" w:eastAsia="zh-CN"/>
              </w:rPr>
            </w:pPr>
            <w:r>
              <w:rPr>
                <w:rFonts w:hint="eastAsia"/>
                <w:color w:val="auto"/>
                <w:sz w:val="21"/>
                <w:szCs w:val="21"/>
                <w:u w:val="none" w:color="auto"/>
                <w:lang w:val="en-US" w:eastAsia="zh-CN"/>
              </w:rPr>
              <w:t>全密闭自动注液机，引至厂外排放</w:t>
            </w:r>
          </w:p>
        </w:tc>
        <w:tc>
          <w:tcPr>
            <w:tcW w:w="2877" w:type="dxa"/>
            <w:vMerge w:val="continue"/>
            <w:noWrap w:val="0"/>
            <w:vAlign w:val="center"/>
          </w:tcPr>
          <w:p w14:paraId="4A91E941">
            <w:pPr>
              <w:pStyle w:val="11"/>
              <w:rPr>
                <w:rFonts w:hint="eastAsia"/>
                <w:color w:val="auto"/>
                <w:sz w:val="21"/>
                <w:szCs w:val="21"/>
                <w:u w:val="none" w:color="auto"/>
              </w:rPr>
            </w:pPr>
          </w:p>
        </w:tc>
      </w:tr>
      <w:tr w14:paraId="051F2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6" w:hRule="atLeast"/>
          <w:jc w:val="center"/>
        </w:trPr>
        <w:tc>
          <w:tcPr>
            <w:tcW w:w="1147" w:type="dxa"/>
            <w:noWrap w:val="0"/>
            <w:vAlign w:val="center"/>
          </w:tcPr>
          <w:p w14:paraId="263A4047">
            <w:pPr>
              <w:pStyle w:val="11"/>
              <w:rPr>
                <w:color w:val="auto"/>
                <w:sz w:val="21"/>
                <w:szCs w:val="21"/>
                <w:u w:val="none" w:color="auto"/>
              </w:rPr>
            </w:pPr>
            <w:r>
              <w:rPr>
                <w:rFonts w:hint="eastAsia"/>
                <w:color w:val="auto"/>
                <w:sz w:val="21"/>
                <w:szCs w:val="21"/>
                <w:u w:val="none" w:color="auto"/>
              </w:rPr>
              <w:t>地表水环境</w:t>
            </w:r>
          </w:p>
        </w:tc>
        <w:tc>
          <w:tcPr>
            <w:tcW w:w="1575" w:type="dxa"/>
            <w:noWrap w:val="0"/>
            <w:vAlign w:val="center"/>
          </w:tcPr>
          <w:p w14:paraId="6C9EF32C">
            <w:pPr>
              <w:pStyle w:val="11"/>
              <w:rPr>
                <w:rFonts w:hint="default" w:eastAsia="宋体"/>
                <w:color w:val="auto"/>
                <w:sz w:val="21"/>
                <w:szCs w:val="21"/>
                <w:u w:val="none" w:color="auto"/>
                <w:lang w:val="en-US" w:eastAsia="zh-CN"/>
              </w:rPr>
            </w:pPr>
            <w:r>
              <w:rPr>
                <w:rFonts w:hint="eastAsia"/>
                <w:color w:val="auto"/>
                <w:sz w:val="21"/>
                <w:szCs w:val="21"/>
                <w:u w:val="none" w:color="auto"/>
                <w:lang w:val="en-US" w:eastAsia="zh-CN"/>
              </w:rPr>
              <w:t>生产废水</w:t>
            </w:r>
          </w:p>
        </w:tc>
        <w:tc>
          <w:tcPr>
            <w:tcW w:w="1035" w:type="dxa"/>
            <w:noWrap w:val="0"/>
            <w:vAlign w:val="center"/>
          </w:tcPr>
          <w:p w14:paraId="185C9299">
            <w:pPr>
              <w:pStyle w:val="11"/>
              <w:rPr>
                <w:rFonts w:hint="default" w:eastAsia="宋体"/>
                <w:color w:val="auto"/>
                <w:sz w:val="21"/>
                <w:szCs w:val="21"/>
                <w:u w:val="none" w:color="auto"/>
                <w:lang w:val="en-US" w:eastAsia="zh-CN"/>
              </w:rPr>
            </w:pPr>
            <w:r>
              <w:rPr>
                <w:color w:val="auto"/>
                <w:sz w:val="21"/>
                <w:szCs w:val="21"/>
                <w:u w:val="none" w:color="auto"/>
              </w:rPr>
              <w:t>CODcr</w:t>
            </w:r>
            <w:r>
              <w:rPr>
                <w:rFonts w:hint="eastAsia"/>
                <w:color w:val="auto"/>
                <w:sz w:val="21"/>
                <w:szCs w:val="21"/>
                <w:u w:val="none" w:color="auto"/>
              </w:rPr>
              <w:t>、BOD</w:t>
            </w:r>
            <w:r>
              <w:rPr>
                <w:rFonts w:hint="eastAsia"/>
                <w:color w:val="auto"/>
                <w:sz w:val="21"/>
                <w:szCs w:val="21"/>
                <w:u w:val="none" w:color="auto"/>
                <w:vertAlign w:val="subscript"/>
              </w:rPr>
              <w:t>5</w:t>
            </w:r>
            <w:r>
              <w:rPr>
                <w:rFonts w:hint="eastAsia"/>
                <w:color w:val="auto"/>
                <w:sz w:val="21"/>
                <w:szCs w:val="21"/>
                <w:u w:val="none" w:color="auto"/>
              </w:rPr>
              <w:t>、SS、</w:t>
            </w:r>
            <w:r>
              <w:rPr>
                <w:color w:val="auto"/>
                <w:sz w:val="21"/>
                <w:szCs w:val="21"/>
                <w:u w:val="none" w:color="auto"/>
              </w:rPr>
              <w:t>氨氮</w:t>
            </w:r>
            <w:r>
              <w:rPr>
                <w:rFonts w:hint="eastAsia"/>
                <w:color w:val="auto"/>
                <w:sz w:val="21"/>
                <w:szCs w:val="21"/>
                <w:u w:val="none" w:color="auto"/>
                <w:lang w:eastAsia="zh-CN"/>
              </w:rPr>
              <w:t>、</w:t>
            </w:r>
            <w:r>
              <w:rPr>
                <w:rFonts w:hint="eastAsia"/>
                <w:color w:val="auto"/>
                <w:sz w:val="21"/>
                <w:szCs w:val="21"/>
                <w:u w:val="none" w:color="auto"/>
                <w:lang w:val="en-US" w:eastAsia="zh-CN"/>
              </w:rPr>
              <w:t>总钴、总镍</w:t>
            </w:r>
          </w:p>
        </w:tc>
        <w:tc>
          <w:tcPr>
            <w:tcW w:w="2437" w:type="dxa"/>
            <w:noWrap w:val="0"/>
            <w:vAlign w:val="center"/>
          </w:tcPr>
          <w:p w14:paraId="5B48813C">
            <w:pPr>
              <w:pStyle w:val="11"/>
              <w:rPr>
                <w:rFonts w:hint="default" w:eastAsia="宋体"/>
                <w:color w:val="auto"/>
                <w:sz w:val="21"/>
                <w:szCs w:val="21"/>
                <w:u w:val="none" w:color="auto"/>
                <w:lang w:val="en-US" w:eastAsia="zh-CN"/>
              </w:rPr>
            </w:pPr>
            <w:r>
              <w:rPr>
                <w:rFonts w:hint="eastAsia"/>
                <w:color w:val="auto"/>
                <w:sz w:val="21"/>
                <w:szCs w:val="21"/>
                <w:u w:val="none" w:color="auto"/>
                <w:lang w:val="en-US" w:eastAsia="zh-CN"/>
              </w:rPr>
              <w:t>清净下水直接排入市政污水管网，拖把清洗废水经沉淀池预处理后</w:t>
            </w:r>
            <w:r>
              <w:rPr>
                <w:rFonts w:hint="eastAsia"/>
                <w:color w:val="auto"/>
                <w:sz w:val="21"/>
                <w:szCs w:val="21"/>
                <w:u w:val="none" w:color="auto"/>
              </w:rPr>
              <w:t>排入</w:t>
            </w:r>
            <w:r>
              <w:rPr>
                <w:rFonts w:hint="eastAsia"/>
                <w:color w:val="auto"/>
                <w:sz w:val="21"/>
                <w:szCs w:val="21"/>
                <w:u w:val="none" w:color="auto"/>
                <w:lang w:val="en-US" w:eastAsia="zh-CN"/>
              </w:rPr>
              <w:t>市政污水管网汇入</w:t>
            </w:r>
            <w:r>
              <w:rPr>
                <w:rFonts w:hint="eastAsia"/>
                <w:color w:val="auto"/>
                <w:sz w:val="21"/>
                <w:szCs w:val="21"/>
                <w:u w:val="none" w:color="auto"/>
                <w:lang w:eastAsia="zh-CN"/>
              </w:rPr>
              <w:t>新田县污水处理厂</w:t>
            </w:r>
          </w:p>
        </w:tc>
        <w:tc>
          <w:tcPr>
            <w:tcW w:w="2877" w:type="dxa"/>
            <w:noWrap w:val="0"/>
            <w:vAlign w:val="center"/>
          </w:tcPr>
          <w:p w14:paraId="7CAC9B3E">
            <w:pPr>
              <w:pStyle w:val="11"/>
              <w:rPr>
                <w:rFonts w:hint="eastAsia"/>
                <w:color w:val="auto"/>
                <w:sz w:val="21"/>
                <w:szCs w:val="21"/>
                <w:u w:val="none" w:color="auto"/>
              </w:rPr>
            </w:pPr>
            <w:r>
              <w:rPr>
                <w:rFonts w:hint="eastAsia"/>
                <w:color w:val="auto"/>
                <w:sz w:val="21"/>
                <w:szCs w:val="21"/>
                <w:u w:val="none" w:color="auto"/>
              </w:rPr>
              <w:t>《电池工业污染物排放标准》（GB30484-2013）表2中排放标准，且需满足</w:t>
            </w:r>
            <w:r>
              <w:rPr>
                <w:rFonts w:hint="eastAsia"/>
                <w:color w:val="auto"/>
                <w:sz w:val="21"/>
                <w:szCs w:val="21"/>
                <w:u w:val="none" w:color="auto"/>
                <w:lang w:eastAsia="zh-CN"/>
              </w:rPr>
              <w:t>新田县污水处理厂</w:t>
            </w:r>
            <w:r>
              <w:rPr>
                <w:rFonts w:hint="eastAsia"/>
                <w:color w:val="auto"/>
                <w:sz w:val="21"/>
                <w:szCs w:val="21"/>
                <w:u w:val="none" w:color="auto"/>
              </w:rPr>
              <w:t>设计进水水质</w:t>
            </w:r>
            <w:bookmarkStart w:id="20" w:name="_GoBack"/>
            <w:bookmarkEnd w:id="20"/>
          </w:p>
        </w:tc>
      </w:tr>
      <w:tr w14:paraId="4E34B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7" w:type="dxa"/>
            <w:noWrap w:val="0"/>
            <w:vAlign w:val="center"/>
          </w:tcPr>
          <w:p w14:paraId="101E43C4">
            <w:pPr>
              <w:pStyle w:val="11"/>
              <w:rPr>
                <w:color w:val="auto"/>
                <w:sz w:val="21"/>
                <w:szCs w:val="21"/>
                <w:u w:val="none" w:color="auto"/>
              </w:rPr>
            </w:pPr>
            <w:r>
              <w:rPr>
                <w:rFonts w:hint="eastAsia"/>
                <w:color w:val="auto"/>
                <w:sz w:val="21"/>
                <w:szCs w:val="21"/>
                <w:u w:val="none" w:color="auto"/>
              </w:rPr>
              <w:t>声环境</w:t>
            </w:r>
          </w:p>
        </w:tc>
        <w:tc>
          <w:tcPr>
            <w:tcW w:w="1575" w:type="dxa"/>
            <w:noWrap w:val="0"/>
            <w:vAlign w:val="center"/>
          </w:tcPr>
          <w:p w14:paraId="7ACD83BF">
            <w:pPr>
              <w:pStyle w:val="11"/>
              <w:rPr>
                <w:rFonts w:hint="eastAsia"/>
                <w:color w:val="auto"/>
                <w:sz w:val="21"/>
                <w:szCs w:val="21"/>
                <w:u w:val="none" w:color="auto"/>
              </w:rPr>
            </w:pPr>
            <w:r>
              <w:rPr>
                <w:rFonts w:hint="eastAsia"/>
                <w:color w:val="auto"/>
                <w:sz w:val="21"/>
                <w:szCs w:val="21"/>
                <w:u w:val="none" w:color="auto"/>
              </w:rPr>
              <w:t>搅拌机、涂布机、对辊机、分条机、制片机、卷绕机、风机、空压机等噪声设备</w:t>
            </w:r>
          </w:p>
        </w:tc>
        <w:tc>
          <w:tcPr>
            <w:tcW w:w="1035" w:type="dxa"/>
            <w:noWrap w:val="0"/>
            <w:vAlign w:val="center"/>
          </w:tcPr>
          <w:p w14:paraId="218A5B57">
            <w:pPr>
              <w:pStyle w:val="11"/>
              <w:rPr>
                <w:color w:val="auto"/>
                <w:sz w:val="21"/>
                <w:szCs w:val="21"/>
                <w:u w:val="none" w:color="auto"/>
              </w:rPr>
            </w:pPr>
            <w:r>
              <w:rPr>
                <w:rFonts w:hint="eastAsia"/>
                <w:color w:val="auto"/>
                <w:sz w:val="21"/>
                <w:szCs w:val="21"/>
                <w:u w:val="none" w:color="auto"/>
              </w:rPr>
              <w:t>噪声</w:t>
            </w:r>
          </w:p>
        </w:tc>
        <w:tc>
          <w:tcPr>
            <w:tcW w:w="2437" w:type="dxa"/>
            <w:noWrap w:val="0"/>
            <w:vAlign w:val="center"/>
          </w:tcPr>
          <w:p w14:paraId="27026657">
            <w:pPr>
              <w:pStyle w:val="11"/>
              <w:rPr>
                <w:rFonts w:hint="eastAsia"/>
                <w:color w:val="auto"/>
                <w:sz w:val="21"/>
                <w:szCs w:val="21"/>
                <w:u w:val="none" w:color="auto"/>
              </w:rPr>
            </w:pPr>
            <w:r>
              <w:rPr>
                <w:rFonts w:hint="eastAsia"/>
                <w:color w:val="auto"/>
                <w:sz w:val="21"/>
                <w:szCs w:val="21"/>
                <w:u w:val="none" w:color="auto"/>
                <w:lang w:eastAsia="zh-CN"/>
              </w:rPr>
              <w:t>对</w:t>
            </w:r>
            <w:r>
              <w:rPr>
                <w:rFonts w:hint="eastAsia"/>
                <w:color w:val="auto"/>
                <w:sz w:val="21"/>
                <w:szCs w:val="21"/>
                <w:u w:val="none" w:color="auto"/>
              </w:rPr>
              <w:t>噪声设备减震</w:t>
            </w:r>
            <w:r>
              <w:rPr>
                <w:rFonts w:hint="eastAsia"/>
                <w:color w:val="auto"/>
                <w:sz w:val="21"/>
                <w:szCs w:val="21"/>
                <w:u w:val="none" w:color="auto"/>
                <w:lang w:eastAsia="zh-CN"/>
              </w:rPr>
              <w:t>、</w:t>
            </w:r>
            <w:r>
              <w:rPr>
                <w:rFonts w:hint="eastAsia"/>
                <w:color w:val="auto"/>
                <w:sz w:val="21"/>
                <w:szCs w:val="21"/>
                <w:u w:val="none" w:color="auto"/>
              </w:rPr>
              <w:t>隔声</w:t>
            </w:r>
          </w:p>
          <w:p w14:paraId="4F160B76">
            <w:pPr>
              <w:pStyle w:val="11"/>
              <w:rPr>
                <w:color w:val="auto"/>
                <w:sz w:val="21"/>
                <w:szCs w:val="21"/>
                <w:u w:val="none" w:color="auto"/>
              </w:rPr>
            </w:pPr>
          </w:p>
        </w:tc>
        <w:tc>
          <w:tcPr>
            <w:tcW w:w="2877" w:type="dxa"/>
            <w:noWrap w:val="0"/>
            <w:vAlign w:val="center"/>
          </w:tcPr>
          <w:p w14:paraId="500363E2">
            <w:pPr>
              <w:pStyle w:val="11"/>
              <w:rPr>
                <w:color w:val="auto"/>
                <w:sz w:val="21"/>
                <w:szCs w:val="21"/>
                <w:u w:val="none" w:color="auto"/>
              </w:rPr>
            </w:pPr>
            <w:r>
              <w:rPr>
                <w:rFonts w:hint="eastAsia"/>
                <w:color w:val="auto"/>
                <w:sz w:val="21"/>
                <w:szCs w:val="21"/>
                <w:u w:val="none" w:color="auto"/>
              </w:rPr>
              <w:t>《工业企业厂界环境噪声排放标准》(GB12348-2008</w:t>
            </w:r>
            <w:r>
              <w:rPr>
                <w:rFonts w:hint="eastAsia"/>
                <w:color w:val="auto"/>
                <w:sz w:val="21"/>
                <w:szCs w:val="21"/>
                <w:u w:val="none" w:color="auto"/>
                <w:lang w:eastAsia="zh-CN"/>
              </w:rPr>
              <w:t>）</w:t>
            </w:r>
            <w:r>
              <w:rPr>
                <w:rFonts w:hint="eastAsia"/>
                <w:color w:val="auto"/>
                <w:sz w:val="21"/>
                <w:szCs w:val="21"/>
                <w:u w:val="none" w:color="auto"/>
              </w:rPr>
              <w:t>中3类标准</w:t>
            </w:r>
          </w:p>
        </w:tc>
      </w:tr>
      <w:tr w14:paraId="452B5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7" w:type="dxa"/>
            <w:noWrap w:val="0"/>
            <w:vAlign w:val="center"/>
          </w:tcPr>
          <w:p w14:paraId="5000F31E">
            <w:pPr>
              <w:pStyle w:val="11"/>
              <w:rPr>
                <w:color w:val="auto"/>
                <w:sz w:val="21"/>
                <w:szCs w:val="21"/>
                <w:u w:val="none" w:color="auto"/>
              </w:rPr>
            </w:pPr>
            <w:r>
              <w:rPr>
                <w:rFonts w:hint="eastAsia"/>
                <w:color w:val="auto"/>
                <w:sz w:val="21"/>
                <w:szCs w:val="21"/>
                <w:u w:val="none" w:color="auto"/>
              </w:rPr>
              <w:t>电磁辐射</w:t>
            </w:r>
          </w:p>
        </w:tc>
        <w:tc>
          <w:tcPr>
            <w:tcW w:w="7924" w:type="dxa"/>
            <w:gridSpan w:val="4"/>
            <w:noWrap w:val="0"/>
            <w:vAlign w:val="top"/>
          </w:tcPr>
          <w:p w14:paraId="35DD443D">
            <w:pPr>
              <w:pStyle w:val="11"/>
              <w:rPr>
                <w:color w:val="auto"/>
                <w:sz w:val="21"/>
                <w:szCs w:val="21"/>
                <w:u w:val="none" w:color="auto"/>
              </w:rPr>
            </w:pPr>
            <w:r>
              <w:rPr>
                <w:rFonts w:hint="eastAsia"/>
                <w:color w:val="auto"/>
                <w:sz w:val="21"/>
                <w:szCs w:val="21"/>
                <w:u w:val="none" w:color="auto"/>
              </w:rPr>
              <w:t>/</w:t>
            </w:r>
          </w:p>
        </w:tc>
      </w:tr>
      <w:tr w14:paraId="7138C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147" w:type="dxa"/>
            <w:vMerge w:val="restart"/>
            <w:noWrap w:val="0"/>
            <w:vAlign w:val="center"/>
          </w:tcPr>
          <w:p w14:paraId="654BC0BE">
            <w:pPr>
              <w:pStyle w:val="11"/>
              <w:rPr>
                <w:color w:val="auto"/>
                <w:sz w:val="21"/>
                <w:szCs w:val="21"/>
                <w:u w:val="none" w:color="auto"/>
              </w:rPr>
            </w:pPr>
            <w:r>
              <w:rPr>
                <w:rFonts w:hint="eastAsia"/>
                <w:color w:val="auto"/>
                <w:sz w:val="21"/>
                <w:szCs w:val="21"/>
                <w:u w:val="none" w:color="auto"/>
              </w:rPr>
              <w:t>固体废物</w:t>
            </w:r>
          </w:p>
        </w:tc>
        <w:tc>
          <w:tcPr>
            <w:tcW w:w="1575" w:type="dxa"/>
            <w:noWrap w:val="0"/>
            <w:vAlign w:val="center"/>
          </w:tcPr>
          <w:p w14:paraId="12622A7B">
            <w:pPr>
              <w:pStyle w:val="11"/>
              <w:rPr>
                <w:color w:val="auto"/>
                <w:sz w:val="21"/>
                <w:szCs w:val="21"/>
                <w:u w:val="none" w:color="auto"/>
              </w:rPr>
            </w:pPr>
            <w:r>
              <w:rPr>
                <w:rFonts w:hint="eastAsia"/>
                <w:color w:val="auto"/>
                <w:sz w:val="21"/>
                <w:szCs w:val="21"/>
                <w:u w:val="none" w:color="auto"/>
              </w:rPr>
              <w:t>测试和检验工序</w:t>
            </w:r>
          </w:p>
        </w:tc>
        <w:tc>
          <w:tcPr>
            <w:tcW w:w="1035" w:type="dxa"/>
            <w:noWrap w:val="0"/>
            <w:vAlign w:val="center"/>
          </w:tcPr>
          <w:p w14:paraId="199E18D2">
            <w:pPr>
              <w:pStyle w:val="11"/>
              <w:rPr>
                <w:color w:val="auto"/>
                <w:sz w:val="21"/>
                <w:szCs w:val="21"/>
                <w:u w:val="none" w:color="auto"/>
              </w:rPr>
            </w:pPr>
            <w:r>
              <w:rPr>
                <w:rFonts w:hint="eastAsia"/>
                <w:color w:val="auto"/>
                <w:sz w:val="21"/>
                <w:szCs w:val="21"/>
                <w:u w:val="none" w:color="auto"/>
              </w:rPr>
              <w:t>不合格电池</w:t>
            </w:r>
          </w:p>
        </w:tc>
        <w:tc>
          <w:tcPr>
            <w:tcW w:w="2437" w:type="dxa"/>
            <w:noWrap w:val="0"/>
            <w:vAlign w:val="center"/>
          </w:tcPr>
          <w:p w14:paraId="4B1FAE7A">
            <w:pPr>
              <w:pStyle w:val="11"/>
              <w:rPr>
                <w:color w:val="auto"/>
                <w:sz w:val="21"/>
                <w:szCs w:val="21"/>
                <w:u w:val="none" w:color="auto"/>
              </w:rPr>
            </w:pPr>
            <w:r>
              <w:rPr>
                <w:rFonts w:hint="eastAsia"/>
                <w:color w:val="auto"/>
                <w:sz w:val="21"/>
                <w:szCs w:val="21"/>
                <w:u w:val="none" w:color="auto"/>
              </w:rPr>
              <w:t>收集后定期交专业公司回收处理</w:t>
            </w:r>
          </w:p>
        </w:tc>
        <w:tc>
          <w:tcPr>
            <w:tcW w:w="2877" w:type="dxa"/>
            <w:vMerge w:val="restart"/>
            <w:noWrap w:val="0"/>
            <w:vAlign w:val="center"/>
          </w:tcPr>
          <w:p w14:paraId="2C944072">
            <w:pPr>
              <w:pStyle w:val="11"/>
              <w:rPr>
                <w:color w:val="auto"/>
                <w:sz w:val="21"/>
                <w:szCs w:val="21"/>
                <w:u w:val="none" w:color="auto"/>
              </w:rPr>
            </w:pPr>
            <w:r>
              <w:rPr>
                <w:rFonts w:hint="eastAsia"/>
                <w:color w:val="auto"/>
                <w:sz w:val="21"/>
                <w:szCs w:val="21"/>
                <w:u w:val="none" w:color="auto"/>
              </w:rPr>
              <w:t>《一般工业固体废物贮存和填埋污染控制标准》（GB18599-2020）</w:t>
            </w:r>
          </w:p>
        </w:tc>
      </w:tr>
      <w:tr w14:paraId="7DA56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147" w:type="dxa"/>
            <w:vMerge w:val="continue"/>
            <w:noWrap w:val="0"/>
            <w:vAlign w:val="center"/>
          </w:tcPr>
          <w:p w14:paraId="6A756436">
            <w:pPr>
              <w:pStyle w:val="11"/>
              <w:rPr>
                <w:color w:val="auto"/>
                <w:sz w:val="21"/>
                <w:szCs w:val="21"/>
                <w:u w:val="none" w:color="auto"/>
              </w:rPr>
            </w:pPr>
          </w:p>
        </w:tc>
        <w:tc>
          <w:tcPr>
            <w:tcW w:w="1575" w:type="dxa"/>
            <w:noWrap w:val="0"/>
            <w:vAlign w:val="center"/>
          </w:tcPr>
          <w:p w14:paraId="118CA253">
            <w:pPr>
              <w:pStyle w:val="11"/>
              <w:rPr>
                <w:color w:val="auto"/>
                <w:sz w:val="21"/>
                <w:szCs w:val="21"/>
                <w:u w:val="none" w:color="auto"/>
              </w:rPr>
            </w:pPr>
            <w:r>
              <w:rPr>
                <w:rFonts w:hint="eastAsia"/>
                <w:color w:val="auto"/>
                <w:sz w:val="21"/>
                <w:szCs w:val="21"/>
                <w:u w:val="none" w:color="auto"/>
              </w:rPr>
              <w:t>分条、制片、卷绕、顶侧封工序</w:t>
            </w:r>
          </w:p>
        </w:tc>
        <w:tc>
          <w:tcPr>
            <w:tcW w:w="1035" w:type="dxa"/>
            <w:noWrap w:val="0"/>
            <w:vAlign w:val="center"/>
          </w:tcPr>
          <w:p w14:paraId="6903189B">
            <w:pPr>
              <w:pStyle w:val="11"/>
              <w:rPr>
                <w:color w:val="auto"/>
                <w:sz w:val="21"/>
                <w:szCs w:val="21"/>
                <w:u w:val="none" w:color="auto"/>
              </w:rPr>
            </w:pPr>
            <w:r>
              <w:rPr>
                <w:rFonts w:hint="eastAsia"/>
                <w:color w:val="auto"/>
                <w:sz w:val="21"/>
                <w:szCs w:val="21"/>
                <w:u w:val="none" w:color="auto"/>
              </w:rPr>
              <w:t>边角料</w:t>
            </w:r>
          </w:p>
        </w:tc>
        <w:tc>
          <w:tcPr>
            <w:tcW w:w="2437" w:type="dxa"/>
            <w:noWrap w:val="0"/>
            <w:vAlign w:val="center"/>
          </w:tcPr>
          <w:p w14:paraId="3F3D2B7B">
            <w:pPr>
              <w:pStyle w:val="11"/>
              <w:rPr>
                <w:color w:val="auto"/>
                <w:sz w:val="21"/>
                <w:szCs w:val="21"/>
                <w:u w:val="none" w:color="auto"/>
              </w:rPr>
            </w:pPr>
            <w:r>
              <w:rPr>
                <w:rFonts w:hint="eastAsia"/>
                <w:color w:val="auto"/>
                <w:sz w:val="21"/>
                <w:szCs w:val="21"/>
                <w:u w:val="none" w:color="auto"/>
              </w:rPr>
              <w:t>收集后定期交专业公司回收处理</w:t>
            </w:r>
          </w:p>
        </w:tc>
        <w:tc>
          <w:tcPr>
            <w:tcW w:w="2877" w:type="dxa"/>
            <w:vMerge w:val="continue"/>
            <w:noWrap w:val="0"/>
            <w:vAlign w:val="center"/>
          </w:tcPr>
          <w:p w14:paraId="45F27D01">
            <w:pPr>
              <w:pStyle w:val="11"/>
              <w:rPr>
                <w:color w:val="auto"/>
                <w:sz w:val="21"/>
                <w:szCs w:val="21"/>
                <w:u w:val="none" w:color="auto"/>
              </w:rPr>
            </w:pPr>
          </w:p>
        </w:tc>
      </w:tr>
      <w:tr w14:paraId="40381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147" w:type="dxa"/>
            <w:vMerge w:val="continue"/>
            <w:noWrap w:val="0"/>
            <w:vAlign w:val="center"/>
          </w:tcPr>
          <w:p w14:paraId="41A4395E">
            <w:pPr>
              <w:pStyle w:val="11"/>
              <w:rPr>
                <w:color w:val="auto"/>
                <w:sz w:val="21"/>
                <w:szCs w:val="21"/>
                <w:u w:val="none" w:color="auto"/>
              </w:rPr>
            </w:pPr>
          </w:p>
        </w:tc>
        <w:tc>
          <w:tcPr>
            <w:tcW w:w="1575" w:type="dxa"/>
            <w:noWrap w:val="0"/>
            <w:vAlign w:val="center"/>
          </w:tcPr>
          <w:p w14:paraId="23F3DAAD">
            <w:pPr>
              <w:pStyle w:val="11"/>
              <w:rPr>
                <w:color w:val="auto"/>
                <w:sz w:val="21"/>
                <w:szCs w:val="21"/>
                <w:u w:val="none" w:color="auto"/>
              </w:rPr>
            </w:pPr>
            <w:r>
              <w:rPr>
                <w:rFonts w:hint="eastAsia"/>
                <w:color w:val="auto"/>
                <w:sz w:val="21"/>
                <w:szCs w:val="21"/>
                <w:u w:val="none" w:color="auto"/>
              </w:rPr>
              <w:t>原料包装材料</w:t>
            </w:r>
          </w:p>
        </w:tc>
        <w:tc>
          <w:tcPr>
            <w:tcW w:w="1035" w:type="dxa"/>
            <w:noWrap w:val="0"/>
            <w:vAlign w:val="center"/>
          </w:tcPr>
          <w:p w14:paraId="2CC4EB99">
            <w:pPr>
              <w:pStyle w:val="11"/>
              <w:rPr>
                <w:color w:val="auto"/>
                <w:sz w:val="21"/>
                <w:szCs w:val="21"/>
                <w:u w:val="none" w:color="auto"/>
              </w:rPr>
            </w:pPr>
            <w:r>
              <w:rPr>
                <w:rFonts w:hint="eastAsia"/>
                <w:color w:val="auto"/>
                <w:sz w:val="21"/>
                <w:szCs w:val="21"/>
                <w:u w:val="none" w:color="auto"/>
              </w:rPr>
              <w:t>包装废料</w:t>
            </w:r>
          </w:p>
        </w:tc>
        <w:tc>
          <w:tcPr>
            <w:tcW w:w="2437" w:type="dxa"/>
            <w:noWrap w:val="0"/>
            <w:vAlign w:val="center"/>
          </w:tcPr>
          <w:p w14:paraId="38F641E4">
            <w:pPr>
              <w:pStyle w:val="11"/>
              <w:rPr>
                <w:color w:val="auto"/>
                <w:sz w:val="21"/>
                <w:szCs w:val="21"/>
                <w:u w:val="none" w:color="auto"/>
              </w:rPr>
            </w:pPr>
            <w:r>
              <w:rPr>
                <w:rFonts w:hint="eastAsia"/>
                <w:color w:val="auto"/>
                <w:sz w:val="21"/>
                <w:szCs w:val="21"/>
                <w:u w:val="none" w:color="auto"/>
              </w:rPr>
              <w:t>收集后送至收集箱中，外卖综合利用</w:t>
            </w:r>
          </w:p>
        </w:tc>
        <w:tc>
          <w:tcPr>
            <w:tcW w:w="2877" w:type="dxa"/>
            <w:vMerge w:val="continue"/>
            <w:noWrap w:val="0"/>
            <w:vAlign w:val="center"/>
          </w:tcPr>
          <w:p w14:paraId="4A1A3FF0">
            <w:pPr>
              <w:pStyle w:val="11"/>
              <w:rPr>
                <w:color w:val="auto"/>
                <w:sz w:val="21"/>
                <w:szCs w:val="21"/>
                <w:u w:val="none" w:color="auto"/>
              </w:rPr>
            </w:pPr>
          </w:p>
        </w:tc>
      </w:tr>
      <w:tr w14:paraId="6C255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147" w:type="dxa"/>
            <w:vMerge w:val="continue"/>
            <w:noWrap w:val="0"/>
            <w:vAlign w:val="center"/>
          </w:tcPr>
          <w:p w14:paraId="42B507B9">
            <w:pPr>
              <w:pStyle w:val="11"/>
              <w:rPr>
                <w:color w:val="auto"/>
                <w:sz w:val="21"/>
                <w:szCs w:val="21"/>
                <w:u w:val="none" w:color="auto"/>
              </w:rPr>
            </w:pPr>
          </w:p>
        </w:tc>
        <w:tc>
          <w:tcPr>
            <w:tcW w:w="1575" w:type="dxa"/>
            <w:noWrap w:val="0"/>
            <w:vAlign w:val="center"/>
          </w:tcPr>
          <w:p w14:paraId="2954F980">
            <w:pPr>
              <w:pStyle w:val="11"/>
              <w:rPr>
                <w:rFonts w:hint="eastAsia" w:eastAsia="宋体"/>
                <w:color w:val="auto"/>
                <w:sz w:val="21"/>
                <w:szCs w:val="21"/>
                <w:u w:val="none" w:color="auto"/>
                <w:lang w:eastAsia="zh-CN"/>
              </w:rPr>
            </w:pPr>
            <w:r>
              <w:rPr>
                <w:rFonts w:hint="eastAsia"/>
                <w:color w:val="auto"/>
                <w:sz w:val="21"/>
                <w:szCs w:val="21"/>
                <w:u w:val="none" w:color="auto"/>
              </w:rPr>
              <w:t>NMP</w:t>
            </w:r>
            <w:r>
              <w:rPr>
                <w:rFonts w:hint="eastAsia"/>
                <w:color w:val="auto"/>
                <w:sz w:val="21"/>
                <w:szCs w:val="21"/>
                <w:u w:val="none" w:color="auto"/>
                <w:lang w:eastAsia="zh-CN"/>
              </w:rPr>
              <w:t>冷凝回收</w:t>
            </w:r>
          </w:p>
        </w:tc>
        <w:tc>
          <w:tcPr>
            <w:tcW w:w="1035" w:type="dxa"/>
            <w:noWrap w:val="0"/>
            <w:vAlign w:val="center"/>
          </w:tcPr>
          <w:p w14:paraId="73882964">
            <w:pPr>
              <w:pStyle w:val="11"/>
              <w:rPr>
                <w:color w:val="auto"/>
                <w:sz w:val="21"/>
                <w:szCs w:val="21"/>
                <w:u w:val="none" w:color="auto"/>
              </w:rPr>
            </w:pPr>
            <w:r>
              <w:rPr>
                <w:rFonts w:hint="eastAsia"/>
                <w:color w:val="auto"/>
                <w:sz w:val="21"/>
                <w:szCs w:val="21"/>
                <w:u w:val="none" w:color="auto"/>
              </w:rPr>
              <w:t>NMP回收液</w:t>
            </w:r>
          </w:p>
        </w:tc>
        <w:tc>
          <w:tcPr>
            <w:tcW w:w="2437" w:type="dxa"/>
            <w:noWrap w:val="0"/>
            <w:vAlign w:val="center"/>
          </w:tcPr>
          <w:p w14:paraId="35C9B113">
            <w:pPr>
              <w:pStyle w:val="11"/>
              <w:rPr>
                <w:color w:val="auto"/>
                <w:sz w:val="21"/>
                <w:szCs w:val="21"/>
                <w:u w:val="none" w:color="auto"/>
              </w:rPr>
            </w:pPr>
            <w:r>
              <w:rPr>
                <w:rFonts w:hint="eastAsia"/>
                <w:color w:val="auto"/>
                <w:sz w:val="21"/>
                <w:szCs w:val="21"/>
                <w:u w:val="none" w:color="auto"/>
              </w:rPr>
              <w:t>定期交供货厂家回收</w:t>
            </w:r>
          </w:p>
        </w:tc>
        <w:tc>
          <w:tcPr>
            <w:tcW w:w="2877" w:type="dxa"/>
            <w:vMerge w:val="continue"/>
            <w:noWrap w:val="0"/>
            <w:vAlign w:val="center"/>
          </w:tcPr>
          <w:p w14:paraId="579F29A0">
            <w:pPr>
              <w:pStyle w:val="11"/>
              <w:rPr>
                <w:color w:val="auto"/>
                <w:sz w:val="21"/>
                <w:szCs w:val="21"/>
                <w:u w:val="none" w:color="auto"/>
              </w:rPr>
            </w:pPr>
          </w:p>
        </w:tc>
      </w:tr>
      <w:tr w14:paraId="50040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147" w:type="dxa"/>
            <w:vMerge w:val="continue"/>
            <w:noWrap w:val="0"/>
            <w:vAlign w:val="center"/>
          </w:tcPr>
          <w:p w14:paraId="2C4BFF27">
            <w:pPr>
              <w:pStyle w:val="11"/>
              <w:rPr>
                <w:color w:val="auto"/>
                <w:sz w:val="21"/>
                <w:szCs w:val="21"/>
                <w:u w:val="none" w:color="auto"/>
              </w:rPr>
            </w:pPr>
          </w:p>
        </w:tc>
        <w:tc>
          <w:tcPr>
            <w:tcW w:w="1575" w:type="dxa"/>
            <w:noWrap w:val="0"/>
            <w:vAlign w:val="center"/>
          </w:tcPr>
          <w:p w14:paraId="35B09D08">
            <w:pPr>
              <w:pStyle w:val="11"/>
              <w:rPr>
                <w:color w:val="auto"/>
                <w:sz w:val="21"/>
                <w:szCs w:val="21"/>
                <w:u w:val="none" w:color="auto"/>
              </w:rPr>
            </w:pPr>
            <w:r>
              <w:rPr>
                <w:rFonts w:hint="eastAsia"/>
                <w:color w:val="auto"/>
                <w:sz w:val="21"/>
                <w:szCs w:val="21"/>
                <w:u w:val="none" w:color="auto"/>
              </w:rPr>
              <w:t>原料</w:t>
            </w:r>
          </w:p>
        </w:tc>
        <w:tc>
          <w:tcPr>
            <w:tcW w:w="1035" w:type="dxa"/>
            <w:noWrap w:val="0"/>
            <w:vAlign w:val="center"/>
          </w:tcPr>
          <w:p w14:paraId="2B9DC8E1">
            <w:pPr>
              <w:pStyle w:val="11"/>
              <w:rPr>
                <w:color w:val="auto"/>
                <w:sz w:val="21"/>
                <w:szCs w:val="21"/>
                <w:u w:val="none" w:color="auto"/>
              </w:rPr>
            </w:pPr>
            <w:r>
              <w:rPr>
                <w:rFonts w:hint="eastAsia"/>
                <w:color w:val="auto"/>
                <w:sz w:val="21"/>
                <w:szCs w:val="21"/>
                <w:u w:val="none" w:color="auto"/>
              </w:rPr>
              <w:t>原料空桶</w:t>
            </w:r>
          </w:p>
        </w:tc>
        <w:tc>
          <w:tcPr>
            <w:tcW w:w="2437" w:type="dxa"/>
            <w:noWrap w:val="0"/>
            <w:vAlign w:val="center"/>
          </w:tcPr>
          <w:p w14:paraId="7B7D7F7E">
            <w:pPr>
              <w:pStyle w:val="11"/>
              <w:rPr>
                <w:color w:val="auto"/>
                <w:sz w:val="21"/>
                <w:szCs w:val="21"/>
                <w:u w:val="none" w:color="auto"/>
              </w:rPr>
            </w:pPr>
            <w:r>
              <w:rPr>
                <w:rFonts w:hint="eastAsia"/>
                <w:color w:val="auto"/>
                <w:sz w:val="21"/>
                <w:szCs w:val="21"/>
                <w:u w:val="none" w:color="auto"/>
              </w:rPr>
              <w:t>在厂内原料仓库暂存，定期交供货厂家回收</w:t>
            </w:r>
          </w:p>
        </w:tc>
        <w:tc>
          <w:tcPr>
            <w:tcW w:w="2877" w:type="dxa"/>
            <w:vMerge w:val="continue"/>
            <w:noWrap w:val="0"/>
            <w:vAlign w:val="center"/>
          </w:tcPr>
          <w:p w14:paraId="6725B5A1">
            <w:pPr>
              <w:pStyle w:val="11"/>
              <w:rPr>
                <w:color w:val="auto"/>
                <w:sz w:val="21"/>
                <w:szCs w:val="21"/>
                <w:u w:val="none" w:color="auto"/>
              </w:rPr>
            </w:pPr>
          </w:p>
        </w:tc>
      </w:tr>
      <w:tr w14:paraId="4E243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147" w:type="dxa"/>
            <w:vMerge w:val="continue"/>
            <w:noWrap w:val="0"/>
            <w:vAlign w:val="center"/>
          </w:tcPr>
          <w:p w14:paraId="4768C157">
            <w:pPr>
              <w:pStyle w:val="11"/>
              <w:rPr>
                <w:color w:val="auto"/>
                <w:sz w:val="21"/>
                <w:szCs w:val="21"/>
                <w:u w:val="none" w:color="auto"/>
              </w:rPr>
            </w:pPr>
          </w:p>
        </w:tc>
        <w:tc>
          <w:tcPr>
            <w:tcW w:w="1575" w:type="dxa"/>
            <w:noWrap w:val="0"/>
            <w:vAlign w:val="center"/>
          </w:tcPr>
          <w:p w14:paraId="32CE1994">
            <w:pPr>
              <w:pStyle w:val="11"/>
              <w:rPr>
                <w:color w:val="auto"/>
                <w:sz w:val="21"/>
                <w:szCs w:val="21"/>
                <w:u w:val="none" w:color="auto"/>
              </w:rPr>
            </w:pPr>
            <w:r>
              <w:rPr>
                <w:rFonts w:hint="eastAsia"/>
                <w:color w:val="auto"/>
                <w:sz w:val="21"/>
                <w:szCs w:val="21"/>
                <w:u w:val="none" w:color="auto"/>
              </w:rPr>
              <w:t>纯水制备</w:t>
            </w:r>
          </w:p>
        </w:tc>
        <w:tc>
          <w:tcPr>
            <w:tcW w:w="1035" w:type="dxa"/>
            <w:noWrap w:val="0"/>
            <w:vAlign w:val="center"/>
          </w:tcPr>
          <w:p w14:paraId="5AA3AE0D">
            <w:pPr>
              <w:pStyle w:val="11"/>
              <w:rPr>
                <w:rFonts w:hint="eastAsia" w:eastAsia="宋体"/>
                <w:color w:val="auto"/>
                <w:sz w:val="21"/>
                <w:szCs w:val="21"/>
                <w:u w:val="none" w:color="auto"/>
                <w:lang w:eastAsia="zh-CN"/>
              </w:rPr>
            </w:pPr>
            <w:r>
              <w:rPr>
                <w:rFonts w:hint="eastAsia"/>
                <w:color w:val="auto"/>
                <w:sz w:val="21"/>
                <w:szCs w:val="21"/>
                <w:u w:val="none" w:color="auto"/>
              </w:rPr>
              <w:t>废</w:t>
            </w:r>
            <w:r>
              <w:rPr>
                <w:rFonts w:hint="eastAsia"/>
                <w:color w:val="auto"/>
                <w:sz w:val="21"/>
                <w:szCs w:val="21"/>
                <w:u w:val="none" w:color="auto"/>
                <w:lang w:eastAsia="zh-CN"/>
              </w:rPr>
              <w:t>滤芯</w:t>
            </w:r>
          </w:p>
        </w:tc>
        <w:tc>
          <w:tcPr>
            <w:tcW w:w="2437" w:type="dxa"/>
            <w:noWrap w:val="0"/>
            <w:vAlign w:val="center"/>
          </w:tcPr>
          <w:p w14:paraId="4AEEC230">
            <w:pPr>
              <w:pStyle w:val="11"/>
              <w:rPr>
                <w:color w:val="auto"/>
                <w:sz w:val="21"/>
                <w:szCs w:val="21"/>
                <w:u w:val="none" w:color="auto"/>
              </w:rPr>
            </w:pPr>
            <w:r>
              <w:rPr>
                <w:rFonts w:hint="eastAsia"/>
                <w:color w:val="auto"/>
                <w:sz w:val="21"/>
                <w:szCs w:val="21"/>
                <w:u w:val="none" w:color="auto"/>
              </w:rPr>
              <w:t>经统一收集后由厂家回收处理</w:t>
            </w:r>
          </w:p>
        </w:tc>
        <w:tc>
          <w:tcPr>
            <w:tcW w:w="2877" w:type="dxa"/>
            <w:vMerge w:val="continue"/>
            <w:noWrap w:val="0"/>
            <w:vAlign w:val="center"/>
          </w:tcPr>
          <w:p w14:paraId="70325162">
            <w:pPr>
              <w:pStyle w:val="11"/>
              <w:rPr>
                <w:color w:val="auto"/>
                <w:sz w:val="21"/>
                <w:szCs w:val="21"/>
                <w:u w:val="none" w:color="auto"/>
              </w:rPr>
            </w:pPr>
          </w:p>
        </w:tc>
      </w:tr>
      <w:tr w14:paraId="54295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147" w:type="dxa"/>
            <w:vMerge w:val="continue"/>
            <w:noWrap w:val="0"/>
            <w:vAlign w:val="center"/>
          </w:tcPr>
          <w:p w14:paraId="7DCD1FF7">
            <w:pPr>
              <w:pStyle w:val="11"/>
              <w:rPr>
                <w:color w:val="auto"/>
                <w:sz w:val="21"/>
                <w:szCs w:val="21"/>
                <w:u w:val="none" w:color="auto"/>
              </w:rPr>
            </w:pPr>
          </w:p>
        </w:tc>
        <w:tc>
          <w:tcPr>
            <w:tcW w:w="1575" w:type="dxa"/>
            <w:noWrap w:val="0"/>
            <w:vAlign w:val="center"/>
          </w:tcPr>
          <w:p w14:paraId="5116EFA9">
            <w:pPr>
              <w:pStyle w:val="11"/>
              <w:rPr>
                <w:color w:val="auto"/>
                <w:sz w:val="21"/>
                <w:szCs w:val="21"/>
                <w:u w:val="none" w:color="auto"/>
              </w:rPr>
            </w:pPr>
            <w:r>
              <w:rPr>
                <w:rFonts w:hint="eastAsia"/>
                <w:color w:val="auto"/>
                <w:sz w:val="21"/>
                <w:szCs w:val="21"/>
                <w:u w:val="none" w:color="auto"/>
              </w:rPr>
              <w:t>投料工序</w:t>
            </w:r>
          </w:p>
        </w:tc>
        <w:tc>
          <w:tcPr>
            <w:tcW w:w="1035" w:type="dxa"/>
            <w:noWrap w:val="0"/>
            <w:vAlign w:val="center"/>
          </w:tcPr>
          <w:p w14:paraId="51FA6D3E">
            <w:pPr>
              <w:pStyle w:val="11"/>
              <w:rPr>
                <w:color w:val="auto"/>
                <w:sz w:val="21"/>
                <w:szCs w:val="21"/>
                <w:u w:val="none" w:color="auto"/>
              </w:rPr>
            </w:pPr>
            <w:r>
              <w:rPr>
                <w:rFonts w:hint="eastAsia"/>
                <w:color w:val="auto"/>
                <w:sz w:val="21"/>
                <w:szCs w:val="21"/>
                <w:u w:val="none" w:color="auto"/>
              </w:rPr>
              <w:t>收集的粉尘</w:t>
            </w:r>
          </w:p>
        </w:tc>
        <w:tc>
          <w:tcPr>
            <w:tcW w:w="2437" w:type="dxa"/>
            <w:noWrap w:val="0"/>
            <w:vAlign w:val="center"/>
          </w:tcPr>
          <w:p w14:paraId="62288F34">
            <w:pPr>
              <w:pStyle w:val="11"/>
              <w:rPr>
                <w:color w:val="auto"/>
                <w:sz w:val="21"/>
                <w:szCs w:val="21"/>
                <w:u w:val="none" w:color="auto"/>
              </w:rPr>
            </w:pPr>
            <w:r>
              <w:rPr>
                <w:rFonts w:hint="eastAsia"/>
                <w:color w:val="auto"/>
                <w:sz w:val="21"/>
                <w:szCs w:val="21"/>
                <w:u w:val="none" w:color="auto"/>
              </w:rPr>
              <w:t>经收集后定期交专业公司回收处理</w:t>
            </w:r>
          </w:p>
        </w:tc>
        <w:tc>
          <w:tcPr>
            <w:tcW w:w="2877" w:type="dxa"/>
            <w:vMerge w:val="continue"/>
            <w:noWrap w:val="0"/>
            <w:vAlign w:val="center"/>
          </w:tcPr>
          <w:p w14:paraId="38F5012C">
            <w:pPr>
              <w:pStyle w:val="11"/>
              <w:rPr>
                <w:color w:val="auto"/>
                <w:sz w:val="21"/>
                <w:szCs w:val="21"/>
                <w:u w:val="none" w:color="auto"/>
              </w:rPr>
            </w:pPr>
          </w:p>
        </w:tc>
      </w:tr>
      <w:tr w14:paraId="7C5A7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147" w:type="dxa"/>
            <w:vMerge w:val="continue"/>
            <w:noWrap w:val="0"/>
            <w:vAlign w:val="center"/>
          </w:tcPr>
          <w:p w14:paraId="662A84AF">
            <w:pPr>
              <w:pStyle w:val="11"/>
              <w:rPr>
                <w:color w:val="auto"/>
                <w:sz w:val="21"/>
                <w:szCs w:val="21"/>
                <w:u w:val="none" w:color="auto"/>
              </w:rPr>
            </w:pPr>
          </w:p>
        </w:tc>
        <w:tc>
          <w:tcPr>
            <w:tcW w:w="1575" w:type="dxa"/>
            <w:noWrap w:val="0"/>
            <w:vAlign w:val="center"/>
          </w:tcPr>
          <w:p w14:paraId="3CA5A98D">
            <w:pPr>
              <w:pStyle w:val="11"/>
              <w:rPr>
                <w:color w:val="auto"/>
                <w:sz w:val="21"/>
                <w:szCs w:val="21"/>
                <w:u w:val="none" w:color="auto"/>
              </w:rPr>
            </w:pPr>
            <w:r>
              <w:rPr>
                <w:rFonts w:hint="eastAsia"/>
                <w:color w:val="auto"/>
                <w:sz w:val="21"/>
                <w:szCs w:val="21"/>
                <w:u w:val="none" w:color="auto"/>
              </w:rPr>
              <w:t>厂区员工</w:t>
            </w:r>
          </w:p>
        </w:tc>
        <w:tc>
          <w:tcPr>
            <w:tcW w:w="1035" w:type="dxa"/>
            <w:noWrap w:val="0"/>
            <w:vAlign w:val="center"/>
          </w:tcPr>
          <w:p w14:paraId="32CDB486">
            <w:pPr>
              <w:pStyle w:val="11"/>
              <w:rPr>
                <w:color w:val="auto"/>
                <w:sz w:val="21"/>
                <w:szCs w:val="21"/>
                <w:u w:val="none" w:color="auto"/>
              </w:rPr>
            </w:pPr>
            <w:r>
              <w:rPr>
                <w:rFonts w:hint="eastAsia"/>
                <w:color w:val="auto"/>
                <w:sz w:val="21"/>
                <w:szCs w:val="21"/>
                <w:u w:val="none" w:color="auto"/>
              </w:rPr>
              <w:t>生活垃圾</w:t>
            </w:r>
          </w:p>
        </w:tc>
        <w:tc>
          <w:tcPr>
            <w:tcW w:w="2437" w:type="dxa"/>
            <w:noWrap w:val="0"/>
            <w:vAlign w:val="center"/>
          </w:tcPr>
          <w:p w14:paraId="351FC3CE">
            <w:pPr>
              <w:pStyle w:val="11"/>
              <w:rPr>
                <w:color w:val="auto"/>
                <w:sz w:val="21"/>
                <w:szCs w:val="21"/>
                <w:u w:val="none" w:color="auto"/>
              </w:rPr>
            </w:pPr>
            <w:r>
              <w:rPr>
                <w:color w:val="auto"/>
                <w:sz w:val="21"/>
                <w:szCs w:val="21"/>
                <w:u w:val="none" w:color="auto"/>
              </w:rPr>
              <w:t>委托当地环卫部门进行清运处理</w:t>
            </w:r>
          </w:p>
        </w:tc>
        <w:tc>
          <w:tcPr>
            <w:tcW w:w="2877" w:type="dxa"/>
            <w:vMerge w:val="continue"/>
            <w:noWrap w:val="0"/>
            <w:vAlign w:val="center"/>
          </w:tcPr>
          <w:p w14:paraId="450D72B1">
            <w:pPr>
              <w:pStyle w:val="11"/>
              <w:rPr>
                <w:color w:val="auto"/>
                <w:sz w:val="21"/>
                <w:szCs w:val="21"/>
                <w:u w:val="none" w:color="auto"/>
              </w:rPr>
            </w:pPr>
          </w:p>
        </w:tc>
      </w:tr>
      <w:tr w14:paraId="4F30A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1147" w:type="dxa"/>
            <w:vMerge w:val="continue"/>
            <w:noWrap w:val="0"/>
            <w:vAlign w:val="center"/>
          </w:tcPr>
          <w:p w14:paraId="355FBE80">
            <w:pPr>
              <w:pStyle w:val="11"/>
              <w:rPr>
                <w:color w:val="auto"/>
                <w:sz w:val="21"/>
                <w:szCs w:val="21"/>
                <w:u w:val="none" w:color="auto"/>
              </w:rPr>
            </w:pPr>
          </w:p>
        </w:tc>
        <w:tc>
          <w:tcPr>
            <w:tcW w:w="1575" w:type="dxa"/>
            <w:noWrap w:val="0"/>
            <w:vAlign w:val="center"/>
          </w:tcPr>
          <w:p w14:paraId="51C12ED9">
            <w:pPr>
              <w:pStyle w:val="11"/>
              <w:rPr>
                <w:color w:val="auto"/>
                <w:sz w:val="21"/>
                <w:szCs w:val="21"/>
                <w:u w:val="none" w:color="auto"/>
              </w:rPr>
            </w:pPr>
            <w:r>
              <w:rPr>
                <w:color w:val="auto"/>
                <w:sz w:val="21"/>
                <w:szCs w:val="21"/>
                <w:u w:val="none" w:color="auto"/>
              </w:rPr>
              <w:t>注液、</w:t>
            </w:r>
            <w:r>
              <w:rPr>
                <w:rFonts w:hint="eastAsia"/>
                <w:color w:val="auto"/>
                <w:sz w:val="21"/>
                <w:szCs w:val="21"/>
                <w:u w:val="none" w:color="auto"/>
                <w:lang w:eastAsia="zh-CN"/>
              </w:rPr>
              <w:t>封口</w:t>
            </w:r>
            <w:r>
              <w:rPr>
                <w:color w:val="auto"/>
                <w:sz w:val="21"/>
                <w:szCs w:val="21"/>
                <w:u w:val="none" w:color="auto"/>
              </w:rPr>
              <w:t>等工序</w:t>
            </w:r>
          </w:p>
        </w:tc>
        <w:tc>
          <w:tcPr>
            <w:tcW w:w="1035" w:type="dxa"/>
            <w:noWrap w:val="0"/>
            <w:vAlign w:val="center"/>
          </w:tcPr>
          <w:p w14:paraId="3874063C">
            <w:pPr>
              <w:pStyle w:val="11"/>
              <w:rPr>
                <w:color w:val="auto"/>
                <w:sz w:val="21"/>
                <w:szCs w:val="21"/>
                <w:u w:val="none" w:color="auto"/>
              </w:rPr>
            </w:pPr>
            <w:r>
              <w:rPr>
                <w:color w:val="auto"/>
                <w:sz w:val="21"/>
                <w:szCs w:val="21"/>
                <w:u w:val="none" w:color="auto"/>
              </w:rPr>
              <w:t>含电解液的废料</w:t>
            </w:r>
          </w:p>
        </w:tc>
        <w:tc>
          <w:tcPr>
            <w:tcW w:w="2437" w:type="dxa"/>
            <w:vMerge w:val="restart"/>
            <w:noWrap w:val="0"/>
            <w:vAlign w:val="center"/>
          </w:tcPr>
          <w:p w14:paraId="46554C4F">
            <w:pPr>
              <w:pStyle w:val="11"/>
              <w:rPr>
                <w:rFonts w:eastAsia="宋体"/>
                <w:color w:val="auto"/>
                <w:sz w:val="21"/>
                <w:szCs w:val="21"/>
                <w:u w:val="none" w:color="auto"/>
              </w:rPr>
            </w:pPr>
            <w:r>
              <w:rPr>
                <w:rFonts w:eastAsia="宋体"/>
                <w:color w:val="auto"/>
                <w:sz w:val="21"/>
                <w:szCs w:val="21"/>
                <w:u w:val="none" w:color="auto"/>
              </w:rPr>
              <w:t>经专门的收集桶收集后放置在危废暂存间中暂存，须按危险废物管理有关规定送至有资质的单位进行无害化处理</w:t>
            </w:r>
          </w:p>
        </w:tc>
        <w:tc>
          <w:tcPr>
            <w:tcW w:w="2877" w:type="dxa"/>
            <w:vMerge w:val="restart"/>
            <w:noWrap w:val="0"/>
            <w:vAlign w:val="center"/>
          </w:tcPr>
          <w:p w14:paraId="3F23F16A">
            <w:pPr>
              <w:pStyle w:val="11"/>
              <w:rPr>
                <w:rFonts w:eastAsia="宋体"/>
                <w:color w:val="auto"/>
                <w:sz w:val="21"/>
                <w:szCs w:val="21"/>
                <w:u w:val="none" w:color="auto"/>
              </w:rPr>
            </w:pPr>
            <w:r>
              <w:rPr>
                <w:rFonts w:eastAsia="宋体"/>
                <w:color w:val="auto"/>
                <w:sz w:val="21"/>
                <w:szCs w:val="21"/>
                <w:u w:val="none" w:color="auto"/>
              </w:rPr>
              <w:fldChar w:fldCharType="begin"/>
            </w:r>
            <w:r>
              <w:rPr>
                <w:rFonts w:eastAsia="宋体"/>
                <w:color w:val="auto"/>
                <w:sz w:val="21"/>
                <w:szCs w:val="21"/>
                <w:u w:val="none" w:color="auto"/>
              </w:rPr>
              <w:instrText xml:space="preserve"> HYPERLINK "https://www.mee.gov.cn/ywgz/fgbz/bz/bzwb/gthw/wxfwjbffbz/202302/t20230224_1017500.shtml" </w:instrText>
            </w:r>
            <w:r>
              <w:rPr>
                <w:rFonts w:eastAsia="宋体"/>
                <w:color w:val="auto"/>
                <w:sz w:val="21"/>
                <w:szCs w:val="21"/>
                <w:u w:val="none" w:color="auto"/>
              </w:rPr>
              <w:fldChar w:fldCharType="separate"/>
            </w:r>
            <w:r>
              <w:rPr>
                <w:rFonts w:hint="eastAsia" w:eastAsia="宋体"/>
                <w:color w:val="auto"/>
                <w:sz w:val="21"/>
                <w:szCs w:val="21"/>
                <w:u w:val="none" w:color="auto"/>
              </w:rPr>
              <w:t>《危险废物贮存污染控制标准》</w:t>
            </w:r>
            <w:r>
              <w:rPr>
                <w:rFonts w:hint="eastAsia" w:eastAsia="宋体"/>
                <w:color w:val="auto"/>
                <w:sz w:val="21"/>
                <w:szCs w:val="21"/>
                <w:u w:val="none" w:color="auto"/>
              </w:rPr>
              <w:fldChar w:fldCharType="end"/>
            </w:r>
          </w:p>
          <w:p w14:paraId="6B4B0DF8">
            <w:pPr>
              <w:pStyle w:val="11"/>
              <w:rPr>
                <w:rFonts w:eastAsia="宋体"/>
                <w:color w:val="auto"/>
                <w:sz w:val="21"/>
                <w:szCs w:val="21"/>
                <w:u w:val="none" w:color="auto"/>
              </w:rPr>
            </w:pPr>
            <w:r>
              <w:rPr>
                <w:rFonts w:hint="eastAsia" w:eastAsia="宋体"/>
                <w:color w:val="auto"/>
                <w:sz w:val="21"/>
                <w:szCs w:val="21"/>
                <w:u w:val="none" w:color="auto"/>
              </w:rPr>
              <w:t>(GB18597-20</w:t>
            </w:r>
            <w:r>
              <w:rPr>
                <w:rFonts w:hint="eastAsia" w:eastAsia="宋体"/>
                <w:color w:val="auto"/>
                <w:sz w:val="21"/>
                <w:szCs w:val="21"/>
                <w:u w:val="none" w:color="auto"/>
                <w:lang w:val="en-US" w:eastAsia="zh-CN"/>
              </w:rPr>
              <w:t>23</w:t>
            </w:r>
            <w:r>
              <w:rPr>
                <w:rFonts w:hint="eastAsia" w:eastAsia="宋体"/>
                <w:color w:val="auto"/>
                <w:sz w:val="21"/>
                <w:szCs w:val="21"/>
                <w:u w:val="none" w:color="auto"/>
              </w:rPr>
              <w:t>)</w:t>
            </w:r>
          </w:p>
        </w:tc>
      </w:tr>
      <w:tr w14:paraId="74CE7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147" w:type="dxa"/>
            <w:vMerge w:val="continue"/>
            <w:noWrap w:val="0"/>
            <w:vAlign w:val="center"/>
          </w:tcPr>
          <w:p w14:paraId="0BB25476">
            <w:pPr>
              <w:pStyle w:val="11"/>
              <w:rPr>
                <w:color w:val="auto"/>
                <w:sz w:val="21"/>
                <w:szCs w:val="21"/>
                <w:u w:val="none" w:color="auto"/>
              </w:rPr>
            </w:pPr>
          </w:p>
        </w:tc>
        <w:tc>
          <w:tcPr>
            <w:tcW w:w="1575" w:type="dxa"/>
            <w:noWrap w:val="0"/>
            <w:vAlign w:val="center"/>
          </w:tcPr>
          <w:p w14:paraId="72C1BCF2">
            <w:pPr>
              <w:pStyle w:val="11"/>
              <w:rPr>
                <w:color w:val="auto"/>
                <w:sz w:val="21"/>
                <w:szCs w:val="21"/>
                <w:u w:val="none" w:color="auto"/>
              </w:rPr>
            </w:pPr>
            <w:r>
              <w:rPr>
                <w:rFonts w:hint="eastAsia"/>
                <w:color w:val="auto"/>
                <w:sz w:val="21"/>
                <w:szCs w:val="21"/>
                <w:u w:val="none" w:color="auto"/>
              </w:rPr>
              <w:t>设备维修</w:t>
            </w:r>
          </w:p>
        </w:tc>
        <w:tc>
          <w:tcPr>
            <w:tcW w:w="1035" w:type="dxa"/>
            <w:noWrap w:val="0"/>
            <w:vAlign w:val="center"/>
          </w:tcPr>
          <w:p w14:paraId="3790871A">
            <w:pPr>
              <w:pStyle w:val="11"/>
              <w:rPr>
                <w:rFonts w:hint="eastAsia" w:eastAsia="宋体"/>
                <w:color w:val="auto"/>
                <w:sz w:val="21"/>
                <w:szCs w:val="21"/>
                <w:u w:val="none" w:color="auto"/>
                <w:lang w:eastAsia="zh-CN"/>
              </w:rPr>
            </w:pPr>
            <w:r>
              <w:rPr>
                <w:rFonts w:hint="eastAsia"/>
                <w:color w:val="auto"/>
                <w:sz w:val="21"/>
                <w:szCs w:val="21"/>
                <w:u w:val="none" w:color="auto"/>
              </w:rPr>
              <w:t>废机油</w:t>
            </w:r>
            <w:r>
              <w:rPr>
                <w:rFonts w:hint="eastAsia"/>
                <w:color w:val="auto"/>
                <w:sz w:val="21"/>
                <w:szCs w:val="21"/>
                <w:u w:val="none" w:color="auto"/>
                <w:lang w:eastAsia="zh-CN"/>
              </w:rPr>
              <w:t>、废抹布</w:t>
            </w:r>
          </w:p>
        </w:tc>
        <w:tc>
          <w:tcPr>
            <w:tcW w:w="2437" w:type="dxa"/>
            <w:vMerge w:val="continue"/>
            <w:noWrap w:val="0"/>
            <w:vAlign w:val="center"/>
          </w:tcPr>
          <w:p w14:paraId="297ED344">
            <w:pPr>
              <w:pStyle w:val="11"/>
              <w:rPr>
                <w:color w:val="auto"/>
                <w:sz w:val="21"/>
                <w:szCs w:val="21"/>
                <w:u w:val="none" w:color="auto"/>
              </w:rPr>
            </w:pPr>
          </w:p>
        </w:tc>
        <w:tc>
          <w:tcPr>
            <w:tcW w:w="2877" w:type="dxa"/>
            <w:vMerge w:val="continue"/>
            <w:noWrap w:val="0"/>
            <w:vAlign w:val="center"/>
          </w:tcPr>
          <w:p w14:paraId="0EAF2BDF">
            <w:pPr>
              <w:pStyle w:val="11"/>
              <w:rPr>
                <w:color w:val="auto"/>
                <w:sz w:val="21"/>
                <w:szCs w:val="21"/>
                <w:u w:val="none" w:color="auto"/>
              </w:rPr>
            </w:pPr>
          </w:p>
        </w:tc>
      </w:tr>
      <w:tr w14:paraId="4289E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147" w:type="dxa"/>
            <w:vMerge w:val="continue"/>
            <w:noWrap w:val="0"/>
            <w:vAlign w:val="center"/>
          </w:tcPr>
          <w:p w14:paraId="047E950D">
            <w:pPr>
              <w:pStyle w:val="11"/>
              <w:rPr>
                <w:color w:val="auto"/>
                <w:sz w:val="21"/>
                <w:szCs w:val="21"/>
                <w:u w:val="none" w:color="auto"/>
              </w:rPr>
            </w:pPr>
          </w:p>
        </w:tc>
        <w:tc>
          <w:tcPr>
            <w:tcW w:w="1575" w:type="dxa"/>
            <w:noWrap w:val="0"/>
            <w:vAlign w:val="center"/>
          </w:tcPr>
          <w:p w14:paraId="58C4F284">
            <w:pPr>
              <w:pStyle w:val="11"/>
              <w:rPr>
                <w:rFonts w:hint="eastAsia"/>
                <w:color w:val="auto"/>
                <w:sz w:val="21"/>
                <w:szCs w:val="21"/>
                <w:u w:val="none" w:color="auto"/>
              </w:rPr>
            </w:pPr>
            <w:r>
              <w:rPr>
                <w:rFonts w:hint="eastAsia" w:ascii="Times New Roman" w:hAnsi="Times New Roman" w:eastAsia="宋体" w:cs="Times New Roman"/>
                <w:color w:val="auto"/>
                <w:sz w:val="21"/>
                <w:szCs w:val="21"/>
                <w:u w:val="none" w:color="auto"/>
                <w:lang w:eastAsia="zh-CN"/>
              </w:rPr>
              <w:t>搅拌桶擦拭</w:t>
            </w:r>
          </w:p>
        </w:tc>
        <w:tc>
          <w:tcPr>
            <w:tcW w:w="1035" w:type="dxa"/>
            <w:noWrap w:val="0"/>
            <w:vAlign w:val="center"/>
          </w:tcPr>
          <w:p w14:paraId="2D01DF9A">
            <w:pPr>
              <w:pStyle w:val="11"/>
              <w:rPr>
                <w:rFonts w:hint="eastAsia"/>
                <w:color w:val="auto"/>
                <w:sz w:val="21"/>
                <w:szCs w:val="21"/>
                <w:u w:val="none" w:color="auto"/>
              </w:rPr>
            </w:pPr>
            <w:r>
              <w:rPr>
                <w:rFonts w:hint="eastAsia" w:ascii="Times New Roman" w:hAnsi="Times New Roman" w:eastAsia="宋体" w:cs="Times New Roman"/>
                <w:color w:val="auto"/>
                <w:sz w:val="21"/>
                <w:szCs w:val="21"/>
                <w:u w:val="none" w:color="auto"/>
                <w:lang w:eastAsia="zh-CN"/>
              </w:rPr>
              <w:t>废抹布</w:t>
            </w:r>
          </w:p>
        </w:tc>
        <w:tc>
          <w:tcPr>
            <w:tcW w:w="2437" w:type="dxa"/>
            <w:vMerge w:val="continue"/>
            <w:noWrap w:val="0"/>
            <w:vAlign w:val="center"/>
          </w:tcPr>
          <w:p w14:paraId="51ACEEEE">
            <w:pPr>
              <w:pStyle w:val="11"/>
              <w:rPr>
                <w:color w:val="auto"/>
                <w:sz w:val="21"/>
                <w:szCs w:val="21"/>
                <w:u w:val="none" w:color="auto"/>
              </w:rPr>
            </w:pPr>
          </w:p>
        </w:tc>
        <w:tc>
          <w:tcPr>
            <w:tcW w:w="2877" w:type="dxa"/>
            <w:vMerge w:val="continue"/>
            <w:noWrap w:val="0"/>
            <w:vAlign w:val="center"/>
          </w:tcPr>
          <w:p w14:paraId="3F34ED52">
            <w:pPr>
              <w:pStyle w:val="11"/>
              <w:rPr>
                <w:color w:val="auto"/>
                <w:sz w:val="21"/>
                <w:szCs w:val="21"/>
                <w:u w:val="none" w:color="auto"/>
              </w:rPr>
            </w:pPr>
          </w:p>
        </w:tc>
      </w:tr>
      <w:tr w14:paraId="584A9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7" w:type="dxa"/>
            <w:noWrap w:val="0"/>
            <w:vAlign w:val="center"/>
          </w:tcPr>
          <w:p w14:paraId="622D263A">
            <w:pPr>
              <w:pStyle w:val="11"/>
              <w:rPr>
                <w:color w:val="auto"/>
                <w:sz w:val="21"/>
                <w:szCs w:val="21"/>
                <w:u w:val="none" w:color="auto"/>
              </w:rPr>
            </w:pPr>
            <w:r>
              <w:rPr>
                <w:rFonts w:hint="eastAsia"/>
                <w:color w:val="auto"/>
                <w:sz w:val="21"/>
                <w:szCs w:val="21"/>
                <w:u w:val="none" w:color="auto"/>
              </w:rPr>
              <w:t>土壤及地下水污染防治措施</w:t>
            </w:r>
          </w:p>
        </w:tc>
        <w:tc>
          <w:tcPr>
            <w:tcW w:w="7924" w:type="dxa"/>
            <w:gridSpan w:val="4"/>
            <w:noWrap w:val="0"/>
            <w:vAlign w:val="center"/>
          </w:tcPr>
          <w:p w14:paraId="58C21BBB">
            <w:pPr>
              <w:pStyle w:val="11"/>
              <w:rPr>
                <w:color w:val="auto"/>
                <w:sz w:val="21"/>
                <w:szCs w:val="21"/>
                <w:u w:val="none" w:color="auto"/>
              </w:rPr>
            </w:pPr>
            <w:r>
              <w:rPr>
                <w:rFonts w:hint="eastAsia"/>
                <w:color w:val="auto"/>
                <w:sz w:val="21"/>
                <w:szCs w:val="21"/>
                <w:u w:val="none" w:color="auto"/>
              </w:rPr>
              <w:t>N-甲基吡咯烷酮、电解液等液体化学品原辅材料仓、正负极材料配料搅拌车间、危险废物暂存间设置重点防渗</w:t>
            </w:r>
          </w:p>
        </w:tc>
      </w:tr>
      <w:tr w14:paraId="0D7F7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7" w:type="dxa"/>
            <w:noWrap w:val="0"/>
            <w:vAlign w:val="center"/>
          </w:tcPr>
          <w:p w14:paraId="2F7A9204">
            <w:pPr>
              <w:pStyle w:val="11"/>
              <w:rPr>
                <w:color w:val="auto"/>
                <w:sz w:val="21"/>
                <w:szCs w:val="21"/>
                <w:u w:val="none" w:color="auto"/>
              </w:rPr>
            </w:pPr>
            <w:r>
              <w:rPr>
                <w:rFonts w:hint="eastAsia"/>
                <w:color w:val="auto"/>
                <w:sz w:val="21"/>
                <w:szCs w:val="21"/>
                <w:u w:val="none" w:color="auto"/>
              </w:rPr>
              <w:t>生态保护措施</w:t>
            </w:r>
          </w:p>
        </w:tc>
        <w:tc>
          <w:tcPr>
            <w:tcW w:w="7924" w:type="dxa"/>
            <w:gridSpan w:val="4"/>
            <w:noWrap w:val="0"/>
            <w:vAlign w:val="center"/>
          </w:tcPr>
          <w:p w14:paraId="6B7A72C3">
            <w:pPr>
              <w:pStyle w:val="11"/>
              <w:rPr>
                <w:color w:val="auto"/>
                <w:sz w:val="21"/>
                <w:szCs w:val="21"/>
                <w:u w:val="none" w:color="auto"/>
              </w:rPr>
            </w:pPr>
            <w:r>
              <w:rPr>
                <w:rFonts w:hint="eastAsia"/>
                <w:color w:val="auto"/>
                <w:sz w:val="21"/>
                <w:szCs w:val="21"/>
                <w:u w:val="none" w:color="auto"/>
              </w:rPr>
              <w:t>/</w:t>
            </w:r>
          </w:p>
        </w:tc>
      </w:tr>
      <w:tr w14:paraId="364F7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7" w:type="dxa"/>
            <w:noWrap w:val="0"/>
            <w:vAlign w:val="center"/>
          </w:tcPr>
          <w:p w14:paraId="2A61DD55">
            <w:pPr>
              <w:pStyle w:val="11"/>
              <w:rPr>
                <w:color w:val="auto"/>
                <w:sz w:val="21"/>
                <w:szCs w:val="21"/>
                <w:u w:val="none" w:color="auto"/>
              </w:rPr>
            </w:pPr>
            <w:r>
              <w:rPr>
                <w:rFonts w:hint="eastAsia"/>
                <w:color w:val="auto"/>
                <w:sz w:val="21"/>
                <w:szCs w:val="21"/>
                <w:u w:val="none" w:color="auto"/>
              </w:rPr>
              <w:t>环境风险</w:t>
            </w:r>
          </w:p>
          <w:p w14:paraId="44D09714">
            <w:pPr>
              <w:pStyle w:val="11"/>
              <w:rPr>
                <w:color w:val="auto"/>
                <w:sz w:val="21"/>
                <w:szCs w:val="21"/>
                <w:u w:val="none" w:color="auto"/>
              </w:rPr>
            </w:pPr>
            <w:r>
              <w:rPr>
                <w:rFonts w:hint="eastAsia"/>
                <w:color w:val="auto"/>
                <w:sz w:val="21"/>
                <w:szCs w:val="21"/>
                <w:u w:val="none" w:color="auto"/>
              </w:rPr>
              <w:t>防范措施</w:t>
            </w:r>
          </w:p>
        </w:tc>
        <w:tc>
          <w:tcPr>
            <w:tcW w:w="7924" w:type="dxa"/>
            <w:gridSpan w:val="4"/>
            <w:noWrap w:val="0"/>
            <w:vAlign w:val="center"/>
          </w:tcPr>
          <w:p w14:paraId="2CD7E22B">
            <w:pPr>
              <w:pStyle w:val="11"/>
              <w:rPr>
                <w:color w:val="auto"/>
                <w:sz w:val="21"/>
                <w:szCs w:val="21"/>
                <w:u w:val="none" w:color="auto"/>
              </w:rPr>
            </w:pPr>
            <w:r>
              <w:rPr>
                <w:color w:val="auto"/>
                <w:sz w:val="21"/>
                <w:szCs w:val="21"/>
                <w:u w:val="none" w:color="auto"/>
              </w:rPr>
              <w:t>项目运行过程中存在泄</w:t>
            </w:r>
            <w:r>
              <w:rPr>
                <w:rFonts w:hint="eastAsia"/>
                <w:color w:val="auto"/>
                <w:sz w:val="21"/>
                <w:szCs w:val="21"/>
                <w:u w:val="none" w:color="auto"/>
              </w:rPr>
              <w:t>漏</w:t>
            </w:r>
            <w:r>
              <w:rPr>
                <w:color w:val="auto"/>
                <w:sz w:val="21"/>
                <w:szCs w:val="21"/>
                <w:u w:val="none" w:color="auto"/>
              </w:rPr>
              <w:t>风险，必须严格执行国家的技术规范和操作规程要求，落实各项安全规章制度，避免</w:t>
            </w:r>
            <w:r>
              <w:rPr>
                <w:rFonts w:hint="eastAsia"/>
                <w:color w:val="auto"/>
                <w:sz w:val="21"/>
                <w:szCs w:val="21"/>
                <w:u w:val="none" w:color="auto"/>
              </w:rPr>
              <w:t>泄漏</w:t>
            </w:r>
            <w:r>
              <w:rPr>
                <w:color w:val="auto"/>
                <w:sz w:val="21"/>
                <w:szCs w:val="21"/>
                <w:u w:val="none" w:color="auto"/>
              </w:rPr>
              <w:t>事故的发生。</w:t>
            </w:r>
          </w:p>
        </w:tc>
      </w:tr>
      <w:tr w14:paraId="4149E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7" w:type="dxa"/>
            <w:noWrap w:val="0"/>
            <w:vAlign w:val="center"/>
          </w:tcPr>
          <w:p w14:paraId="7498EFBC">
            <w:pPr>
              <w:pStyle w:val="11"/>
              <w:rPr>
                <w:color w:val="auto"/>
                <w:sz w:val="21"/>
                <w:szCs w:val="21"/>
                <w:u w:val="none" w:color="auto"/>
              </w:rPr>
            </w:pPr>
            <w:r>
              <w:rPr>
                <w:rFonts w:hint="eastAsia"/>
                <w:color w:val="auto"/>
                <w:sz w:val="21"/>
                <w:szCs w:val="21"/>
                <w:u w:val="none" w:color="auto"/>
              </w:rPr>
              <w:t>其他环境</w:t>
            </w:r>
          </w:p>
          <w:p w14:paraId="24C3ABDA">
            <w:pPr>
              <w:pStyle w:val="11"/>
              <w:rPr>
                <w:color w:val="auto"/>
                <w:sz w:val="21"/>
                <w:szCs w:val="21"/>
                <w:u w:val="none" w:color="auto"/>
              </w:rPr>
            </w:pPr>
            <w:r>
              <w:rPr>
                <w:rFonts w:hint="eastAsia"/>
                <w:color w:val="auto"/>
                <w:sz w:val="21"/>
                <w:szCs w:val="21"/>
                <w:u w:val="none" w:color="auto"/>
              </w:rPr>
              <w:t>管理要求</w:t>
            </w:r>
          </w:p>
        </w:tc>
        <w:tc>
          <w:tcPr>
            <w:tcW w:w="7924" w:type="dxa"/>
            <w:gridSpan w:val="4"/>
            <w:noWrap w:val="0"/>
            <w:vAlign w:val="center"/>
          </w:tcPr>
          <w:p w14:paraId="137763E6">
            <w:pPr>
              <w:pStyle w:val="11"/>
              <w:rPr>
                <w:color w:val="auto"/>
                <w:sz w:val="21"/>
                <w:szCs w:val="21"/>
                <w:u w:val="none" w:color="auto"/>
              </w:rPr>
            </w:pPr>
            <w:r>
              <w:rPr>
                <w:color w:val="auto"/>
                <w:sz w:val="21"/>
                <w:szCs w:val="21"/>
                <w:u w:val="none" w:color="auto"/>
              </w:rPr>
              <w:t>1、</w:t>
            </w:r>
            <w:r>
              <w:rPr>
                <w:rFonts w:hint="eastAsia"/>
                <w:color w:val="auto"/>
                <w:sz w:val="21"/>
                <w:szCs w:val="21"/>
                <w:u w:val="none" w:color="auto"/>
                <w:lang w:eastAsia="zh-CN"/>
              </w:rPr>
              <w:t>及时</w:t>
            </w:r>
            <w:r>
              <w:rPr>
                <w:color w:val="auto"/>
                <w:sz w:val="21"/>
                <w:szCs w:val="21"/>
                <w:u w:val="none" w:color="auto"/>
              </w:rPr>
              <w:t>办理排污许可证</w:t>
            </w:r>
          </w:p>
          <w:p w14:paraId="022116D4">
            <w:pPr>
              <w:pStyle w:val="11"/>
              <w:rPr>
                <w:color w:val="auto"/>
                <w:sz w:val="21"/>
                <w:szCs w:val="21"/>
                <w:u w:val="none" w:color="auto"/>
              </w:rPr>
            </w:pPr>
            <w:r>
              <w:rPr>
                <w:color w:val="auto"/>
                <w:sz w:val="21"/>
                <w:szCs w:val="21"/>
                <w:u w:val="none" w:color="auto"/>
              </w:rPr>
              <w:t>2、及时进行环保竣工验收</w:t>
            </w:r>
          </w:p>
          <w:p w14:paraId="79273DC4">
            <w:pPr>
              <w:pStyle w:val="11"/>
              <w:rPr>
                <w:color w:val="auto"/>
                <w:sz w:val="21"/>
                <w:szCs w:val="21"/>
                <w:u w:val="none" w:color="auto"/>
              </w:rPr>
            </w:pPr>
            <w:r>
              <w:rPr>
                <w:color w:val="auto"/>
                <w:sz w:val="21"/>
                <w:szCs w:val="21"/>
                <w:u w:val="none" w:color="auto"/>
              </w:rPr>
              <w:t>3、及时完成环境风险应急预案编制并备案</w:t>
            </w:r>
            <w:r>
              <w:rPr>
                <w:rFonts w:hint="eastAsia"/>
                <w:color w:val="auto"/>
                <w:sz w:val="21"/>
                <w:szCs w:val="21"/>
                <w:u w:val="none" w:color="auto"/>
              </w:rPr>
              <w:t>。</w:t>
            </w:r>
          </w:p>
        </w:tc>
      </w:tr>
    </w:tbl>
    <w:p w14:paraId="1A0D4036">
      <w:pPr>
        <w:pStyle w:val="26"/>
        <w:ind w:firstLine="480"/>
        <w:jc w:val="center"/>
        <w:outlineLvl w:val="0"/>
        <w:rPr>
          <w:rFonts w:ascii="黑体" w:hAnsi="黑体" w:eastAsia="黑体"/>
          <w:snapToGrid w:val="0"/>
          <w:color w:val="auto"/>
          <w:sz w:val="30"/>
          <w:szCs w:val="30"/>
          <w:u w:val="none" w:color="auto"/>
        </w:rPr>
      </w:pPr>
      <w:r>
        <w:rPr>
          <w:snapToGrid w:val="0"/>
          <w:color w:val="auto"/>
          <w:u w:val="none" w:color="auto"/>
        </w:rPr>
        <w:br w:type="page"/>
      </w:r>
      <w:bookmarkStart w:id="14" w:name="_Toc24445"/>
      <w:bookmarkStart w:id="15" w:name="_Toc826"/>
      <w:r>
        <w:rPr>
          <w:rFonts w:hint="eastAsia" w:ascii="黑体" w:hAnsi="黑体" w:eastAsia="黑体"/>
          <w:snapToGrid w:val="0"/>
          <w:color w:val="auto"/>
          <w:sz w:val="30"/>
          <w:szCs w:val="30"/>
          <w:u w:val="none" w:color="auto"/>
        </w:rPr>
        <w:t>六、结论</w:t>
      </w:r>
      <w:bookmarkEnd w:id="14"/>
      <w:bookmarkEnd w:id="15"/>
    </w:p>
    <w:tbl>
      <w:tblPr>
        <w:tblStyle w:val="2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4B5AF3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5000" w:type="pct"/>
            <w:noWrap w:val="0"/>
            <w:vAlign w:val="center"/>
          </w:tcPr>
          <w:p w14:paraId="63029F4A">
            <w:pPr>
              <w:ind w:firstLine="480"/>
              <w:rPr>
                <w:rFonts w:ascii="宋体" w:cs="宋体"/>
                <w:color w:val="auto"/>
                <w:u w:val="none" w:color="auto"/>
              </w:rPr>
            </w:pPr>
            <w:r>
              <w:rPr>
                <w:rFonts w:hint="eastAsia"/>
                <w:color w:val="auto"/>
                <w:u w:val="none" w:color="auto"/>
                <w:shd w:val="clear" w:color="auto" w:fill="FFFFFF"/>
              </w:rPr>
              <w:t>项目</w:t>
            </w:r>
            <w:r>
              <w:rPr>
                <w:color w:val="auto"/>
                <w:u w:val="none" w:color="auto"/>
              </w:rPr>
              <w:t>建设</w:t>
            </w:r>
            <w:r>
              <w:rPr>
                <w:rFonts w:hint="eastAsia"/>
                <w:color w:val="auto"/>
                <w:u w:val="none" w:color="auto"/>
              </w:rPr>
              <w:t>符合国家产业政策，项目选址符合相关规划要求，采用的工艺技术成熟可行；通过采取有效的环保措施可实现达标排放，对周边环境的影响也能控制在可接受程度。因此，建设单位在严格执行环保</w:t>
            </w:r>
            <w:r>
              <w:rPr>
                <w:color w:val="auto"/>
                <w:u w:val="none" w:color="auto"/>
              </w:rPr>
              <w:t>“</w:t>
            </w:r>
            <w:r>
              <w:rPr>
                <w:rFonts w:hint="eastAsia"/>
                <w:color w:val="auto"/>
                <w:u w:val="none" w:color="auto"/>
              </w:rPr>
              <w:t>三同时</w:t>
            </w:r>
            <w:r>
              <w:rPr>
                <w:color w:val="auto"/>
                <w:u w:val="none" w:color="auto"/>
              </w:rPr>
              <w:t>”</w:t>
            </w:r>
            <w:r>
              <w:rPr>
                <w:rFonts w:hint="eastAsia"/>
                <w:color w:val="auto"/>
                <w:u w:val="none" w:color="auto"/>
              </w:rPr>
              <w:t>制度，严格落实本报告提出的各项环保措施后，项目建设对环境的影响是可接受的。因此，从环保的角度分析，本项目的建设是可行的。</w:t>
            </w:r>
          </w:p>
          <w:p w14:paraId="4B83B475">
            <w:pPr>
              <w:pStyle w:val="11"/>
              <w:rPr>
                <w:color w:val="auto"/>
                <w:u w:val="none" w:color="auto"/>
              </w:rPr>
            </w:pPr>
          </w:p>
          <w:p w14:paraId="3AB1A2C3">
            <w:pPr>
              <w:pStyle w:val="11"/>
              <w:rPr>
                <w:color w:val="auto"/>
                <w:u w:val="none" w:color="auto"/>
              </w:rPr>
            </w:pPr>
          </w:p>
          <w:p w14:paraId="09EE0488">
            <w:pPr>
              <w:pStyle w:val="11"/>
              <w:rPr>
                <w:color w:val="auto"/>
                <w:u w:val="none" w:color="auto"/>
              </w:rPr>
            </w:pPr>
          </w:p>
          <w:p w14:paraId="7D08E17E">
            <w:pPr>
              <w:pStyle w:val="11"/>
              <w:rPr>
                <w:color w:val="auto"/>
                <w:u w:val="none" w:color="auto"/>
              </w:rPr>
            </w:pPr>
          </w:p>
          <w:p w14:paraId="3C549A23">
            <w:pPr>
              <w:pStyle w:val="11"/>
              <w:rPr>
                <w:color w:val="auto"/>
                <w:u w:val="none" w:color="auto"/>
              </w:rPr>
            </w:pPr>
          </w:p>
          <w:p w14:paraId="5FEE8A9A">
            <w:pPr>
              <w:pStyle w:val="11"/>
              <w:rPr>
                <w:color w:val="auto"/>
                <w:u w:val="none" w:color="auto"/>
              </w:rPr>
            </w:pPr>
          </w:p>
          <w:p w14:paraId="550CEA9A">
            <w:pPr>
              <w:pStyle w:val="11"/>
              <w:rPr>
                <w:color w:val="auto"/>
                <w:u w:val="none" w:color="auto"/>
              </w:rPr>
            </w:pPr>
          </w:p>
          <w:p w14:paraId="6125481E">
            <w:pPr>
              <w:pStyle w:val="11"/>
              <w:rPr>
                <w:color w:val="auto"/>
                <w:u w:val="none" w:color="auto"/>
              </w:rPr>
            </w:pPr>
          </w:p>
          <w:p w14:paraId="11450B4F">
            <w:pPr>
              <w:pStyle w:val="11"/>
              <w:rPr>
                <w:color w:val="auto"/>
                <w:u w:val="none" w:color="auto"/>
              </w:rPr>
            </w:pPr>
          </w:p>
          <w:p w14:paraId="4CE001A6">
            <w:pPr>
              <w:pStyle w:val="11"/>
              <w:rPr>
                <w:color w:val="auto"/>
                <w:u w:val="none" w:color="auto"/>
              </w:rPr>
            </w:pPr>
          </w:p>
          <w:p w14:paraId="02707E9E">
            <w:pPr>
              <w:pStyle w:val="11"/>
              <w:rPr>
                <w:color w:val="auto"/>
                <w:u w:val="none" w:color="auto"/>
              </w:rPr>
            </w:pPr>
          </w:p>
          <w:p w14:paraId="2C94C26D">
            <w:pPr>
              <w:pStyle w:val="11"/>
              <w:rPr>
                <w:color w:val="auto"/>
                <w:u w:val="none" w:color="auto"/>
              </w:rPr>
            </w:pPr>
          </w:p>
          <w:p w14:paraId="680D5A9E">
            <w:pPr>
              <w:pStyle w:val="11"/>
              <w:rPr>
                <w:color w:val="auto"/>
                <w:u w:val="none" w:color="auto"/>
              </w:rPr>
            </w:pPr>
          </w:p>
          <w:p w14:paraId="2531F868">
            <w:pPr>
              <w:pStyle w:val="11"/>
              <w:rPr>
                <w:color w:val="auto"/>
                <w:u w:val="none" w:color="auto"/>
              </w:rPr>
            </w:pPr>
          </w:p>
          <w:p w14:paraId="32999531">
            <w:pPr>
              <w:pStyle w:val="11"/>
              <w:rPr>
                <w:color w:val="auto"/>
                <w:u w:val="none" w:color="auto"/>
              </w:rPr>
            </w:pPr>
          </w:p>
          <w:p w14:paraId="5BEC69AD">
            <w:pPr>
              <w:pStyle w:val="11"/>
              <w:rPr>
                <w:color w:val="auto"/>
                <w:u w:val="none" w:color="auto"/>
              </w:rPr>
            </w:pPr>
          </w:p>
          <w:p w14:paraId="55D173BB">
            <w:pPr>
              <w:pStyle w:val="11"/>
              <w:rPr>
                <w:color w:val="auto"/>
                <w:u w:val="none" w:color="auto"/>
              </w:rPr>
            </w:pPr>
          </w:p>
          <w:p w14:paraId="5B6B1296">
            <w:pPr>
              <w:pStyle w:val="11"/>
              <w:rPr>
                <w:color w:val="auto"/>
                <w:u w:val="none" w:color="auto"/>
              </w:rPr>
            </w:pPr>
          </w:p>
          <w:p w14:paraId="3FC5BC7D">
            <w:pPr>
              <w:pStyle w:val="11"/>
              <w:rPr>
                <w:color w:val="auto"/>
                <w:u w:val="none" w:color="auto"/>
              </w:rPr>
            </w:pPr>
          </w:p>
          <w:p w14:paraId="01827F22">
            <w:pPr>
              <w:pStyle w:val="11"/>
              <w:rPr>
                <w:color w:val="auto"/>
                <w:u w:val="none" w:color="auto"/>
              </w:rPr>
            </w:pPr>
          </w:p>
          <w:p w14:paraId="49675426">
            <w:pPr>
              <w:pStyle w:val="11"/>
              <w:rPr>
                <w:color w:val="auto"/>
                <w:u w:val="none" w:color="auto"/>
              </w:rPr>
            </w:pPr>
          </w:p>
          <w:p w14:paraId="44E337CA">
            <w:pPr>
              <w:ind w:firstLine="480"/>
              <w:rPr>
                <w:color w:val="auto"/>
                <w:u w:val="none" w:color="auto"/>
              </w:rPr>
            </w:pPr>
          </w:p>
          <w:p w14:paraId="2BAB096D">
            <w:pPr>
              <w:ind w:firstLine="480"/>
              <w:rPr>
                <w:color w:val="auto"/>
                <w:u w:val="none" w:color="auto"/>
              </w:rPr>
            </w:pPr>
          </w:p>
          <w:p w14:paraId="4F58E041">
            <w:pPr>
              <w:ind w:firstLine="480"/>
              <w:rPr>
                <w:color w:val="auto"/>
                <w:u w:val="none" w:color="auto"/>
              </w:rPr>
            </w:pPr>
          </w:p>
          <w:p w14:paraId="2E348B09">
            <w:pPr>
              <w:pStyle w:val="11"/>
              <w:jc w:val="both"/>
              <w:rPr>
                <w:rFonts w:ascii="宋体" w:cs="宋体"/>
                <w:color w:val="auto"/>
                <w:u w:val="none" w:color="auto"/>
              </w:rPr>
            </w:pPr>
          </w:p>
        </w:tc>
      </w:tr>
    </w:tbl>
    <w:p w14:paraId="557BF85D">
      <w:pPr>
        <w:ind w:firstLine="480"/>
        <w:rPr>
          <w:rFonts w:ascii="宋体"/>
          <w:color w:val="auto"/>
          <w:u w:val="none" w:color="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0DC4F5C2">
      <w:pPr>
        <w:pStyle w:val="26"/>
        <w:adjustRightInd w:val="0"/>
        <w:snapToGrid w:val="0"/>
        <w:spacing w:before="0" w:beforeAutospacing="0" w:after="0" w:afterAutospacing="0" w:line="240" w:lineRule="auto"/>
        <w:ind w:firstLine="640"/>
        <w:outlineLvl w:val="0"/>
        <w:rPr>
          <w:rFonts w:ascii="黑体" w:hAnsi="黑体" w:eastAsia="黑体"/>
          <w:snapToGrid w:val="0"/>
          <w:color w:val="auto"/>
          <w:sz w:val="32"/>
          <w:szCs w:val="32"/>
          <w:u w:val="none" w:color="auto"/>
        </w:rPr>
      </w:pPr>
      <w:bookmarkStart w:id="16" w:name="_Toc13769"/>
      <w:bookmarkStart w:id="17" w:name="_Toc1416"/>
      <w:r>
        <w:rPr>
          <w:rFonts w:hint="eastAsia" w:ascii="黑体" w:hAnsi="黑体" w:eastAsia="黑体"/>
          <w:snapToGrid w:val="0"/>
          <w:color w:val="auto"/>
          <w:sz w:val="32"/>
          <w:szCs w:val="32"/>
          <w:u w:val="none" w:color="auto"/>
        </w:rPr>
        <w:t>附表</w:t>
      </w:r>
      <w:bookmarkEnd w:id="16"/>
      <w:bookmarkEnd w:id="17"/>
    </w:p>
    <w:p w14:paraId="020A56CA">
      <w:pPr>
        <w:pStyle w:val="26"/>
        <w:adjustRightInd w:val="0"/>
        <w:snapToGrid w:val="0"/>
        <w:spacing w:before="0" w:beforeAutospacing="0" w:after="0" w:afterAutospacing="0" w:line="240" w:lineRule="auto"/>
        <w:ind w:firstLine="760"/>
        <w:jc w:val="center"/>
        <w:outlineLvl w:val="0"/>
        <w:rPr>
          <w:rFonts w:hint="eastAsia" w:ascii="方正小标宋_GBK" w:hAnsi="黑体" w:eastAsia="方正小标宋_GBK"/>
          <w:snapToGrid w:val="0"/>
          <w:color w:val="auto"/>
          <w:sz w:val="38"/>
          <w:szCs w:val="38"/>
          <w:u w:val="none" w:color="auto"/>
        </w:rPr>
      </w:pPr>
      <w:bookmarkStart w:id="18" w:name="_Toc27931"/>
      <w:bookmarkStart w:id="19" w:name="_Toc18039"/>
      <w:r>
        <w:rPr>
          <w:rFonts w:hint="eastAsia" w:ascii="方正小标宋_GBK" w:hAnsi="黑体" w:eastAsia="方正小标宋_GBK"/>
          <w:snapToGrid w:val="0"/>
          <w:color w:val="auto"/>
          <w:sz w:val="38"/>
          <w:szCs w:val="38"/>
          <w:u w:val="none" w:color="auto"/>
        </w:rPr>
        <w:t>建设项目</w:t>
      </w:r>
      <w:bookmarkEnd w:id="18"/>
      <w:bookmarkEnd w:id="19"/>
      <w:r>
        <w:rPr>
          <w:rFonts w:hint="eastAsia" w:ascii="方正小标宋_GBK" w:hAnsi="黑体" w:eastAsia="方正小标宋_GBK"/>
          <w:snapToGrid w:val="0"/>
          <w:color w:val="auto"/>
          <w:sz w:val="38"/>
          <w:szCs w:val="38"/>
          <w:u w:val="none" w:color="auto"/>
        </w:rPr>
        <w:t>污染物排放量汇总表</w:t>
      </w:r>
    </w:p>
    <w:tbl>
      <w:tblPr>
        <w:tblStyle w:val="28"/>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950"/>
        <w:gridCol w:w="1547"/>
        <w:gridCol w:w="1276"/>
        <w:gridCol w:w="1701"/>
        <w:gridCol w:w="1559"/>
        <w:gridCol w:w="1761"/>
        <w:gridCol w:w="1642"/>
        <w:gridCol w:w="1143"/>
      </w:tblGrid>
      <w:tr w14:paraId="45CA91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209" w:type="dxa"/>
            <w:tcBorders>
              <w:tl2br w:val="single" w:color="auto" w:sz="4" w:space="0"/>
            </w:tcBorders>
            <w:noWrap w:val="0"/>
            <w:tcMar>
              <w:left w:w="28" w:type="dxa"/>
              <w:right w:w="28" w:type="dxa"/>
            </w:tcMar>
            <w:vAlign w:val="center"/>
          </w:tcPr>
          <w:p w14:paraId="627AFE08">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项目</w:t>
            </w:r>
          </w:p>
          <w:p w14:paraId="52CF65D7">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分类</w:t>
            </w:r>
          </w:p>
        </w:tc>
        <w:tc>
          <w:tcPr>
            <w:tcW w:w="1950" w:type="dxa"/>
            <w:noWrap w:val="0"/>
            <w:tcMar>
              <w:left w:w="28" w:type="dxa"/>
              <w:right w:w="28" w:type="dxa"/>
            </w:tcMar>
            <w:vAlign w:val="center"/>
          </w:tcPr>
          <w:p w14:paraId="184F7F8A">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污染物名称</w:t>
            </w:r>
          </w:p>
        </w:tc>
        <w:tc>
          <w:tcPr>
            <w:tcW w:w="1547" w:type="dxa"/>
            <w:noWrap w:val="0"/>
            <w:tcMar>
              <w:left w:w="28" w:type="dxa"/>
              <w:right w:w="28" w:type="dxa"/>
            </w:tcMar>
            <w:vAlign w:val="center"/>
          </w:tcPr>
          <w:p w14:paraId="49CBB820">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现有工程</w:t>
            </w:r>
          </w:p>
          <w:p w14:paraId="3142B294">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排放量（固体废物产生量）</w:t>
            </w:r>
            <w:r>
              <w:rPr>
                <w:rFonts w:hint="eastAsia"/>
                <w:color w:val="auto"/>
                <w:sz w:val="21"/>
                <w:szCs w:val="21"/>
                <w:u w:val="none" w:color="auto"/>
              </w:rPr>
              <w:fldChar w:fldCharType="begin"/>
            </w:r>
            <w:r>
              <w:rPr>
                <w:rFonts w:hint="eastAsia"/>
                <w:color w:val="auto"/>
                <w:sz w:val="21"/>
                <w:szCs w:val="21"/>
                <w:u w:val="none" w:color="auto"/>
              </w:rPr>
              <w:instrText xml:space="preserve"> = 1 \* GB3 \* MERGEFORMAT </w:instrText>
            </w:r>
            <w:r>
              <w:rPr>
                <w:rFonts w:hint="eastAsia"/>
                <w:color w:val="auto"/>
                <w:sz w:val="21"/>
                <w:szCs w:val="21"/>
                <w:u w:val="none" w:color="auto"/>
              </w:rPr>
              <w:fldChar w:fldCharType="separate"/>
            </w:r>
            <w:r>
              <w:rPr>
                <w:rFonts w:hint="eastAsia"/>
                <w:color w:val="auto"/>
                <w:sz w:val="21"/>
                <w:szCs w:val="21"/>
                <w:u w:val="none" w:color="auto"/>
              </w:rPr>
              <w:t>①</w:t>
            </w:r>
            <w:r>
              <w:rPr>
                <w:rFonts w:hint="eastAsia"/>
                <w:color w:val="auto"/>
                <w:sz w:val="21"/>
                <w:szCs w:val="21"/>
                <w:u w:val="none" w:color="auto"/>
              </w:rPr>
              <w:fldChar w:fldCharType="end"/>
            </w:r>
          </w:p>
        </w:tc>
        <w:tc>
          <w:tcPr>
            <w:tcW w:w="1276" w:type="dxa"/>
            <w:noWrap w:val="0"/>
            <w:tcMar>
              <w:left w:w="28" w:type="dxa"/>
              <w:right w:w="28" w:type="dxa"/>
            </w:tcMar>
            <w:vAlign w:val="center"/>
          </w:tcPr>
          <w:p w14:paraId="729582D4">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现有工程</w:t>
            </w:r>
          </w:p>
          <w:p w14:paraId="26311C78">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许可排放量</w:t>
            </w:r>
          </w:p>
          <w:p w14:paraId="34B436F0">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fldChar w:fldCharType="begin"/>
            </w:r>
            <w:r>
              <w:rPr>
                <w:rFonts w:hint="eastAsia"/>
                <w:color w:val="auto"/>
                <w:sz w:val="21"/>
                <w:szCs w:val="21"/>
                <w:u w:val="none" w:color="auto"/>
              </w:rPr>
              <w:instrText xml:space="preserve"> = 2 \* GB3 \* MERGEFORMAT </w:instrText>
            </w:r>
            <w:r>
              <w:rPr>
                <w:rFonts w:hint="eastAsia"/>
                <w:color w:val="auto"/>
                <w:sz w:val="21"/>
                <w:szCs w:val="21"/>
                <w:u w:val="none" w:color="auto"/>
              </w:rPr>
              <w:fldChar w:fldCharType="separate"/>
            </w:r>
            <w:r>
              <w:rPr>
                <w:rFonts w:hint="eastAsia"/>
                <w:color w:val="auto"/>
                <w:sz w:val="21"/>
                <w:szCs w:val="21"/>
                <w:u w:val="none" w:color="auto"/>
              </w:rPr>
              <w:t>②</w:t>
            </w:r>
            <w:r>
              <w:rPr>
                <w:rFonts w:hint="eastAsia"/>
                <w:color w:val="auto"/>
                <w:sz w:val="21"/>
                <w:szCs w:val="21"/>
                <w:u w:val="none" w:color="auto"/>
              </w:rPr>
              <w:fldChar w:fldCharType="end"/>
            </w:r>
          </w:p>
        </w:tc>
        <w:tc>
          <w:tcPr>
            <w:tcW w:w="1701" w:type="dxa"/>
            <w:noWrap w:val="0"/>
            <w:tcMar>
              <w:left w:w="28" w:type="dxa"/>
              <w:right w:w="28" w:type="dxa"/>
            </w:tcMar>
            <w:vAlign w:val="center"/>
          </w:tcPr>
          <w:p w14:paraId="1D8931B1">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在建工程</w:t>
            </w:r>
          </w:p>
          <w:p w14:paraId="74285DDA">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排放量（固体废物产生量）</w:t>
            </w:r>
            <w:r>
              <w:rPr>
                <w:rFonts w:hint="eastAsia"/>
                <w:color w:val="auto"/>
                <w:sz w:val="21"/>
                <w:szCs w:val="21"/>
                <w:u w:val="none" w:color="auto"/>
              </w:rPr>
              <w:fldChar w:fldCharType="begin"/>
            </w:r>
            <w:r>
              <w:rPr>
                <w:rFonts w:hint="eastAsia"/>
                <w:color w:val="auto"/>
                <w:sz w:val="21"/>
                <w:szCs w:val="21"/>
                <w:u w:val="none" w:color="auto"/>
              </w:rPr>
              <w:instrText xml:space="preserve"> = 3 \* GB3 \* MERGEFORMAT </w:instrText>
            </w:r>
            <w:r>
              <w:rPr>
                <w:rFonts w:hint="eastAsia"/>
                <w:color w:val="auto"/>
                <w:sz w:val="21"/>
                <w:szCs w:val="21"/>
                <w:u w:val="none" w:color="auto"/>
              </w:rPr>
              <w:fldChar w:fldCharType="separate"/>
            </w:r>
            <w:r>
              <w:rPr>
                <w:rFonts w:hint="eastAsia"/>
                <w:color w:val="auto"/>
                <w:sz w:val="21"/>
                <w:szCs w:val="21"/>
                <w:u w:val="none" w:color="auto"/>
              </w:rPr>
              <w:t>③</w:t>
            </w:r>
            <w:r>
              <w:rPr>
                <w:rFonts w:hint="eastAsia"/>
                <w:color w:val="auto"/>
                <w:sz w:val="21"/>
                <w:szCs w:val="21"/>
                <w:u w:val="none" w:color="auto"/>
              </w:rPr>
              <w:fldChar w:fldCharType="end"/>
            </w:r>
          </w:p>
        </w:tc>
        <w:tc>
          <w:tcPr>
            <w:tcW w:w="1559" w:type="dxa"/>
            <w:noWrap w:val="0"/>
            <w:tcMar>
              <w:left w:w="28" w:type="dxa"/>
              <w:right w:w="28" w:type="dxa"/>
            </w:tcMar>
            <w:vAlign w:val="center"/>
          </w:tcPr>
          <w:p w14:paraId="51A0FD7E">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本项目</w:t>
            </w:r>
          </w:p>
          <w:p w14:paraId="0BF2B21B">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排放量（固体废物产生量）</w:t>
            </w:r>
            <w:r>
              <w:rPr>
                <w:rFonts w:hint="eastAsia"/>
                <w:color w:val="auto"/>
                <w:sz w:val="21"/>
                <w:szCs w:val="21"/>
                <w:u w:val="none" w:color="auto"/>
              </w:rPr>
              <w:fldChar w:fldCharType="begin"/>
            </w:r>
            <w:r>
              <w:rPr>
                <w:rFonts w:hint="eastAsia"/>
                <w:color w:val="auto"/>
                <w:sz w:val="21"/>
                <w:szCs w:val="21"/>
                <w:u w:val="none" w:color="auto"/>
              </w:rPr>
              <w:instrText xml:space="preserve"> = 4 \* GB3 \* MERGEFORMAT </w:instrText>
            </w:r>
            <w:r>
              <w:rPr>
                <w:rFonts w:hint="eastAsia"/>
                <w:color w:val="auto"/>
                <w:sz w:val="21"/>
                <w:szCs w:val="21"/>
                <w:u w:val="none" w:color="auto"/>
              </w:rPr>
              <w:fldChar w:fldCharType="separate"/>
            </w:r>
            <w:r>
              <w:rPr>
                <w:rFonts w:hint="eastAsia"/>
                <w:color w:val="auto"/>
                <w:sz w:val="21"/>
                <w:szCs w:val="21"/>
                <w:u w:val="none" w:color="auto"/>
              </w:rPr>
              <w:t>④</w:t>
            </w:r>
            <w:r>
              <w:rPr>
                <w:rFonts w:hint="eastAsia"/>
                <w:color w:val="auto"/>
                <w:sz w:val="21"/>
                <w:szCs w:val="21"/>
                <w:u w:val="none" w:color="auto"/>
              </w:rPr>
              <w:fldChar w:fldCharType="end"/>
            </w:r>
          </w:p>
        </w:tc>
        <w:tc>
          <w:tcPr>
            <w:tcW w:w="1761" w:type="dxa"/>
            <w:noWrap w:val="0"/>
            <w:tcMar>
              <w:left w:w="28" w:type="dxa"/>
              <w:right w:w="28" w:type="dxa"/>
            </w:tcMar>
            <w:vAlign w:val="center"/>
          </w:tcPr>
          <w:p w14:paraId="491C65BD">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以新带老削减量</w:t>
            </w:r>
          </w:p>
          <w:p w14:paraId="44C7FA98">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（新建项目不填）</w:t>
            </w:r>
            <w:r>
              <w:rPr>
                <w:rFonts w:hint="eastAsia"/>
                <w:color w:val="auto"/>
                <w:sz w:val="21"/>
                <w:szCs w:val="21"/>
                <w:u w:val="none" w:color="auto"/>
              </w:rPr>
              <w:fldChar w:fldCharType="begin"/>
            </w:r>
            <w:r>
              <w:rPr>
                <w:rFonts w:hint="eastAsia"/>
                <w:color w:val="auto"/>
                <w:sz w:val="21"/>
                <w:szCs w:val="21"/>
                <w:u w:val="none" w:color="auto"/>
              </w:rPr>
              <w:instrText xml:space="preserve"> = 5 \* GB3 \* MERGEFORMAT </w:instrText>
            </w:r>
            <w:r>
              <w:rPr>
                <w:rFonts w:hint="eastAsia"/>
                <w:color w:val="auto"/>
                <w:sz w:val="21"/>
                <w:szCs w:val="21"/>
                <w:u w:val="none" w:color="auto"/>
              </w:rPr>
              <w:fldChar w:fldCharType="separate"/>
            </w:r>
            <w:r>
              <w:rPr>
                <w:rFonts w:hint="eastAsia"/>
                <w:color w:val="auto"/>
                <w:sz w:val="21"/>
                <w:szCs w:val="21"/>
                <w:u w:val="none" w:color="auto"/>
              </w:rPr>
              <w:t>⑤</w:t>
            </w:r>
            <w:r>
              <w:rPr>
                <w:rFonts w:hint="eastAsia"/>
                <w:color w:val="auto"/>
                <w:sz w:val="21"/>
                <w:szCs w:val="21"/>
                <w:u w:val="none" w:color="auto"/>
              </w:rPr>
              <w:fldChar w:fldCharType="end"/>
            </w:r>
          </w:p>
        </w:tc>
        <w:tc>
          <w:tcPr>
            <w:tcW w:w="1642" w:type="dxa"/>
            <w:noWrap w:val="0"/>
            <w:tcMar>
              <w:left w:w="28" w:type="dxa"/>
              <w:right w:w="28" w:type="dxa"/>
            </w:tcMar>
            <w:vAlign w:val="center"/>
          </w:tcPr>
          <w:p w14:paraId="140C46C6">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本项目建成后</w:t>
            </w:r>
          </w:p>
          <w:p w14:paraId="02B285E6">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全厂排放量（固体废物产生量）</w:t>
            </w:r>
            <w:r>
              <w:rPr>
                <w:rFonts w:hint="eastAsia"/>
                <w:color w:val="auto"/>
                <w:sz w:val="21"/>
                <w:szCs w:val="21"/>
                <w:u w:val="none" w:color="auto"/>
              </w:rPr>
              <w:fldChar w:fldCharType="begin"/>
            </w:r>
            <w:r>
              <w:rPr>
                <w:rFonts w:hint="eastAsia"/>
                <w:color w:val="auto"/>
                <w:sz w:val="21"/>
                <w:szCs w:val="21"/>
                <w:u w:val="none" w:color="auto"/>
              </w:rPr>
              <w:instrText xml:space="preserve"> = 6 \* GB3 \* MERGEFORMAT </w:instrText>
            </w:r>
            <w:r>
              <w:rPr>
                <w:rFonts w:hint="eastAsia"/>
                <w:color w:val="auto"/>
                <w:sz w:val="21"/>
                <w:szCs w:val="21"/>
                <w:u w:val="none" w:color="auto"/>
              </w:rPr>
              <w:fldChar w:fldCharType="separate"/>
            </w:r>
            <w:r>
              <w:rPr>
                <w:rFonts w:hint="eastAsia"/>
                <w:color w:val="auto"/>
                <w:sz w:val="21"/>
                <w:szCs w:val="21"/>
                <w:u w:val="none" w:color="auto"/>
              </w:rPr>
              <w:t>⑥</w:t>
            </w:r>
            <w:r>
              <w:rPr>
                <w:rFonts w:hint="eastAsia"/>
                <w:color w:val="auto"/>
                <w:sz w:val="21"/>
                <w:szCs w:val="21"/>
                <w:u w:val="none" w:color="auto"/>
              </w:rPr>
              <w:fldChar w:fldCharType="end"/>
            </w:r>
          </w:p>
        </w:tc>
        <w:tc>
          <w:tcPr>
            <w:tcW w:w="1143" w:type="dxa"/>
            <w:noWrap w:val="0"/>
            <w:tcMar>
              <w:left w:w="28" w:type="dxa"/>
              <w:right w:w="28" w:type="dxa"/>
            </w:tcMar>
            <w:vAlign w:val="center"/>
          </w:tcPr>
          <w:p w14:paraId="0690836B">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变化量</w:t>
            </w:r>
          </w:p>
          <w:p w14:paraId="2F871062">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fldChar w:fldCharType="begin"/>
            </w:r>
            <w:r>
              <w:rPr>
                <w:rFonts w:hint="eastAsia"/>
                <w:color w:val="auto"/>
                <w:sz w:val="21"/>
                <w:szCs w:val="21"/>
                <w:u w:val="none" w:color="auto"/>
              </w:rPr>
              <w:instrText xml:space="preserve"> = 7 \* GB3 \* MERGEFORMAT </w:instrText>
            </w:r>
            <w:r>
              <w:rPr>
                <w:rFonts w:hint="eastAsia"/>
                <w:color w:val="auto"/>
                <w:sz w:val="21"/>
                <w:szCs w:val="21"/>
                <w:u w:val="none" w:color="auto"/>
              </w:rPr>
              <w:fldChar w:fldCharType="separate"/>
            </w:r>
            <w:r>
              <w:rPr>
                <w:rFonts w:hint="eastAsia"/>
                <w:color w:val="auto"/>
                <w:sz w:val="21"/>
                <w:szCs w:val="21"/>
                <w:u w:val="none" w:color="auto"/>
              </w:rPr>
              <w:t>⑦</w:t>
            </w:r>
            <w:r>
              <w:rPr>
                <w:rFonts w:hint="eastAsia"/>
                <w:color w:val="auto"/>
                <w:sz w:val="21"/>
                <w:szCs w:val="21"/>
                <w:u w:val="none" w:color="auto"/>
              </w:rPr>
              <w:fldChar w:fldCharType="end"/>
            </w:r>
          </w:p>
        </w:tc>
      </w:tr>
      <w:tr w14:paraId="04B167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09" w:type="dxa"/>
            <w:vMerge w:val="restart"/>
            <w:noWrap w:val="0"/>
            <w:vAlign w:val="center"/>
          </w:tcPr>
          <w:p w14:paraId="2B84A2D5">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废气</w:t>
            </w:r>
          </w:p>
        </w:tc>
        <w:tc>
          <w:tcPr>
            <w:tcW w:w="1950" w:type="dxa"/>
            <w:noWrap w:val="0"/>
            <w:vAlign w:val="center"/>
          </w:tcPr>
          <w:p w14:paraId="635E4DFA">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颗粒物</w:t>
            </w:r>
          </w:p>
        </w:tc>
        <w:tc>
          <w:tcPr>
            <w:tcW w:w="1547" w:type="dxa"/>
            <w:noWrap w:val="0"/>
            <w:vAlign w:val="center"/>
          </w:tcPr>
          <w:p w14:paraId="05B9A57A">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c>
          <w:tcPr>
            <w:tcW w:w="1276" w:type="dxa"/>
            <w:noWrap w:val="0"/>
            <w:vAlign w:val="center"/>
          </w:tcPr>
          <w:p w14:paraId="140E9E52">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c>
          <w:tcPr>
            <w:tcW w:w="1701" w:type="dxa"/>
            <w:noWrap w:val="0"/>
            <w:vAlign w:val="center"/>
          </w:tcPr>
          <w:p w14:paraId="4AEFE043">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c>
          <w:tcPr>
            <w:tcW w:w="1559" w:type="dxa"/>
            <w:noWrap w:val="0"/>
            <w:vAlign w:val="center"/>
          </w:tcPr>
          <w:p w14:paraId="45CC7886">
            <w:pPr>
              <w:spacing w:line="320" w:lineRule="exact"/>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0.162t/a</w:t>
            </w:r>
          </w:p>
        </w:tc>
        <w:tc>
          <w:tcPr>
            <w:tcW w:w="1761" w:type="dxa"/>
            <w:noWrap w:val="0"/>
            <w:vAlign w:val="center"/>
          </w:tcPr>
          <w:p w14:paraId="04BC9C1A">
            <w:pPr>
              <w:spacing w:line="320" w:lineRule="exact"/>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c>
          <w:tcPr>
            <w:tcW w:w="1642" w:type="dxa"/>
            <w:noWrap w:val="0"/>
            <w:vAlign w:val="center"/>
          </w:tcPr>
          <w:p w14:paraId="536204E0">
            <w:pPr>
              <w:spacing w:line="320" w:lineRule="exact"/>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0.162t/a</w:t>
            </w:r>
          </w:p>
        </w:tc>
        <w:tc>
          <w:tcPr>
            <w:tcW w:w="1143" w:type="dxa"/>
            <w:noWrap w:val="0"/>
            <w:vAlign w:val="center"/>
          </w:tcPr>
          <w:p w14:paraId="33AE7DCD">
            <w:pPr>
              <w:spacing w:line="320" w:lineRule="exact"/>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r>
      <w:tr w14:paraId="13FD7C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09" w:type="dxa"/>
            <w:vMerge w:val="continue"/>
            <w:noWrap w:val="0"/>
            <w:vAlign w:val="center"/>
          </w:tcPr>
          <w:p w14:paraId="435BB0F7">
            <w:pPr>
              <w:spacing w:line="320" w:lineRule="exact"/>
              <w:ind w:firstLine="0" w:firstLineChars="0"/>
              <w:jc w:val="center"/>
              <w:rPr>
                <w:rFonts w:hint="eastAsia"/>
                <w:color w:val="auto"/>
                <w:sz w:val="21"/>
                <w:szCs w:val="21"/>
                <w:u w:val="none" w:color="auto"/>
              </w:rPr>
            </w:pPr>
          </w:p>
        </w:tc>
        <w:tc>
          <w:tcPr>
            <w:tcW w:w="1950" w:type="dxa"/>
            <w:noWrap w:val="0"/>
            <w:vAlign w:val="center"/>
          </w:tcPr>
          <w:p w14:paraId="3F43A8CA">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非甲烷总烃</w:t>
            </w:r>
          </w:p>
        </w:tc>
        <w:tc>
          <w:tcPr>
            <w:tcW w:w="1547" w:type="dxa"/>
            <w:noWrap w:val="0"/>
            <w:vAlign w:val="center"/>
          </w:tcPr>
          <w:p w14:paraId="1E58D116">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c>
          <w:tcPr>
            <w:tcW w:w="1276" w:type="dxa"/>
            <w:noWrap w:val="0"/>
            <w:vAlign w:val="center"/>
          </w:tcPr>
          <w:p w14:paraId="4D61AC09">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c>
          <w:tcPr>
            <w:tcW w:w="1701" w:type="dxa"/>
            <w:noWrap w:val="0"/>
            <w:vAlign w:val="center"/>
          </w:tcPr>
          <w:p w14:paraId="4D0DE60F">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c>
          <w:tcPr>
            <w:tcW w:w="1559" w:type="dxa"/>
            <w:noWrap w:val="0"/>
            <w:vAlign w:val="center"/>
          </w:tcPr>
          <w:p w14:paraId="682E3981">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lang w:val="en-US" w:eastAsia="zh-CN"/>
              </w:rPr>
              <w:t>1.33</w:t>
            </w:r>
            <w:r>
              <w:rPr>
                <w:rFonts w:hint="eastAsia"/>
                <w:color w:val="auto"/>
                <w:sz w:val="21"/>
                <w:szCs w:val="21"/>
                <w:u w:val="none" w:color="auto"/>
              </w:rPr>
              <w:t>t/a</w:t>
            </w:r>
          </w:p>
        </w:tc>
        <w:tc>
          <w:tcPr>
            <w:tcW w:w="1761" w:type="dxa"/>
            <w:noWrap w:val="0"/>
            <w:vAlign w:val="center"/>
          </w:tcPr>
          <w:p w14:paraId="24055A86">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c>
          <w:tcPr>
            <w:tcW w:w="1642" w:type="dxa"/>
            <w:noWrap w:val="0"/>
            <w:vAlign w:val="center"/>
          </w:tcPr>
          <w:p w14:paraId="207FC696">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lang w:val="en-US" w:eastAsia="zh-CN"/>
              </w:rPr>
              <w:t>1.33</w:t>
            </w:r>
            <w:r>
              <w:rPr>
                <w:rFonts w:hint="eastAsia"/>
                <w:color w:val="auto"/>
                <w:sz w:val="21"/>
                <w:szCs w:val="21"/>
                <w:u w:val="none" w:color="auto"/>
              </w:rPr>
              <w:t>t/a</w:t>
            </w:r>
          </w:p>
        </w:tc>
        <w:tc>
          <w:tcPr>
            <w:tcW w:w="1143" w:type="dxa"/>
            <w:noWrap w:val="0"/>
            <w:vAlign w:val="center"/>
          </w:tcPr>
          <w:p w14:paraId="711B8644">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r>
      <w:tr w14:paraId="724D6A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09" w:type="dxa"/>
            <w:vMerge w:val="restart"/>
            <w:noWrap w:val="0"/>
            <w:vAlign w:val="center"/>
          </w:tcPr>
          <w:p w14:paraId="0CA7BA23">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废水</w:t>
            </w:r>
          </w:p>
        </w:tc>
        <w:tc>
          <w:tcPr>
            <w:tcW w:w="1950" w:type="dxa"/>
            <w:noWrap w:val="0"/>
            <w:vAlign w:val="center"/>
          </w:tcPr>
          <w:p w14:paraId="185E60D2">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CODcr</w:t>
            </w:r>
          </w:p>
        </w:tc>
        <w:tc>
          <w:tcPr>
            <w:tcW w:w="1547" w:type="dxa"/>
            <w:noWrap w:val="0"/>
            <w:vAlign w:val="center"/>
          </w:tcPr>
          <w:p w14:paraId="2A40B23E">
            <w:pPr>
              <w:spacing w:line="320" w:lineRule="exact"/>
              <w:ind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w:t>
            </w:r>
          </w:p>
        </w:tc>
        <w:tc>
          <w:tcPr>
            <w:tcW w:w="1276" w:type="dxa"/>
            <w:noWrap w:val="0"/>
            <w:vAlign w:val="center"/>
          </w:tcPr>
          <w:p w14:paraId="6067C7E9">
            <w:pPr>
              <w:spacing w:line="320" w:lineRule="exact"/>
              <w:ind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w:t>
            </w:r>
          </w:p>
        </w:tc>
        <w:tc>
          <w:tcPr>
            <w:tcW w:w="1701" w:type="dxa"/>
            <w:noWrap w:val="0"/>
            <w:vAlign w:val="center"/>
          </w:tcPr>
          <w:p w14:paraId="2DC195DD">
            <w:pPr>
              <w:spacing w:line="320" w:lineRule="exact"/>
              <w:ind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w:t>
            </w:r>
          </w:p>
        </w:tc>
        <w:tc>
          <w:tcPr>
            <w:tcW w:w="1559" w:type="dxa"/>
            <w:noWrap w:val="0"/>
            <w:vAlign w:val="center"/>
          </w:tcPr>
          <w:p w14:paraId="046C0CBD">
            <w:pPr>
              <w:spacing w:line="240" w:lineRule="auto"/>
              <w:ind w:firstLine="0" w:firstLineChars="0"/>
              <w:jc w:val="center"/>
              <w:rPr>
                <w:rFonts w:hint="eastAsia" w:ascii="Times New Roman" w:hAnsi="Times New Roman" w:eastAsia="宋体" w:cs="Times New Roman"/>
                <w:color w:val="auto"/>
                <w:sz w:val="21"/>
                <w:szCs w:val="21"/>
                <w:u w:val="none" w:color="auto"/>
              </w:rPr>
            </w:pPr>
            <w:r>
              <w:rPr>
                <w:rFonts w:hint="eastAsia" w:cs="Times New Roman"/>
                <w:color w:val="auto"/>
                <w:kern w:val="0"/>
                <w:sz w:val="21"/>
                <w:szCs w:val="21"/>
                <w:u w:val="none" w:color="auto"/>
                <w:lang w:val="en-US" w:eastAsia="zh-CN"/>
              </w:rPr>
              <w:t>0.0146</w:t>
            </w:r>
            <w:r>
              <w:rPr>
                <w:rFonts w:hint="eastAsia" w:ascii="Times New Roman" w:hAnsi="Times New Roman" w:eastAsia="宋体" w:cs="Times New Roman"/>
                <w:color w:val="auto"/>
                <w:sz w:val="21"/>
                <w:szCs w:val="21"/>
                <w:u w:val="none" w:color="auto"/>
              </w:rPr>
              <w:t>t/a</w:t>
            </w:r>
          </w:p>
        </w:tc>
        <w:tc>
          <w:tcPr>
            <w:tcW w:w="1761" w:type="dxa"/>
            <w:noWrap w:val="0"/>
            <w:vAlign w:val="center"/>
          </w:tcPr>
          <w:p w14:paraId="1281E322">
            <w:pPr>
              <w:spacing w:line="320" w:lineRule="exact"/>
              <w:ind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w:t>
            </w:r>
          </w:p>
        </w:tc>
        <w:tc>
          <w:tcPr>
            <w:tcW w:w="1642" w:type="dxa"/>
            <w:noWrap w:val="0"/>
            <w:vAlign w:val="center"/>
          </w:tcPr>
          <w:p w14:paraId="76F13EEC">
            <w:pPr>
              <w:spacing w:line="240" w:lineRule="auto"/>
              <w:ind w:firstLine="0" w:firstLineChars="0"/>
              <w:jc w:val="center"/>
              <w:rPr>
                <w:rFonts w:hint="eastAsia"/>
                <w:color w:val="auto"/>
                <w:sz w:val="21"/>
                <w:szCs w:val="21"/>
                <w:u w:val="none" w:color="auto"/>
              </w:rPr>
            </w:pPr>
            <w:r>
              <w:rPr>
                <w:rFonts w:hint="eastAsia" w:cs="Times New Roman"/>
                <w:color w:val="auto"/>
                <w:kern w:val="0"/>
                <w:sz w:val="21"/>
                <w:szCs w:val="21"/>
                <w:u w:val="none" w:color="auto"/>
                <w:lang w:val="en-US" w:eastAsia="zh-CN"/>
              </w:rPr>
              <w:t>0.0146</w:t>
            </w:r>
            <w:r>
              <w:rPr>
                <w:rFonts w:hint="eastAsia" w:ascii="Times New Roman" w:hAnsi="Times New Roman" w:eastAsia="宋体" w:cs="Times New Roman"/>
                <w:color w:val="auto"/>
                <w:sz w:val="21"/>
                <w:szCs w:val="21"/>
                <w:u w:val="none" w:color="auto"/>
              </w:rPr>
              <w:t>t/a</w:t>
            </w:r>
          </w:p>
        </w:tc>
        <w:tc>
          <w:tcPr>
            <w:tcW w:w="1143" w:type="dxa"/>
            <w:noWrap w:val="0"/>
            <w:vAlign w:val="center"/>
          </w:tcPr>
          <w:p w14:paraId="6EE63604">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r>
      <w:tr w14:paraId="739850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09" w:type="dxa"/>
            <w:vMerge w:val="continue"/>
            <w:noWrap w:val="0"/>
            <w:vAlign w:val="center"/>
          </w:tcPr>
          <w:p w14:paraId="6FF28884">
            <w:pPr>
              <w:spacing w:line="320" w:lineRule="exact"/>
              <w:ind w:firstLine="0" w:firstLineChars="0"/>
              <w:jc w:val="center"/>
              <w:rPr>
                <w:rFonts w:hint="eastAsia"/>
                <w:color w:val="auto"/>
                <w:sz w:val="21"/>
                <w:szCs w:val="21"/>
                <w:u w:val="none" w:color="auto"/>
              </w:rPr>
            </w:pPr>
          </w:p>
        </w:tc>
        <w:tc>
          <w:tcPr>
            <w:tcW w:w="1950" w:type="dxa"/>
            <w:noWrap w:val="0"/>
            <w:vAlign w:val="center"/>
          </w:tcPr>
          <w:p w14:paraId="77B4A38B">
            <w:pPr>
              <w:spacing w:line="320" w:lineRule="exact"/>
              <w:ind w:firstLine="0" w:firstLineChars="0"/>
              <w:jc w:val="center"/>
              <w:rPr>
                <w:color w:val="auto"/>
                <w:sz w:val="21"/>
                <w:szCs w:val="21"/>
                <w:u w:val="none" w:color="auto"/>
              </w:rPr>
            </w:pPr>
            <w:r>
              <w:rPr>
                <w:rFonts w:hint="eastAsia"/>
                <w:color w:val="auto"/>
                <w:sz w:val="21"/>
                <w:szCs w:val="21"/>
                <w:u w:val="none" w:color="auto"/>
              </w:rPr>
              <w:t>NH</w:t>
            </w:r>
            <w:r>
              <w:rPr>
                <w:rFonts w:hint="eastAsia"/>
                <w:color w:val="auto"/>
                <w:sz w:val="21"/>
                <w:szCs w:val="21"/>
                <w:u w:val="none" w:color="auto"/>
                <w:vertAlign w:val="subscript"/>
              </w:rPr>
              <w:t>3</w:t>
            </w:r>
            <w:r>
              <w:rPr>
                <w:rFonts w:hint="eastAsia"/>
                <w:color w:val="auto"/>
                <w:sz w:val="21"/>
                <w:szCs w:val="21"/>
                <w:u w:val="none" w:color="auto"/>
              </w:rPr>
              <w:t>-N</w:t>
            </w:r>
          </w:p>
        </w:tc>
        <w:tc>
          <w:tcPr>
            <w:tcW w:w="1547" w:type="dxa"/>
            <w:noWrap w:val="0"/>
            <w:vAlign w:val="center"/>
          </w:tcPr>
          <w:p w14:paraId="2895C09C">
            <w:pPr>
              <w:spacing w:line="320" w:lineRule="exact"/>
              <w:ind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w:t>
            </w:r>
          </w:p>
        </w:tc>
        <w:tc>
          <w:tcPr>
            <w:tcW w:w="1276" w:type="dxa"/>
            <w:noWrap w:val="0"/>
            <w:vAlign w:val="center"/>
          </w:tcPr>
          <w:p w14:paraId="22E707B1">
            <w:pPr>
              <w:spacing w:line="320" w:lineRule="exact"/>
              <w:ind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w:t>
            </w:r>
          </w:p>
        </w:tc>
        <w:tc>
          <w:tcPr>
            <w:tcW w:w="1701" w:type="dxa"/>
            <w:noWrap w:val="0"/>
            <w:vAlign w:val="center"/>
          </w:tcPr>
          <w:p w14:paraId="0B7C5542">
            <w:pPr>
              <w:spacing w:line="320" w:lineRule="exact"/>
              <w:ind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w:t>
            </w:r>
          </w:p>
        </w:tc>
        <w:tc>
          <w:tcPr>
            <w:tcW w:w="1559" w:type="dxa"/>
            <w:noWrap w:val="0"/>
            <w:vAlign w:val="center"/>
          </w:tcPr>
          <w:p w14:paraId="4D7A692C">
            <w:pPr>
              <w:spacing w:line="240" w:lineRule="auto"/>
              <w:ind w:firstLine="0" w:firstLineChars="0"/>
              <w:jc w:val="center"/>
              <w:rPr>
                <w:rFonts w:hint="eastAsia" w:ascii="Times New Roman" w:hAnsi="Times New Roman" w:eastAsia="宋体" w:cs="Times New Roman"/>
                <w:color w:val="auto"/>
                <w:sz w:val="21"/>
                <w:szCs w:val="21"/>
                <w:u w:val="none" w:color="auto"/>
              </w:rPr>
            </w:pPr>
            <w:r>
              <w:rPr>
                <w:rFonts w:hint="eastAsia" w:cs="Times New Roman"/>
                <w:color w:val="auto"/>
                <w:kern w:val="0"/>
                <w:sz w:val="21"/>
                <w:szCs w:val="21"/>
                <w:u w:val="none" w:color="auto"/>
                <w:lang w:val="en-US" w:eastAsia="zh-CN"/>
              </w:rPr>
              <w:t>0.0009</w:t>
            </w:r>
            <w:r>
              <w:rPr>
                <w:rFonts w:hint="eastAsia" w:ascii="Times New Roman" w:hAnsi="Times New Roman" w:eastAsia="宋体" w:cs="Times New Roman"/>
                <w:color w:val="auto"/>
                <w:sz w:val="21"/>
                <w:szCs w:val="21"/>
                <w:u w:val="none" w:color="auto"/>
              </w:rPr>
              <w:t>t/a</w:t>
            </w:r>
          </w:p>
        </w:tc>
        <w:tc>
          <w:tcPr>
            <w:tcW w:w="1761" w:type="dxa"/>
            <w:noWrap w:val="0"/>
            <w:vAlign w:val="center"/>
          </w:tcPr>
          <w:p w14:paraId="4FA181C2">
            <w:pPr>
              <w:spacing w:line="320" w:lineRule="exact"/>
              <w:ind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w:t>
            </w:r>
          </w:p>
        </w:tc>
        <w:tc>
          <w:tcPr>
            <w:tcW w:w="1642" w:type="dxa"/>
            <w:noWrap w:val="0"/>
            <w:vAlign w:val="center"/>
          </w:tcPr>
          <w:p w14:paraId="27989C22">
            <w:pPr>
              <w:spacing w:line="240" w:lineRule="auto"/>
              <w:ind w:firstLine="0" w:firstLineChars="0"/>
              <w:jc w:val="center"/>
              <w:rPr>
                <w:rFonts w:hint="eastAsia"/>
                <w:color w:val="auto"/>
                <w:sz w:val="21"/>
                <w:szCs w:val="21"/>
                <w:u w:val="none" w:color="auto"/>
              </w:rPr>
            </w:pPr>
            <w:r>
              <w:rPr>
                <w:rFonts w:hint="eastAsia" w:cs="Times New Roman"/>
                <w:color w:val="auto"/>
                <w:kern w:val="0"/>
                <w:sz w:val="21"/>
                <w:szCs w:val="21"/>
                <w:u w:val="none" w:color="auto"/>
                <w:lang w:val="en-US" w:eastAsia="zh-CN"/>
              </w:rPr>
              <w:t>0.0009</w:t>
            </w:r>
            <w:r>
              <w:rPr>
                <w:rFonts w:hint="eastAsia" w:ascii="Times New Roman" w:hAnsi="Times New Roman" w:eastAsia="宋体" w:cs="Times New Roman"/>
                <w:color w:val="auto"/>
                <w:sz w:val="21"/>
                <w:szCs w:val="21"/>
                <w:u w:val="none" w:color="auto"/>
              </w:rPr>
              <w:t>t/a</w:t>
            </w:r>
          </w:p>
        </w:tc>
        <w:tc>
          <w:tcPr>
            <w:tcW w:w="1143" w:type="dxa"/>
            <w:noWrap w:val="0"/>
            <w:vAlign w:val="center"/>
          </w:tcPr>
          <w:p w14:paraId="7694FB7A">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r>
      <w:tr w14:paraId="3AB739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09" w:type="dxa"/>
            <w:vMerge w:val="continue"/>
            <w:noWrap w:val="0"/>
            <w:vAlign w:val="center"/>
          </w:tcPr>
          <w:p w14:paraId="4139B475">
            <w:pPr>
              <w:spacing w:line="320" w:lineRule="exact"/>
              <w:ind w:firstLine="0" w:firstLineChars="0"/>
              <w:jc w:val="center"/>
              <w:rPr>
                <w:rFonts w:hint="eastAsia"/>
                <w:color w:val="auto"/>
                <w:sz w:val="21"/>
                <w:szCs w:val="21"/>
                <w:u w:val="none" w:color="auto"/>
              </w:rPr>
            </w:pPr>
          </w:p>
        </w:tc>
        <w:tc>
          <w:tcPr>
            <w:tcW w:w="1950" w:type="dxa"/>
            <w:noWrap w:val="0"/>
            <w:vAlign w:val="center"/>
          </w:tcPr>
          <w:p w14:paraId="7716E83B">
            <w:pPr>
              <w:pStyle w:val="46"/>
              <w:ind w:firstLine="0" w:firstLineChars="0"/>
              <w:rPr>
                <w:rFonts w:hint="eastAsia" w:ascii="Times New Roman" w:hAnsi="Times New Roman" w:eastAsia="宋体" w:cs="Times New Roman"/>
                <w:color w:val="auto"/>
                <w:u w:val="none" w:color="auto"/>
                <w:lang w:eastAsia="zh-CN"/>
              </w:rPr>
            </w:pPr>
            <w:r>
              <w:rPr>
                <w:rFonts w:hint="eastAsia" w:ascii="Times New Roman" w:hAnsi="Times New Roman" w:eastAsia="宋体" w:cs="Times New Roman"/>
                <w:color w:val="auto"/>
                <w:u w:val="none" w:color="auto"/>
                <w:lang w:val="en-US" w:eastAsia="zh-CN"/>
              </w:rPr>
              <w:t>SS</w:t>
            </w:r>
          </w:p>
        </w:tc>
        <w:tc>
          <w:tcPr>
            <w:tcW w:w="1547" w:type="dxa"/>
            <w:noWrap w:val="0"/>
            <w:vAlign w:val="center"/>
          </w:tcPr>
          <w:p w14:paraId="72080DF3">
            <w:pPr>
              <w:pStyle w:val="46"/>
              <w:ind w:firstLine="0" w:firstLineChars="0"/>
              <w:rPr>
                <w:rFonts w:hint="eastAsia" w:ascii="Times New Roman" w:hAnsi="Times New Roman" w:eastAsia="宋体" w:cs="Times New Roman"/>
                <w:color w:val="auto"/>
                <w:u w:val="none" w:color="auto"/>
              </w:rPr>
            </w:pPr>
            <w:r>
              <w:rPr>
                <w:rFonts w:hint="eastAsia" w:ascii="Times New Roman" w:hAnsi="Times New Roman" w:eastAsia="宋体" w:cs="Times New Roman"/>
                <w:color w:val="auto"/>
                <w:u w:val="none" w:color="auto"/>
              </w:rPr>
              <w:t>/</w:t>
            </w:r>
          </w:p>
        </w:tc>
        <w:tc>
          <w:tcPr>
            <w:tcW w:w="1276" w:type="dxa"/>
            <w:noWrap w:val="0"/>
            <w:vAlign w:val="center"/>
          </w:tcPr>
          <w:p w14:paraId="0138E8AA">
            <w:pPr>
              <w:spacing w:line="320" w:lineRule="exact"/>
              <w:ind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w:t>
            </w:r>
          </w:p>
        </w:tc>
        <w:tc>
          <w:tcPr>
            <w:tcW w:w="1701" w:type="dxa"/>
            <w:noWrap w:val="0"/>
            <w:vAlign w:val="center"/>
          </w:tcPr>
          <w:p w14:paraId="212ECE1F">
            <w:pPr>
              <w:spacing w:line="320" w:lineRule="exact"/>
              <w:ind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w:t>
            </w:r>
          </w:p>
        </w:tc>
        <w:tc>
          <w:tcPr>
            <w:tcW w:w="1559" w:type="dxa"/>
            <w:noWrap w:val="0"/>
            <w:vAlign w:val="center"/>
          </w:tcPr>
          <w:p w14:paraId="507215B1">
            <w:pPr>
              <w:spacing w:line="240" w:lineRule="auto"/>
              <w:ind w:firstLine="0" w:firstLineChars="0"/>
              <w:jc w:val="center"/>
              <w:rPr>
                <w:rFonts w:hint="eastAsia" w:ascii="Times New Roman" w:hAnsi="Times New Roman" w:eastAsia="宋体" w:cs="Times New Roman"/>
                <w:color w:val="auto"/>
                <w:sz w:val="21"/>
                <w:szCs w:val="21"/>
                <w:u w:val="none" w:color="auto"/>
              </w:rPr>
            </w:pPr>
            <w:r>
              <w:rPr>
                <w:rFonts w:hint="eastAsia" w:cs="Times New Roman"/>
                <w:color w:val="auto"/>
                <w:kern w:val="0"/>
                <w:sz w:val="21"/>
                <w:szCs w:val="21"/>
                <w:u w:val="none" w:color="auto"/>
                <w:lang w:val="en-US" w:eastAsia="zh-CN"/>
              </w:rPr>
              <w:t>0.0126</w:t>
            </w:r>
            <w:r>
              <w:rPr>
                <w:rFonts w:hint="eastAsia" w:ascii="Times New Roman" w:hAnsi="Times New Roman" w:eastAsia="宋体" w:cs="Times New Roman"/>
                <w:color w:val="auto"/>
                <w:sz w:val="21"/>
                <w:szCs w:val="21"/>
                <w:u w:val="none" w:color="auto"/>
              </w:rPr>
              <w:t>t/a</w:t>
            </w:r>
          </w:p>
        </w:tc>
        <w:tc>
          <w:tcPr>
            <w:tcW w:w="1761" w:type="dxa"/>
            <w:noWrap w:val="0"/>
            <w:vAlign w:val="center"/>
          </w:tcPr>
          <w:p w14:paraId="6C2E3526">
            <w:pPr>
              <w:spacing w:line="320" w:lineRule="exact"/>
              <w:ind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w:t>
            </w:r>
          </w:p>
        </w:tc>
        <w:tc>
          <w:tcPr>
            <w:tcW w:w="1642" w:type="dxa"/>
            <w:noWrap w:val="0"/>
            <w:vAlign w:val="center"/>
          </w:tcPr>
          <w:p w14:paraId="1CCE2E7A">
            <w:pPr>
              <w:spacing w:line="240" w:lineRule="auto"/>
              <w:ind w:firstLine="0" w:firstLineChars="0"/>
              <w:jc w:val="center"/>
              <w:rPr>
                <w:rFonts w:hint="eastAsia"/>
                <w:color w:val="auto"/>
                <w:sz w:val="21"/>
                <w:szCs w:val="21"/>
                <w:u w:val="none" w:color="auto"/>
              </w:rPr>
            </w:pPr>
            <w:r>
              <w:rPr>
                <w:rFonts w:hint="eastAsia" w:cs="Times New Roman"/>
                <w:color w:val="auto"/>
                <w:kern w:val="0"/>
                <w:sz w:val="21"/>
                <w:szCs w:val="21"/>
                <w:u w:val="none" w:color="auto"/>
                <w:lang w:val="en-US" w:eastAsia="zh-CN"/>
              </w:rPr>
              <w:t>0.0126</w:t>
            </w:r>
            <w:r>
              <w:rPr>
                <w:rFonts w:hint="eastAsia" w:ascii="Times New Roman" w:hAnsi="Times New Roman" w:eastAsia="宋体" w:cs="Times New Roman"/>
                <w:color w:val="auto"/>
                <w:sz w:val="21"/>
                <w:szCs w:val="21"/>
                <w:u w:val="none" w:color="auto"/>
              </w:rPr>
              <w:t>t/a</w:t>
            </w:r>
          </w:p>
        </w:tc>
        <w:tc>
          <w:tcPr>
            <w:tcW w:w="1143" w:type="dxa"/>
            <w:noWrap w:val="0"/>
            <w:vAlign w:val="center"/>
          </w:tcPr>
          <w:p w14:paraId="7A87233A">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r>
      <w:tr w14:paraId="10826E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1209" w:type="dxa"/>
            <w:vMerge w:val="continue"/>
            <w:noWrap w:val="0"/>
            <w:vAlign w:val="center"/>
          </w:tcPr>
          <w:p w14:paraId="414F5C3E">
            <w:pPr>
              <w:spacing w:line="320" w:lineRule="exact"/>
              <w:ind w:firstLine="0" w:firstLineChars="0"/>
              <w:jc w:val="center"/>
              <w:rPr>
                <w:rFonts w:hint="eastAsia"/>
                <w:color w:val="auto"/>
                <w:sz w:val="21"/>
                <w:szCs w:val="21"/>
                <w:u w:val="none" w:color="auto"/>
              </w:rPr>
            </w:pPr>
          </w:p>
        </w:tc>
        <w:tc>
          <w:tcPr>
            <w:tcW w:w="1950" w:type="dxa"/>
            <w:noWrap w:val="0"/>
            <w:vAlign w:val="center"/>
          </w:tcPr>
          <w:p w14:paraId="64C85C79">
            <w:pPr>
              <w:pStyle w:val="46"/>
              <w:ind w:firstLine="0" w:firstLineChars="0"/>
              <w:rPr>
                <w:rFonts w:hint="eastAsia"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rPr>
              <w:t>总钴</w:t>
            </w:r>
          </w:p>
        </w:tc>
        <w:tc>
          <w:tcPr>
            <w:tcW w:w="1547" w:type="dxa"/>
            <w:noWrap w:val="0"/>
            <w:vAlign w:val="center"/>
          </w:tcPr>
          <w:p w14:paraId="6BF47026">
            <w:pPr>
              <w:pStyle w:val="46"/>
              <w:ind w:firstLine="0" w:firstLineChars="0"/>
              <w:rPr>
                <w:rFonts w:hint="eastAsia" w:ascii="Times New Roman" w:hAnsi="Times New Roman" w:eastAsia="宋体" w:cs="Times New Roman"/>
                <w:color w:val="auto"/>
                <w:u w:val="none" w:color="auto"/>
              </w:rPr>
            </w:pPr>
            <w:r>
              <w:rPr>
                <w:rFonts w:hint="eastAsia" w:ascii="Times New Roman" w:hAnsi="Times New Roman" w:eastAsia="宋体" w:cs="Times New Roman"/>
                <w:color w:val="auto"/>
                <w:u w:val="none" w:color="auto"/>
              </w:rPr>
              <w:t>/</w:t>
            </w:r>
          </w:p>
        </w:tc>
        <w:tc>
          <w:tcPr>
            <w:tcW w:w="1276" w:type="dxa"/>
            <w:noWrap w:val="0"/>
            <w:vAlign w:val="center"/>
          </w:tcPr>
          <w:p w14:paraId="2B0632CB">
            <w:pPr>
              <w:spacing w:line="320" w:lineRule="exact"/>
              <w:ind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w:t>
            </w:r>
          </w:p>
        </w:tc>
        <w:tc>
          <w:tcPr>
            <w:tcW w:w="1701" w:type="dxa"/>
            <w:noWrap w:val="0"/>
            <w:vAlign w:val="center"/>
          </w:tcPr>
          <w:p w14:paraId="6C939BFB">
            <w:pPr>
              <w:spacing w:line="320" w:lineRule="exact"/>
              <w:ind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w:t>
            </w:r>
          </w:p>
        </w:tc>
        <w:tc>
          <w:tcPr>
            <w:tcW w:w="1559" w:type="dxa"/>
            <w:noWrap w:val="0"/>
            <w:vAlign w:val="center"/>
          </w:tcPr>
          <w:p w14:paraId="751DFBF7">
            <w:pPr>
              <w:spacing w:line="240" w:lineRule="auto"/>
              <w:ind w:firstLine="0" w:firstLineChars="0"/>
              <w:jc w:val="center"/>
              <w:rPr>
                <w:rFonts w:hint="eastAsia" w:ascii="Times New Roman" w:hAnsi="Times New Roman" w:eastAsia="宋体" w:cs="Times New Roman"/>
                <w:color w:val="auto"/>
                <w:sz w:val="21"/>
                <w:szCs w:val="21"/>
                <w:u w:val="none" w:color="auto"/>
              </w:rPr>
            </w:pPr>
            <w:r>
              <w:rPr>
                <w:rFonts w:hint="eastAsia" w:cs="Times New Roman"/>
                <w:color w:val="auto"/>
                <w:kern w:val="0"/>
                <w:sz w:val="21"/>
                <w:szCs w:val="21"/>
                <w:u w:val="none" w:color="auto"/>
                <w:lang w:val="en-US" w:eastAsia="zh-CN"/>
              </w:rPr>
              <w:t>0.0009</w:t>
            </w:r>
            <w:r>
              <w:rPr>
                <w:rFonts w:hint="eastAsia" w:ascii="Times New Roman" w:hAnsi="Times New Roman" w:eastAsia="宋体" w:cs="Times New Roman"/>
                <w:color w:val="auto"/>
                <w:sz w:val="21"/>
                <w:szCs w:val="21"/>
                <w:u w:val="none" w:color="auto"/>
              </w:rPr>
              <w:t>t/a</w:t>
            </w:r>
          </w:p>
        </w:tc>
        <w:tc>
          <w:tcPr>
            <w:tcW w:w="1761" w:type="dxa"/>
            <w:noWrap w:val="0"/>
            <w:vAlign w:val="center"/>
          </w:tcPr>
          <w:p w14:paraId="0804204F">
            <w:pPr>
              <w:spacing w:line="320" w:lineRule="exact"/>
              <w:ind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w:t>
            </w:r>
          </w:p>
        </w:tc>
        <w:tc>
          <w:tcPr>
            <w:tcW w:w="1642" w:type="dxa"/>
            <w:noWrap w:val="0"/>
            <w:vAlign w:val="center"/>
          </w:tcPr>
          <w:p w14:paraId="145A3E3E">
            <w:pPr>
              <w:spacing w:line="240" w:lineRule="auto"/>
              <w:ind w:firstLine="0" w:firstLineChars="0"/>
              <w:jc w:val="center"/>
              <w:rPr>
                <w:rFonts w:hint="eastAsia"/>
                <w:color w:val="auto"/>
                <w:sz w:val="21"/>
                <w:szCs w:val="21"/>
                <w:u w:val="none" w:color="auto"/>
              </w:rPr>
            </w:pPr>
            <w:r>
              <w:rPr>
                <w:rFonts w:hint="eastAsia" w:cs="Times New Roman"/>
                <w:color w:val="auto"/>
                <w:kern w:val="0"/>
                <w:sz w:val="21"/>
                <w:szCs w:val="21"/>
                <w:u w:val="none" w:color="auto"/>
                <w:lang w:val="en-US" w:eastAsia="zh-CN"/>
              </w:rPr>
              <w:t>0.0009</w:t>
            </w:r>
            <w:r>
              <w:rPr>
                <w:rFonts w:hint="eastAsia" w:ascii="Times New Roman" w:hAnsi="Times New Roman" w:eastAsia="宋体" w:cs="Times New Roman"/>
                <w:color w:val="auto"/>
                <w:sz w:val="21"/>
                <w:szCs w:val="21"/>
                <w:u w:val="none" w:color="auto"/>
              </w:rPr>
              <w:t>t/a</w:t>
            </w:r>
          </w:p>
        </w:tc>
        <w:tc>
          <w:tcPr>
            <w:tcW w:w="1143" w:type="dxa"/>
            <w:noWrap w:val="0"/>
            <w:vAlign w:val="center"/>
          </w:tcPr>
          <w:p w14:paraId="6EEDE3D3">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r>
      <w:tr w14:paraId="375A7C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1209" w:type="dxa"/>
            <w:vMerge w:val="continue"/>
            <w:noWrap w:val="0"/>
            <w:vAlign w:val="center"/>
          </w:tcPr>
          <w:p w14:paraId="71E03697">
            <w:pPr>
              <w:spacing w:line="320" w:lineRule="exact"/>
              <w:ind w:firstLine="0" w:firstLineChars="0"/>
              <w:jc w:val="center"/>
              <w:rPr>
                <w:rFonts w:hint="eastAsia"/>
                <w:color w:val="auto"/>
                <w:sz w:val="21"/>
                <w:szCs w:val="21"/>
                <w:u w:val="none" w:color="auto"/>
              </w:rPr>
            </w:pPr>
          </w:p>
        </w:tc>
        <w:tc>
          <w:tcPr>
            <w:tcW w:w="1950" w:type="dxa"/>
            <w:noWrap w:val="0"/>
            <w:vAlign w:val="center"/>
          </w:tcPr>
          <w:p w14:paraId="70264D81">
            <w:pPr>
              <w:pStyle w:val="46"/>
              <w:ind w:firstLine="0" w:firstLineChars="0"/>
              <w:rPr>
                <w:rFonts w:hint="eastAsia" w:ascii="Times New Roman" w:hAnsi="Times New Roman" w:eastAsia="宋体" w:cs="Times New Roman"/>
                <w:color w:val="auto"/>
                <w:u w:val="none" w:color="auto"/>
                <w:lang w:eastAsia="zh-CN"/>
              </w:rPr>
            </w:pPr>
            <w:r>
              <w:rPr>
                <w:rFonts w:hint="eastAsia" w:cs="Times New Roman"/>
                <w:color w:val="auto"/>
                <w:u w:val="none" w:color="auto"/>
                <w:lang w:eastAsia="zh-CN"/>
              </w:rPr>
              <w:t>总镍</w:t>
            </w:r>
          </w:p>
        </w:tc>
        <w:tc>
          <w:tcPr>
            <w:tcW w:w="1547" w:type="dxa"/>
            <w:shd w:val="clear" w:color="auto" w:fill="auto"/>
            <w:noWrap w:val="0"/>
            <w:vAlign w:val="center"/>
          </w:tcPr>
          <w:p w14:paraId="15940611">
            <w:pPr>
              <w:pStyle w:val="46"/>
              <w:ind w:firstLine="0" w:firstLineChars="0"/>
              <w:rPr>
                <w:rFonts w:hint="eastAsia" w:ascii="Times New Roman" w:hAnsi="Times New Roman" w:eastAsia="宋体" w:cs="Times New Roman"/>
                <w:color w:val="auto"/>
                <w:spacing w:val="2"/>
                <w:kern w:val="2"/>
                <w:sz w:val="21"/>
                <w:szCs w:val="24"/>
                <w:u w:val="none" w:color="auto"/>
                <w:lang w:val="en-US" w:eastAsia="zh-CN" w:bidi="ar-SA"/>
              </w:rPr>
            </w:pPr>
            <w:r>
              <w:rPr>
                <w:rFonts w:hint="eastAsia" w:ascii="Times New Roman" w:hAnsi="Times New Roman" w:eastAsia="宋体" w:cs="Times New Roman"/>
                <w:color w:val="auto"/>
                <w:u w:val="none" w:color="auto"/>
              </w:rPr>
              <w:t>/</w:t>
            </w:r>
          </w:p>
        </w:tc>
        <w:tc>
          <w:tcPr>
            <w:tcW w:w="1276" w:type="dxa"/>
            <w:shd w:val="clear" w:color="auto" w:fill="auto"/>
            <w:noWrap w:val="0"/>
            <w:vAlign w:val="center"/>
          </w:tcPr>
          <w:p w14:paraId="105ECD85">
            <w:pPr>
              <w:spacing w:line="320" w:lineRule="exact"/>
              <w:ind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rPr>
              <w:t>/</w:t>
            </w:r>
          </w:p>
        </w:tc>
        <w:tc>
          <w:tcPr>
            <w:tcW w:w="1701" w:type="dxa"/>
            <w:shd w:val="clear" w:color="auto" w:fill="auto"/>
            <w:noWrap w:val="0"/>
            <w:vAlign w:val="center"/>
          </w:tcPr>
          <w:p w14:paraId="189D90DF">
            <w:pPr>
              <w:spacing w:line="320" w:lineRule="exact"/>
              <w:ind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rPr>
              <w:t>/</w:t>
            </w:r>
          </w:p>
        </w:tc>
        <w:tc>
          <w:tcPr>
            <w:tcW w:w="1559" w:type="dxa"/>
            <w:noWrap w:val="0"/>
            <w:vAlign w:val="center"/>
          </w:tcPr>
          <w:p w14:paraId="5AB549B0">
            <w:pPr>
              <w:spacing w:line="240" w:lineRule="auto"/>
              <w:ind w:firstLine="0" w:firstLineChars="0"/>
              <w:jc w:val="center"/>
              <w:rPr>
                <w:rFonts w:hint="eastAsia"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0.00001</w:t>
            </w:r>
            <w:r>
              <w:rPr>
                <w:rFonts w:hint="eastAsia" w:ascii="Times New Roman" w:hAnsi="Times New Roman" w:eastAsia="宋体" w:cs="Times New Roman"/>
                <w:color w:val="auto"/>
                <w:sz w:val="21"/>
                <w:szCs w:val="21"/>
                <w:u w:val="none" w:color="auto"/>
              </w:rPr>
              <w:t>t/a</w:t>
            </w:r>
          </w:p>
        </w:tc>
        <w:tc>
          <w:tcPr>
            <w:tcW w:w="1761" w:type="dxa"/>
            <w:noWrap w:val="0"/>
            <w:vAlign w:val="center"/>
          </w:tcPr>
          <w:p w14:paraId="54A5DEE5">
            <w:pPr>
              <w:spacing w:line="320" w:lineRule="exact"/>
              <w:ind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w:t>
            </w:r>
          </w:p>
        </w:tc>
        <w:tc>
          <w:tcPr>
            <w:tcW w:w="1642" w:type="dxa"/>
            <w:noWrap w:val="0"/>
            <w:vAlign w:val="center"/>
          </w:tcPr>
          <w:p w14:paraId="7777469E">
            <w:pPr>
              <w:spacing w:line="240" w:lineRule="auto"/>
              <w:ind w:firstLine="0" w:firstLineChars="0"/>
              <w:jc w:val="center"/>
              <w:rPr>
                <w:rFonts w:hint="eastAsia"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0.00001</w:t>
            </w:r>
            <w:r>
              <w:rPr>
                <w:rFonts w:hint="eastAsia" w:ascii="Times New Roman" w:hAnsi="Times New Roman" w:eastAsia="宋体" w:cs="Times New Roman"/>
                <w:color w:val="auto"/>
                <w:sz w:val="21"/>
                <w:szCs w:val="21"/>
                <w:u w:val="none" w:color="auto"/>
              </w:rPr>
              <w:t>t/a</w:t>
            </w:r>
          </w:p>
        </w:tc>
        <w:tc>
          <w:tcPr>
            <w:tcW w:w="1143" w:type="dxa"/>
            <w:noWrap w:val="0"/>
            <w:vAlign w:val="center"/>
          </w:tcPr>
          <w:p w14:paraId="7B1DB253">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r>
      <w:tr w14:paraId="35D538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09" w:type="dxa"/>
            <w:vMerge w:val="restart"/>
            <w:noWrap w:val="0"/>
            <w:vAlign w:val="center"/>
          </w:tcPr>
          <w:p w14:paraId="0A845EC3">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一般工业</w:t>
            </w:r>
          </w:p>
          <w:p w14:paraId="620735E8">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固体废物</w:t>
            </w:r>
          </w:p>
        </w:tc>
        <w:tc>
          <w:tcPr>
            <w:tcW w:w="1950" w:type="dxa"/>
            <w:noWrap w:val="0"/>
            <w:vAlign w:val="center"/>
          </w:tcPr>
          <w:p w14:paraId="73FE602F">
            <w:pPr>
              <w:pStyle w:val="46"/>
              <w:ind w:firstLine="0" w:firstLineChars="0"/>
              <w:rPr>
                <w:rFonts w:hint="eastAsia"/>
                <w:color w:val="auto"/>
                <w:szCs w:val="21"/>
                <w:u w:val="none" w:color="auto"/>
              </w:rPr>
            </w:pPr>
            <w:r>
              <w:rPr>
                <w:rFonts w:hint="eastAsia"/>
                <w:color w:val="auto"/>
                <w:u w:val="none" w:color="auto"/>
              </w:rPr>
              <w:t>不合格电池</w:t>
            </w:r>
          </w:p>
        </w:tc>
        <w:tc>
          <w:tcPr>
            <w:tcW w:w="1547" w:type="dxa"/>
            <w:noWrap w:val="0"/>
            <w:vAlign w:val="center"/>
          </w:tcPr>
          <w:p w14:paraId="3104EEE4">
            <w:pPr>
              <w:spacing w:line="320" w:lineRule="exact"/>
              <w:ind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w:t>
            </w:r>
          </w:p>
        </w:tc>
        <w:tc>
          <w:tcPr>
            <w:tcW w:w="1276" w:type="dxa"/>
            <w:noWrap w:val="0"/>
            <w:vAlign w:val="center"/>
          </w:tcPr>
          <w:p w14:paraId="6FDCE981">
            <w:pPr>
              <w:spacing w:line="320" w:lineRule="exact"/>
              <w:ind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w:t>
            </w:r>
          </w:p>
        </w:tc>
        <w:tc>
          <w:tcPr>
            <w:tcW w:w="1701" w:type="dxa"/>
            <w:noWrap w:val="0"/>
            <w:vAlign w:val="center"/>
          </w:tcPr>
          <w:p w14:paraId="2E2EF234">
            <w:pPr>
              <w:spacing w:line="320" w:lineRule="exact"/>
              <w:ind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w:t>
            </w:r>
          </w:p>
        </w:tc>
        <w:tc>
          <w:tcPr>
            <w:tcW w:w="1559" w:type="dxa"/>
            <w:noWrap w:val="0"/>
            <w:vAlign w:val="center"/>
          </w:tcPr>
          <w:p w14:paraId="71EB411D">
            <w:pPr>
              <w:spacing w:line="320" w:lineRule="exact"/>
              <w:ind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rPr>
              <w:t>t/a</w:t>
            </w:r>
          </w:p>
        </w:tc>
        <w:tc>
          <w:tcPr>
            <w:tcW w:w="1761" w:type="dxa"/>
            <w:noWrap w:val="0"/>
            <w:vAlign w:val="center"/>
          </w:tcPr>
          <w:p w14:paraId="3F0E22D7">
            <w:pPr>
              <w:spacing w:line="320" w:lineRule="exact"/>
              <w:ind w:firstLine="0" w:firstLineChars="0"/>
              <w:jc w:val="center"/>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w:t>
            </w:r>
          </w:p>
        </w:tc>
        <w:tc>
          <w:tcPr>
            <w:tcW w:w="1642" w:type="dxa"/>
            <w:noWrap w:val="0"/>
            <w:vAlign w:val="center"/>
          </w:tcPr>
          <w:p w14:paraId="64C9D9EA">
            <w:pPr>
              <w:pStyle w:val="46"/>
              <w:ind w:firstLine="0" w:firstLineChars="0"/>
              <w:rPr>
                <w:rFonts w:hint="eastAsia"/>
                <w:color w:val="auto"/>
                <w:szCs w:val="21"/>
                <w:u w:val="none" w:color="auto"/>
              </w:rPr>
            </w:pPr>
            <w:r>
              <w:rPr>
                <w:rFonts w:hint="eastAsia"/>
                <w:color w:val="auto"/>
                <w:u w:val="none" w:color="auto"/>
                <w:lang w:val="en-US" w:eastAsia="zh-CN"/>
              </w:rPr>
              <w:t>1</w:t>
            </w:r>
            <w:r>
              <w:rPr>
                <w:rFonts w:hint="eastAsia"/>
                <w:color w:val="auto"/>
                <w:szCs w:val="21"/>
                <w:u w:val="none" w:color="auto"/>
              </w:rPr>
              <w:t>t/a</w:t>
            </w:r>
          </w:p>
        </w:tc>
        <w:tc>
          <w:tcPr>
            <w:tcW w:w="1143" w:type="dxa"/>
            <w:noWrap w:val="0"/>
            <w:vAlign w:val="center"/>
          </w:tcPr>
          <w:p w14:paraId="037AEC31">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r>
      <w:tr w14:paraId="3DBD0C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09" w:type="dxa"/>
            <w:vMerge w:val="continue"/>
            <w:noWrap w:val="0"/>
            <w:vAlign w:val="center"/>
          </w:tcPr>
          <w:p w14:paraId="572CBC6A">
            <w:pPr>
              <w:spacing w:line="320" w:lineRule="exact"/>
              <w:ind w:firstLine="0" w:firstLineChars="0"/>
              <w:jc w:val="center"/>
              <w:rPr>
                <w:rFonts w:hint="eastAsia"/>
                <w:color w:val="auto"/>
                <w:sz w:val="21"/>
                <w:szCs w:val="21"/>
                <w:u w:val="none" w:color="auto"/>
              </w:rPr>
            </w:pPr>
          </w:p>
        </w:tc>
        <w:tc>
          <w:tcPr>
            <w:tcW w:w="1950" w:type="dxa"/>
            <w:noWrap w:val="0"/>
            <w:vAlign w:val="center"/>
          </w:tcPr>
          <w:p w14:paraId="02AD4C77">
            <w:pPr>
              <w:pStyle w:val="46"/>
              <w:ind w:firstLine="0" w:firstLineChars="0"/>
              <w:rPr>
                <w:rFonts w:hint="eastAsia"/>
                <w:color w:val="auto"/>
                <w:szCs w:val="21"/>
                <w:u w:val="none" w:color="auto"/>
              </w:rPr>
            </w:pPr>
            <w:r>
              <w:rPr>
                <w:rFonts w:hint="eastAsia"/>
                <w:color w:val="auto"/>
                <w:u w:val="none" w:color="auto"/>
              </w:rPr>
              <w:t>边角料</w:t>
            </w:r>
          </w:p>
        </w:tc>
        <w:tc>
          <w:tcPr>
            <w:tcW w:w="1547" w:type="dxa"/>
            <w:noWrap w:val="0"/>
            <w:vAlign w:val="center"/>
          </w:tcPr>
          <w:p w14:paraId="189CBC3B">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c>
          <w:tcPr>
            <w:tcW w:w="1276" w:type="dxa"/>
            <w:noWrap w:val="0"/>
            <w:vAlign w:val="center"/>
          </w:tcPr>
          <w:p w14:paraId="40C36131">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c>
          <w:tcPr>
            <w:tcW w:w="1701" w:type="dxa"/>
            <w:noWrap w:val="0"/>
            <w:vAlign w:val="center"/>
          </w:tcPr>
          <w:p w14:paraId="38B33DD5">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c>
          <w:tcPr>
            <w:tcW w:w="1559" w:type="dxa"/>
            <w:noWrap w:val="0"/>
            <w:vAlign w:val="center"/>
          </w:tcPr>
          <w:p w14:paraId="5149B774">
            <w:pPr>
              <w:pStyle w:val="46"/>
              <w:ind w:firstLine="0" w:firstLineChars="0"/>
              <w:rPr>
                <w:rFonts w:hint="eastAsia"/>
                <w:color w:val="auto"/>
                <w:szCs w:val="21"/>
                <w:u w:val="none" w:color="auto"/>
              </w:rPr>
            </w:pPr>
            <w:r>
              <w:rPr>
                <w:rFonts w:hint="eastAsia"/>
                <w:color w:val="auto"/>
                <w:u w:val="none" w:color="auto"/>
                <w:lang w:val="en-US" w:eastAsia="zh-CN"/>
              </w:rPr>
              <w:t>0</w:t>
            </w:r>
            <w:r>
              <w:rPr>
                <w:rFonts w:hint="eastAsia"/>
                <w:color w:val="auto"/>
                <w:u w:val="none" w:color="auto"/>
              </w:rPr>
              <w:t>.5</w:t>
            </w:r>
            <w:r>
              <w:rPr>
                <w:rFonts w:hint="eastAsia"/>
                <w:color w:val="auto"/>
                <w:szCs w:val="21"/>
                <w:u w:val="none" w:color="auto"/>
              </w:rPr>
              <w:t>t/a</w:t>
            </w:r>
          </w:p>
        </w:tc>
        <w:tc>
          <w:tcPr>
            <w:tcW w:w="1761" w:type="dxa"/>
            <w:noWrap w:val="0"/>
            <w:vAlign w:val="center"/>
          </w:tcPr>
          <w:p w14:paraId="4ACFFBDD">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c>
          <w:tcPr>
            <w:tcW w:w="1642" w:type="dxa"/>
            <w:noWrap w:val="0"/>
            <w:vAlign w:val="center"/>
          </w:tcPr>
          <w:p w14:paraId="07C86E1E">
            <w:pPr>
              <w:pStyle w:val="46"/>
              <w:ind w:firstLine="0" w:firstLineChars="0"/>
              <w:rPr>
                <w:rFonts w:hint="eastAsia"/>
                <w:color w:val="auto"/>
                <w:szCs w:val="21"/>
                <w:u w:val="none" w:color="auto"/>
              </w:rPr>
            </w:pPr>
            <w:r>
              <w:rPr>
                <w:rFonts w:hint="eastAsia"/>
                <w:color w:val="auto"/>
                <w:u w:val="none" w:color="auto"/>
                <w:lang w:val="en-US" w:eastAsia="zh-CN"/>
              </w:rPr>
              <w:t>0</w:t>
            </w:r>
            <w:r>
              <w:rPr>
                <w:rFonts w:hint="eastAsia"/>
                <w:color w:val="auto"/>
                <w:u w:val="none" w:color="auto"/>
              </w:rPr>
              <w:t>.5</w:t>
            </w:r>
            <w:r>
              <w:rPr>
                <w:rFonts w:hint="eastAsia"/>
                <w:color w:val="auto"/>
                <w:szCs w:val="21"/>
                <w:u w:val="none" w:color="auto"/>
              </w:rPr>
              <w:t>t/a</w:t>
            </w:r>
          </w:p>
        </w:tc>
        <w:tc>
          <w:tcPr>
            <w:tcW w:w="1143" w:type="dxa"/>
            <w:noWrap w:val="0"/>
            <w:vAlign w:val="center"/>
          </w:tcPr>
          <w:p w14:paraId="374FFA90">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r>
      <w:tr w14:paraId="200170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09" w:type="dxa"/>
            <w:vMerge w:val="continue"/>
            <w:noWrap w:val="0"/>
            <w:vAlign w:val="center"/>
          </w:tcPr>
          <w:p w14:paraId="492DDF21">
            <w:pPr>
              <w:spacing w:line="320" w:lineRule="exact"/>
              <w:ind w:firstLine="0" w:firstLineChars="0"/>
              <w:jc w:val="center"/>
              <w:rPr>
                <w:rFonts w:hint="eastAsia"/>
                <w:color w:val="auto"/>
                <w:sz w:val="21"/>
                <w:szCs w:val="21"/>
                <w:u w:val="none" w:color="auto"/>
              </w:rPr>
            </w:pPr>
          </w:p>
        </w:tc>
        <w:tc>
          <w:tcPr>
            <w:tcW w:w="1950" w:type="dxa"/>
            <w:noWrap w:val="0"/>
            <w:vAlign w:val="center"/>
          </w:tcPr>
          <w:p w14:paraId="7A1A6082">
            <w:pPr>
              <w:pStyle w:val="46"/>
              <w:ind w:firstLine="0" w:firstLineChars="0"/>
              <w:rPr>
                <w:rFonts w:hint="eastAsia"/>
                <w:color w:val="auto"/>
                <w:szCs w:val="21"/>
                <w:u w:val="none" w:color="auto"/>
              </w:rPr>
            </w:pPr>
            <w:r>
              <w:rPr>
                <w:rFonts w:hint="eastAsia"/>
                <w:color w:val="auto"/>
                <w:u w:val="none" w:color="auto"/>
              </w:rPr>
              <w:t>包装废料</w:t>
            </w:r>
          </w:p>
        </w:tc>
        <w:tc>
          <w:tcPr>
            <w:tcW w:w="1547" w:type="dxa"/>
            <w:noWrap w:val="0"/>
            <w:vAlign w:val="center"/>
          </w:tcPr>
          <w:p w14:paraId="50359D4F">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c>
          <w:tcPr>
            <w:tcW w:w="1276" w:type="dxa"/>
            <w:noWrap w:val="0"/>
            <w:vAlign w:val="center"/>
          </w:tcPr>
          <w:p w14:paraId="224D3135">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c>
          <w:tcPr>
            <w:tcW w:w="1701" w:type="dxa"/>
            <w:noWrap w:val="0"/>
            <w:vAlign w:val="center"/>
          </w:tcPr>
          <w:p w14:paraId="46DB630C">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c>
          <w:tcPr>
            <w:tcW w:w="1559" w:type="dxa"/>
            <w:noWrap w:val="0"/>
            <w:vAlign w:val="center"/>
          </w:tcPr>
          <w:p w14:paraId="682757CE">
            <w:pPr>
              <w:pStyle w:val="46"/>
              <w:ind w:firstLine="0" w:firstLineChars="0"/>
              <w:rPr>
                <w:rFonts w:hint="eastAsia"/>
                <w:color w:val="auto"/>
                <w:szCs w:val="21"/>
                <w:u w:val="none" w:color="auto"/>
              </w:rPr>
            </w:pPr>
            <w:r>
              <w:rPr>
                <w:rFonts w:hint="eastAsia"/>
                <w:color w:val="auto"/>
                <w:u w:val="none" w:color="auto"/>
              </w:rPr>
              <w:t>0.3</w:t>
            </w:r>
            <w:r>
              <w:rPr>
                <w:rFonts w:hint="eastAsia"/>
                <w:color w:val="auto"/>
                <w:szCs w:val="21"/>
                <w:u w:val="none" w:color="auto"/>
              </w:rPr>
              <w:t>t/a</w:t>
            </w:r>
          </w:p>
        </w:tc>
        <w:tc>
          <w:tcPr>
            <w:tcW w:w="1761" w:type="dxa"/>
            <w:noWrap w:val="0"/>
            <w:vAlign w:val="center"/>
          </w:tcPr>
          <w:p w14:paraId="59F5FA0A">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c>
          <w:tcPr>
            <w:tcW w:w="1642" w:type="dxa"/>
            <w:noWrap w:val="0"/>
            <w:vAlign w:val="center"/>
          </w:tcPr>
          <w:p w14:paraId="5301E59A">
            <w:pPr>
              <w:pStyle w:val="46"/>
              <w:ind w:firstLine="0" w:firstLineChars="0"/>
              <w:rPr>
                <w:rFonts w:hint="eastAsia"/>
                <w:color w:val="auto"/>
                <w:szCs w:val="21"/>
                <w:u w:val="none" w:color="auto"/>
              </w:rPr>
            </w:pPr>
            <w:r>
              <w:rPr>
                <w:rFonts w:hint="eastAsia"/>
                <w:color w:val="auto"/>
                <w:u w:val="none" w:color="auto"/>
              </w:rPr>
              <w:t>0.3</w:t>
            </w:r>
            <w:r>
              <w:rPr>
                <w:rFonts w:hint="eastAsia"/>
                <w:color w:val="auto"/>
                <w:szCs w:val="21"/>
                <w:u w:val="none" w:color="auto"/>
              </w:rPr>
              <w:t>t/a</w:t>
            </w:r>
          </w:p>
        </w:tc>
        <w:tc>
          <w:tcPr>
            <w:tcW w:w="1143" w:type="dxa"/>
            <w:noWrap w:val="0"/>
            <w:vAlign w:val="center"/>
          </w:tcPr>
          <w:p w14:paraId="39C55342">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r>
      <w:tr w14:paraId="1966AE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09" w:type="dxa"/>
            <w:vMerge w:val="continue"/>
            <w:noWrap w:val="0"/>
            <w:vAlign w:val="center"/>
          </w:tcPr>
          <w:p w14:paraId="57932087">
            <w:pPr>
              <w:spacing w:line="320" w:lineRule="exact"/>
              <w:ind w:firstLine="0" w:firstLineChars="0"/>
              <w:jc w:val="center"/>
              <w:rPr>
                <w:rFonts w:hint="eastAsia"/>
                <w:color w:val="auto"/>
                <w:sz w:val="21"/>
                <w:szCs w:val="21"/>
                <w:u w:val="none" w:color="auto"/>
              </w:rPr>
            </w:pPr>
          </w:p>
        </w:tc>
        <w:tc>
          <w:tcPr>
            <w:tcW w:w="1950" w:type="dxa"/>
            <w:noWrap w:val="0"/>
            <w:vAlign w:val="center"/>
          </w:tcPr>
          <w:p w14:paraId="3EA93A28">
            <w:pPr>
              <w:pStyle w:val="46"/>
              <w:ind w:firstLine="0" w:firstLineChars="0"/>
              <w:rPr>
                <w:rFonts w:hint="eastAsia"/>
                <w:color w:val="auto"/>
                <w:szCs w:val="21"/>
                <w:u w:val="none" w:color="auto"/>
              </w:rPr>
            </w:pPr>
            <w:r>
              <w:rPr>
                <w:rFonts w:hint="eastAsia"/>
                <w:color w:val="auto"/>
                <w:u w:val="none" w:color="auto"/>
              </w:rPr>
              <w:t>NMP回收液</w:t>
            </w:r>
          </w:p>
        </w:tc>
        <w:tc>
          <w:tcPr>
            <w:tcW w:w="1547" w:type="dxa"/>
            <w:noWrap w:val="0"/>
            <w:vAlign w:val="center"/>
          </w:tcPr>
          <w:p w14:paraId="16F63609">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c>
          <w:tcPr>
            <w:tcW w:w="1276" w:type="dxa"/>
            <w:noWrap w:val="0"/>
            <w:vAlign w:val="center"/>
          </w:tcPr>
          <w:p w14:paraId="02F87472">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c>
          <w:tcPr>
            <w:tcW w:w="1701" w:type="dxa"/>
            <w:noWrap w:val="0"/>
            <w:vAlign w:val="center"/>
          </w:tcPr>
          <w:p w14:paraId="57088F6B">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c>
          <w:tcPr>
            <w:tcW w:w="1559" w:type="dxa"/>
            <w:noWrap w:val="0"/>
            <w:vAlign w:val="center"/>
          </w:tcPr>
          <w:p w14:paraId="3F1AF577">
            <w:pPr>
              <w:pStyle w:val="46"/>
              <w:ind w:firstLine="0" w:firstLineChars="0"/>
              <w:rPr>
                <w:rFonts w:hint="eastAsia"/>
                <w:color w:val="auto"/>
                <w:szCs w:val="21"/>
                <w:u w:val="none" w:color="auto"/>
              </w:rPr>
            </w:pPr>
            <w:r>
              <w:rPr>
                <w:rFonts w:hint="eastAsia"/>
                <w:color w:val="auto"/>
                <w:u w:val="none" w:color="auto"/>
                <w:lang w:val="en-US" w:eastAsia="zh-CN"/>
              </w:rPr>
              <w:t>11.674</w:t>
            </w:r>
            <w:r>
              <w:rPr>
                <w:rFonts w:hint="eastAsia"/>
                <w:color w:val="auto"/>
                <w:szCs w:val="21"/>
                <w:u w:val="none" w:color="auto"/>
              </w:rPr>
              <w:t>t/a</w:t>
            </w:r>
          </w:p>
        </w:tc>
        <w:tc>
          <w:tcPr>
            <w:tcW w:w="1761" w:type="dxa"/>
            <w:noWrap w:val="0"/>
            <w:vAlign w:val="center"/>
          </w:tcPr>
          <w:p w14:paraId="636FF355">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c>
          <w:tcPr>
            <w:tcW w:w="1642" w:type="dxa"/>
            <w:noWrap w:val="0"/>
            <w:vAlign w:val="center"/>
          </w:tcPr>
          <w:p w14:paraId="18938B58">
            <w:pPr>
              <w:pStyle w:val="46"/>
              <w:ind w:firstLine="0" w:firstLineChars="0"/>
              <w:rPr>
                <w:rFonts w:hint="eastAsia"/>
                <w:color w:val="auto"/>
                <w:szCs w:val="21"/>
                <w:u w:val="none" w:color="auto"/>
              </w:rPr>
            </w:pPr>
            <w:r>
              <w:rPr>
                <w:rFonts w:hint="eastAsia"/>
                <w:color w:val="auto"/>
                <w:u w:val="none" w:color="auto"/>
                <w:lang w:val="en-US" w:eastAsia="zh-CN"/>
              </w:rPr>
              <w:t>11.674</w:t>
            </w:r>
            <w:r>
              <w:rPr>
                <w:rFonts w:hint="eastAsia"/>
                <w:color w:val="auto"/>
                <w:szCs w:val="21"/>
                <w:u w:val="none" w:color="auto"/>
              </w:rPr>
              <w:t>t/a</w:t>
            </w:r>
          </w:p>
        </w:tc>
        <w:tc>
          <w:tcPr>
            <w:tcW w:w="1143" w:type="dxa"/>
            <w:noWrap w:val="0"/>
            <w:vAlign w:val="center"/>
          </w:tcPr>
          <w:p w14:paraId="3D05051B">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r>
      <w:tr w14:paraId="71CB8A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09" w:type="dxa"/>
            <w:vMerge w:val="continue"/>
            <w:noWrap w:val="0"/>
            <w:vAlign w:val="center"/>
          </w:tcPr>
          <w:p w14:paraId="39BF0C25">
            <w:pPr>
              <w:spacing w:line="320" w:lineRule="exact"/>
              <w:ind w:firstLine="0" w:firstLineChars="0"/>
              <w:jc w:val="center"/>
              <w:rPr>
                <w:rFonts w:hint="eastAsia"/>
                <w:color w:val="auto"/>
                <w:sz w:val="21"/>
                <w:szCs w:val="21"/>
                <w:u w:val="none" w:color="auto"/>
              </w:rPr>
            </w:pPr>
          </w:p>
        </w:tc>
        <w:tc>
          <w:tcPr>
            <w:tcW w:w="1950" w:type="dxa"/>
            <w:noWrap w:val="0"/>
            <w:vAlign w:val="center"/>
          </w:tcPr>
          <w:p w14:paraId="70F4B999">
            <w:pPr>
              <w:pStyle w:val="46"/>
              <w:ind w:firstLine="0" w:firstLineChars="0"/>
              <w:rPr>
                <w:rFonts w:hint="eastAsia"/>
                <w:color w:val="auto"/>
                <w:szCs w:val="21"/>
                <w:u w:val="none" w:color="auto"/>
              </w:rPr>
            </w:pPr>
            <w:r>
              <w:rPr>
                <w:rFonts w:hint="eastAsia"/>
                <w:color w:val="auto"/>
                <w:u w:val="none" w:color="auto"/>
              </w:rPr>
              <w:t>原料空桶</w:t>
            </w:r>
          </w:p>
        </w:tc>
        <w:tc>
          <w:tcPr>
            <w:tcW w:w="1547" w:type="dxa"/>
            <w:noWrap w:val="0"/>
            <w:vAlign w:val="center"/>
          </w:tcPr>
          <w:p w14:paraId="100A0D08">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c>
          <w:tcPr>
            <w:tcW w:w="1276" w:type="dxa"/>
            <w:noWrap w:val="0"/>
            <w:vAlign w:val="center"/>
          </w:tcPr>
          <w:p w14:paraId="056E129C">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c>
          <w:tcPr>
            <w:tcW w:w="1701" w:type="dxa"/>
            <w:noWrap w:val="0"/>
            <w:vAlign w:val="center"/>
          </w:tcPr>
          <w:p w14:paraId="13BBFAF2">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c>
          <w:tcPr>
            <w:tcW w:w="1559" w:type="dxa"/>
            <w:noWrap w:val="0"/>
            <w:vAlign w:val="center"/>
          </w:tcPr>
          <w:p w14:paraId="37C01030">
            <w:pPr>
              <w:pStyle w:val="46"/>
              <w:ind w:firstLine="0" w:firstLineChars="0"/>
              <w:rPr>
                <w:rFonts w:hint="eastAsia"/>
                <w:color w:val="auto"/>
                <w:szCs w:val="21"/>
                <w:u w:val="none" w:color="auto"/>
              </w:rPr>
            </w:pPr>
            <w:r>
              <w:rPr>
                <w:rFonts w:hint="eastAsia"/>
                <w:color w:val="auto"/>
                <w:u w:val="none" w:color="auto"/>
              </w:rPr>
              <w:t>0.8</w:t>
            </w:r>
            <w:r>
              <w:rPr>
                <w:rFonts w:hint="eastAsia"/>
                <w:color w:val="auto"/>
                <w:szCs w:val="21"/>
                <w:u w:val="none" w:color="auto"/>
              </w:rPr>
              <w:t>t/a</w:t>
            </w:r>
          </w:p>
        </w:tc>
        <w:tc>
          <w:tcPr>
            <w:tcW w:w="1761" w:type="dxa"/>
            <w:noWrap w:val="0"/>
            <w:vAlign w:val="center"/>
          </w:tcPr>
          <w:p w14:paraId="0633095C">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c>
          <w:tcPr>
            <w:tcW w:w="1642" w:type="dxa"/>
            <w:noWrap w:val="0"/>
            <w:vAlign w:val="center"/>
          </w:tcPr>
          <w:p w14:paraId="57A63806">
            <w:pPr>
              <w:pStyle w:val="46"/>
              <w:ind w:firstLine="0" w:firstLineChars="0"/>
              <w:rPr>
                <w:rFonts w:hint="eastAsia"/>
                <w:color w:val="auto"/>
                <w:szCs w:val="21"/>
                <w:u w:val="none" w:color="auto"/>
              </w:rPr>
            </w:pPr>
            <w:r>
              <w:rPr>
                <w:rFonts w:hint="eastAsia"/>
                <w:color w:val="auto"/>
                <w:u w:val="none" w:color="auto"/>
              </w:rPr>
              <w:t>0.8</w:t>
            </w:r>
            <w:r>
              <w:rPr>
                <w:rFonts w:hint="eastAsia"/>
                <w:color w:val="auto"/>
                <w:szCs w:val="21"/>
                <w:u w:val="none" w:color="auto"/>
              </w:rPr>
              <w:t>t/a</w:t>
            </w:r>
          </w:p>
        </w:tc>
        <w:tc>
          <w:tcPr>
            <w:tcW w:w="1143" w:type="dxa"/>
            <w:noWrap w:val="0"/>
            <w:vAlign w:val="center"/>
          </w:tcPr>
          <w:p w14:paraId="405EBB57">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r>
      <w:tr w14:paraId="367D0F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09" w:type="dxa"/>
            <w:vMerge w:val="continue"/>
            <w:noWrap w:val="0"/>
            <w:vAlign w:val="center"/>
          </w:tcPr>
          <w:p w14:paraId="21231299">
            <w:pPr>
              <w:spacing w:line="320" w:lineRule="exact"/>
              <w:ind w:firstLine="0" w:firstLineChars="0"/>
              <w:jc w:val="center"/>
              <w:rPr>
                <w:rFonts w:hint="eastAsia"/>
                <w:color w:val="auto"/>
                <w:sz w:val="21"/>
                <w:szCs w:val="21"/>
                <w:u w:val="none" w:color="auto"/>
              </w:rPr>
            </w:pPr>
          </w:p>
        </w:tc>
        <w:tc>
          <w:tcPr>
            <w:tcW w:w="1950" w:type="dxa"/>
            <w:noWrap w:val="0"/>
            <w:vAlign w:val="center"/>
          </w:tcPr>
          <w:p w14:paraId="24E84C5E">
            <w:pPr>
              <w:pStyle w:val="46"/>
              <w:ind w:firstLine="0" w:firstLineChars="0"/>
              <w:rPr>
                <w:rFonts w:hint="eastAsia" w:eastAsia="宋体"/>
                <w:color w:val="auto"/>
                <w:szCs w:val="21"/>
                <w:u w:val="none" w:color="auto"/>
                <w:lang w:eastAsia="zh-CN"/>
              </w:rPr>
            </w:pPr>
            <w:r>
              <w:rPr>
                <w:rFonts w:hint="eastAsia"/>
                <w:color w:val="auto"/>
                <w:u w:val="none" w:color="auto"/>
                <w:lang w:val="en-US" w:eastAsia="zh-CN"/>
              </w:rPr>
              <w:t>制</w:t>
            </w:r>
            <w:r>
              <w:rPr>
                <w:rFonts w:hint="eastAsia"/>
                <w:color w:val="auto"/>
                <w:u w:val="none" w:color="auto"/>
              </w:rPr>
              <w:t>纯水废</w:t>
            </w:r>
            <w:r>
              <w:rPr>
                <w:rFonts w:hint="eastAsia"/>
                <w:color w:val="auto"/>
                <w:u w:val="none" w:color="auto"/>
                <w:lang w:eastAsia="zh-CN"/>
              </w:rPr>
              <w:t>滤芯</w:t>
            </w:r>
          </w:p>
        </w:tc>
        <w:tc>
          <w:tcPr>
            <w:tcW w:w="1547" w:type="dxa"/>
            <w:noWrap w:val="0"/>
            <w:vAlign w:val="center"/>
          </w:tcPr>
          <w:p w14:paraId="5C1EEBFE">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c>
          <w:tcPr>
            <w:tcW w:w="1276" w:type="dxa"/>
            <w:noWrap w:val="0"/>
            <w:vAlign w:val="center"/>
          </w:tcPr>
          <w:p w14:paraId="1FE67CAC">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c>
          <w:tcPr>
            <w:tcW w:w="1701" w:type="dxa"/>
            <w:noWrap w:val="0"/>
            <w:vAlign w:val="center"/>
          </w:tcPr>
          <w:p w14:paraId="1D98D12D">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c>
          <w:tcPr>
            <w:tcW w:w="1559" w:type="dxa"/>
            <w:noWrap w:val="0"/>
            <w:vAlign w:val="center"/>
          </w:tcPr>
          <w:p w14:paraId="00EE1B36">
            <w:pPr>
              <w:pStyle w:val="46"/>
              <w:ind w:firstLine="0" w:firstLineChars="0"/>
              <w:rPr>
                <w:rFonts w:hint="eastAsia"/>
                <w:color w:val="auto"/>
                <w:szCs w:val="21"/>
                <w:u w:val="none" w:color="auto"/>
              </w:rPr>
            </w:pPr>
            <w:r>
              <w:rPr>
                <w:rFonts w:hint="eastAsia"/>
                <w:color w:val="auto"/>
                <w:u w:val="none" w:color="auto"/>
              </w:rPr>
              <w:t>0.1</w:t>
            </w:r>
            <w:r>
              <w:rPr>
                <w:rFonts w:hint="eastAsia"/>
                <w:color w:val="auto"/>
                <w:szCs w:val="21"/>
                <w:u w:val="none" w:color="auto"/>
              </w:rPr>
              <w:t>t/a</w:t>
            </w:r>
          </w:p>
        </w:tc>
        <w:tc>
          <w:tcPr>
            <w:tcW w:w="1761" w:type="dxa"/>
            <w:noWrap w:val="0"/>
            <w:vAlign w:val="center"/>
          </w:tcPr>
          <w:p w14:paraId="767EDA75">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c>
          <w:tcPr>
            <w:tcW w:w="1642" w:type="dxa"/>
            <w:noWrap w:val="0"/>
            <w:vAlign w:val="center"/>
          </w:tcPr>
          <w:p w14:paraId="0775CF01">
            <w:pPr>
              <w:pStyle w:val="46"/>
              <w:ind w:firstLine="0" w:firstLineChars="0"/>
              <w:rPr>
                <w:rFonts w:hint="eastAsia"/>
                <w:color w:val="auto"/>
                <w:szCs w:val="21"/>
                <w:u w:val="none" w:color="auto"/>
              </w:rPr>
            </w:pPr>
            <w:r>
              <w:rPr>
                <w:rFonts w:hint="eastAsia"/>
                <w:color w:val="auto"/>
                <w:u w:val="none" w:color="auto"/>
              </w:rPr>
              <w:t>0.1</w:t>
            </w:r>
            <w:r>
              <w:rPr>
                <w:rFonts w:hint="eastAsia"/>
                <w:color w:val="auto"/>
                <w:szCs w:val="21"/>
                <w:u w:val="none" w:color="auto"/>
              </w:rPr>
              <w:t>t/a</w:t>
            </w:r>
          </w:p>
        </w:tc>
        <w:tc>
          <w:tcPr>
            <w:tcW w:w="1143" w:type="dxa"/>
            <w:noWrap w:val="0"/>
            <w:vAlign w:val="center"/>
          </w:tcPr>
          <w:p w14:paraId="7612D93C">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r>
      <w:tr w14:paraId="02959D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1209" w:type="dxa"/>
            <w:vMerge w:val="continue"/>
            <w:noWrap w:val="0"/>
            <w:vAlign w:val="center"/>
          </w:tcPr>
          <w:p w14:paraId="55A537DD">
            <w:pPr>
              <w:spacing w:line="320" w:lineRule="exact"/>
              <w:ind w:firstLine="0" w:firstLineChars="0"/>
              <w:jc w:val="center"/>
              <w:rPr>
                <w:rFonts w:hint="eastAsia"/>
                <w:color w:val="auto"/>
                <w:sz w:val="21"/>
                <w:szCs w:val="21"/>
                <w:u w:val="none" w:color="auto"/>
              </w:rPr>
            </w:pPr>
          </w:p>
        </w:tc>
        <w:tc>
          <w:tcPr>
            <w:tcW w:w="1950" w:type="dxa"/>
            <w:noWrap w:val="0"/>
            <w:vAlign w:val="center"/>
          </w:tcPr>
          <w:p w14:paraId="66D29BDC">
            <w:pPr>
              <w:pStyle w:val="46"/>
              <w:ind w:firstLine="0" w:firstLineChars="0"/>
              <w:rPr>
                <w:rFonts w:hint="eastAsia"/>
                <w:color w:val="auto"/>
                <w:u w:val="none" w:color="auto"/>
                <w:lang w:val="en-US" w:eastAsia="zh-CN"/>
              </w:rPr>
            </w:pPr>
            <w:r>
              <w:rPr>
                <w:rFonts w:hint="eastAsia"/>
                <w:color w:val="auto"/>
                <w:u w:val="none" w:color="auto"/>
                <w:lang w:val="en-US" w:eastAsia="zh-CN"/>
              </w:rPr>
              <w:t>沉淀池渣</w:t>
            </w:r>
          </w:p>
        </w:tc>
        <w:tc>
          <w:tcPr>
            <w:tcW w:w="1547" w:type="dxa"/>
            <w:noWrap w:val="0"/>
            <w:vAlign w:val="center"/>
          </w:tcPr>
          <w:p w14:paraId="10856C02">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c>
          <w:tcPr>
            <w:tcW w:w="1276" w:type="dxa"/>
            <w:noWrap w:val="0"/>
            <w:vAlign w:val="center"/>
          </w:tcPr>
          <w:p w14:paraId="3927D4C5">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c>
          <w:tcPr>
            <w:tcW w:w="1701" w:type="dxa"/>
            <w:noWrap w:val="0"/>
            <w:vAlign w:val="center"/>
          </w:tcPr>
          <w:p w14:paraId="163ACF8C">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c>
          <w:tcPr>
            <w:tcW w:w="1559" w:type="dxa"/>
            <w:noWrap w:val="0"/>
            <w:vAlign w:val="center"/>
          </w:tcPr>
          <w:p w14:paraId="1E8FED36">
            <w:pPr>
              <w:pStyle w:val="46"/>
              <w:ind w:firstLine="0" w:firstLineChars="0"/>
              <w:rPr>
                <w:rFonts w:hint="default" w:eastAsia="宋体"/>
                <w:color w:val="auto"/>
                <w:u w:val="none" w:color="auto"/>
                <w:lang w:val="en-US" w:eastAsia="zh-CN"/>
              </w:rPr>
            </w:pPr>
            <w:r>
              <w:rPr>
                <w:rFonts w:hint="eastAsia"/>
                <w:color w:val="auto"/>
                <w:u w:val="none" w:color="auto"/>
                <w:lang w:val="en-US" w:eastAsia="zh-CN"/>
              </w:rPr>
              <w:t>0.05</w:t>
            </w:r>
            <w:r>
              <w:rPr>
                <w:rFonts w:hint="eastAsia"/>
                <w:color w:val="auto"/>
                <w:szCs w:val="21"/>
                <w:u w:val="none" w:color="auto"/>
              </w:rPr>
              <w:t>t/a</w:t>
            </w:r>
          </w:p>
        </w:tc>
        <w:tc>
          <w:tcPr>
            <w:tcW w:w="1761" w:type="dxa"/>
            <w:noWrap w:val="0"/>
            <w:vAlign w:val="center"/>
          </w:tcPr>
          <w:p w14:paraId="33585EEE">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c>
          <w:tcPr>
            <w:tcW w:w="1642" w:type="dxa"/>
            <w:noWrap w:val="0"/>
            <w:vAlign w:val="center"/>
          </w:tcPr>
          <w:p w14:paraId="7A1E01B2">
            <w:pPr>
              <w:pStyle w:val="46"/>
              <w:ind w:firstLine="0" w:firstLineChars="0"/>
              <w:rPr>
                <w:rFonts w:hint="eastAsia"/>
                <w:color w:val="auto"/>
                <w:u w:val="none" w:color="auto"/>
              </w:rPr>
            </w:pPr>
            <w:r>
              <w:rPr>
                <w:rFonts w:hint="eastAsia"/>
                <w:color w:val="auto"/>
                <w:u w:val="none" w:color="auto"/>
                <w:lang w:val="en-US" w:eastAsia="zh-CN"/>
              </w:rPr>
              <w:t>0.05</w:t>
            </w:r>
            <w:r>
              <w:rPr>
                <w:rFonts w:hint="eastAsia"/>
                <w:color w:val="auto"/>
                <w:szCs w:val="21"/>
                <w:u w:val="none" w:color="auto"/>
              </w:rPr>
              <w:t>t/a</w:t>
            </w:r>
          </w:p>
        </w:tc>
        <w:tc>
          <w:tcPr>
            <w:tcW w:w="1143" w:type="dxa"/>
            <w:noWrap w:val="0"/>
            <w:vAlign w:val="center"/>
          </w:tcPr>
          <w:p w14:paraId="6C7DE0DB">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r>
      <w:tr w14:paraId="4C5619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09" w:type="dxa"/>
            <w:vMerge w:val="continue"/>
            <w:tcBorders>
              <w:bottom w:val="single" w:color="000000" w:sz="6" w:space="0"/>
            </w:tcBorders>
            <w:noWrap w:val="0"/>
            <w:vAlign w:val="center"/>
          </w:tcPr>
          <w:p w14:paraId="41600C0B">
            <w:pPr>
              <w:spacing w:line="320" w:lineRule="exact"/>
              <w:ind w:firstLine="0" w:firstLineChars="0"/>
              <w:jc w:val="center"/>
              <w:rPr>
                <w:rFonts w:hint="eastAsia"/>
                <w:color w:val="auto"/>
                <w:sz w:val="21"/>
                <w:szCs w:val="21"/>
                <w:u w:val="none" w:color="auto"/>
              </w:rPr>
            </w:pPr>
          </w:p>
        </w:tc>
        <w:tc>
          <w:tcPr>
            <w:tcW w:w="1950" w:type="dxa"/>
            <w:tcBorders>
              <w:bottom w:val="single" w:color="000000" w:sz="6" w:space="0"/>
            </w:tcBorders>
            <w:noWrap w:val="0"/>
            <w:vAlign w:val="center"/>
          </w:tcPr>
          <w:p w14:paraId="57C4D831">
            <w:pPr>
              <w:pStyle w:val="46"/>
              <w:ind w:firstLine="0" w:firstLineChars="0"/>
              <w:rPr>
                <w:rFonts w:hint="eastAsia" w:ascii="Times New Roman" w:hAnsi="Times New Roman" w:eastAsia="宋体" w:cs="Times New Roman"/>
                <w:color w:val="auto"/>
                <w:spacing w:val="2"/>
                <w:kern w:val="2"/>
                <w:sz w:val="21"/>
                <w:szCs w:val="21"/>
                <w:u w:val="none" w:color="auto"/>
                <w:lang w:val="en-US" w:eastAsia="zh-CN" w:bidi="ar-SA"/>
              </w:rPr>
            </w:pPr>
            <w:r>
              <w:rPr>
                <w:rFonts w:hint="eastAsia"/>
                <w:color w:val="auto"/>
                <w:u w:val="none" w:color="auto"/>
              </w:rPr>
              <w:t>生活垃圾</w:t>
            </w:r>
          </w:p>
        </w:tc>
        <w:tc>
          <w:tcPr>
            <w:tcW w:w="1547" w:type="dxa"/>
            <w:noWrap w:val="0"/>
            <w:vAlign w:val="center"/>
          </w:tcPr>
          <w:p w14:paraId="7CC1FA63">
            <w:pPr>
              <w:spacing w:line="320" w:lineRule="exact"/>
              <w:ind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color w:val="auto"/>
                <w:sz w:val="21"/>
                <w:szCs w:val="21"/>
                <w:u w:val="none" w:color="auto"/>
              </w:rPr>
              <w:t>/</w:t>
            </w:r>
          </w:p>
        </w:tc>
        <w:tc>
          <w:tcPr>
            <w:tcW w:w="1276" w:type="dxa"/>
            <w:noWrap w:val="0"/>
            <w:vAlign w:val="center"/>
          </w:tcPr>
          <w:p w14:paraId="27CC9CD8">
            <w:pPr>
              <w:spacing w:line="320" w:lineRule="exact"/>
              <w:ind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color w:val="auto"/>
                <w:sz w:val="21"/>
                <w:szCs w:val="21"/>
                <w:u w:val="none" w:color="auto"/>
              </w:rPr>
              <w:t>/</w:t>
            </w:r>
          </w:p>
        </w:tc>
        <w:tc>
          <w:tcPr>
            <w:tcW w:w="1701" w:type="dxa"/>
            <w:noWrap w:val="0"/>
            <w:vAlign w:val="center"/>
          </w:tcPr>
          <w:p w14:paraId="105C2E58">
            <w:pPr>
              <w:spacing w:line="320" w:lineRule="exact"/>
              <w:ind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color w:val="auto"/>
                <w:sz w:val="21"/>
                <w:szCs w:val="21"/>
                <w:u w:val="none" w:color="auto"/>
              </w:rPr>
              <w:t>/</w:t>
            </w:r>
          </w:p>
        </w:tc>
        <w:tc>
          <w:tcPr>
            <w:tcW w:w="1559" w:type="dxa"/>
            <w:noWrap w:val="0"/>
            <w:vAlign w:val="center"/>
          </w:tcPr>
          <w:p w14:paraId="4454E12B">
            <w:pPr>
              <w:pStyle w:val="46"/>
              <w:ind w:firstLine="0" w:firstLineChars="0"/>
              <w:rPr>
                <w:rFonts w:hint="eastAsia" w:ascii="Times New Roman" w:hAnsi="Times New Roman" w:eastAsia="宋体" w:cs="Times New Roman"/>
                <w:color w:val="auto"/>
                <w:spacing w:val="2"/>
                <w:kern w:val="2"/>
                <w:sz w:val="21"/>
                <w:szCs w:val="21"/>
                <w:u w:val="none" w:color="auto"/>
                <w:lang w:val="en-US" w:eastAsia="zh-CN" w:bidi="ar-SA"/>
              </w:rPr>
            </w:pPr>
            <w:r>
              <w:rPr>
                <w:rFonts w:hint="eastAsia"/>
                <w:color w:val="auto"/>
                <w:u w:val="none" w:color="auto"/>
              </w:rPr>
              <w:t>18</w:t>
            </w:r>
            <w:r>
              <w:rPr>
                <w:rFonts w:hint="eastAsia"/>
                <w:color w:val="auto"/>
                <w:szCs w:val="21"/>
                <w:u w:val="none" w:color="auto"/>
              </w:rPr>
              <w:t>t/a</w:t>
            </w:r>
          </w:p>
        </w:tc>
        <w:tc>
          <w:tcPr>
            <w:tcW w:w="1761" w:type="dxa"/>
            <w:noWrap w:val="0"/>
            <w:vAlign w:val="center"/>
          </w:tcPr>
          <w:p w14:paraId="15C8F992">
            <w:pPr>
              <w:spacing w:line="320" w:lineRule="exact"/>
              <w:ind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color w:val="auto"/>
                <w:sz w:val="21"/>
                <w:szCs w:val="21"/>
                <w:u w:val="none" w:color="auto"/>
              </w:rPr>
              <w:t>/</w:t>
            </w:r>
          </w:p>
        </w:tc>
        <w:tc>
          <w:tcPr>
            <w:tcW w:w="1642" w:type="dxa"/>
            <w:noWrap w:val="0"/>
            <w:vAlign w:val="center"/>
          </w:tcPr>
          <w:p w14:paraId="32C2AD40">
            <w:pPr>
              <w:pStyle w:val="46"/>
              <w:ind w:firstLine="0" w:firstLineChars="0"/>
              <w:rPr>
                <w:rFonts w:hint="eastAsia" w:ascii="Times New Roman" w:hAnsi="Times New Roman" w:eastAsia="宋体" w:cs="Times New Roman"/>
                <w:color w:val="auto"/>
                <w:spacing w:val="2"/>
                <w:kern w:val="2"/>
                <w:sz w:val="21"/>
                <w:szCs w:val="21"/>
                <w:u w:val="none" w:color="auto"/>
                <w:lang w:val="en-US" w:eastAsia="zh-CN" w:bidi="ar-SA"/>
              </w:rPr>
            </w:pPr>
            <w:r>
              <w:rPr>
                <w:rFonts w:hint="eastAsia"/>
                <w:color w:val="auto"/>
                <w:u w:val="none" w:color="auto"/>
              </w:rPr>
              <w:t>18</w:t>
            </w:r>
            <w:r>
              <w:rPr>
                <w:rFonts w:hint="eastAsia"/>
                <w:color w:val="auto"/>
                <w:szCs w:val="21"/>
                <w:u w:val="none" w:color="auto"/>
              </w:rPr>
              <w:t>t/a</w:t>
            </w:r>
          </w:p>
        </w:tc>
        <w:tc>
          <w:tcPr>
            <w:tcW w:w="1143" w:type="dxa"/>
            <w:noWrap w:val="0"/>
            <w:vAlign w:val="center"/>
          </w:tcPr>
          <w:p w14:paraId="534F478F">
            <w:pPr>
              <w:spacing w:line="320" w:lineRule="exact"/>
              <w:ind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color w:val="auto"/>
                <w:sz w:val="21"/>
                <w:szCs w:val="21"/>
                <w:u w:val="none" w:color="auto"/>
              </w:rPr>
              <w:t>/</w:t>
            </w:r>
          </w:p>
        </w:tc>
      </w:tr>
      <w:tr w14:paraId="75E97B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09" w:type="dxa"/>
            <w:vMerge w:val="restart"/>
            <w:noWrap w:val="0"/>
            <w:vAlign w:val="center"/>
          </w:tcPr>
          <w:p w14:paraId="351F1246">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危险废物</w:t>
            </w:r>
          </w:p>
        </w:tc>
        <w:tc>
          <w:tcPr>
            <w:tcW w:w="1950" w:type="dxa"/>
            <w:noWrap w:val="0"/>
            <w:vAlign w:val="center"/>
          </w:tcPr>
          <w:p w14:paraId="034E04A9">
            <w:pPr>
              <w:pStyle w:val="46"/>
              <w:rPr>
                <w:rFonts w:hint="eastAsia"/>
                <w:color w:val="auto"/>
                <w:szCs w:val="21"/>
                <w:u w:val="none" w:color="auto"/>
              </w:rPr>
            </w:pPr>
            <w:r>
              <w:rPr>
                <w:rFonts w:hint="eastAsia"/>
                <w:color w:val="auto"/>
                <w:u w:val="none" w:color="auto"/>
              </w:rPr>
              <w:t>含电解液废料</w:t>
            </w:r>
          </w:p>
        </w:tc>
        <w:tc>
          <w:tcPr>
            <w:tcW w:w="1547" w:type="dxa"/>
            <w:noWrap w:val="0"/>
            <w:vAlign w:val="center"/>
          </w:tcPr>
          <w:p w14:paraId="66A41147">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c>
          <w:tcPr>
            <w:tcW w:w="1276" w:type="dxa"/>
            <w:noWrap w:val="0"/>
            <w:vAlign w:val="center"/>
          </w:tcPr>
          <w:p w14:paraId="03D43095">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c>
          <w:tcPr>
            <w:tcW w:w="1701" w:type="dxa"/>
            <w:noWrap w:val="0"/>
            <w:vAlign w:val="center"/>
          </w:tcPr>
          <w:p w14:paraId="483CF606">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c>
          <w:tcPr>
            <w:tcW w:w="1559" w:type="dxa"/>
            <w:noWrap w:val="0"/>
            <w:vAlign w:val="center"/>
          </w:tcPr>
          <w:p w14:paraId="48132868">
            <w:pPr>
              <w:pStyle w:val="46"/>
              <w:rPr>
                <w:rFonts w:hint="eastAsia"/>
                <w:color w:val="auto"/>
                <w:szCs w:val="21"/>
                <w:u w:val="none" w:color="auto"/>
              </w:rPr>
            </w:pPr>
            <w:r>
              <w:rPr>
                <w:rFonts w:hint="eastAsia"/>
                <w:color w:val="auto"/>
                <w:u w:val="none" w:color="auto"/>
              </w:rPr>
              <w:t>0.</w:t>
            </w:r>
            <w:r>
              <w:rPr>
                <w:rFonts w:hint="eastAsia"/>
                <w:color w:val="auto"/>
                <w:u w:val="none" w:color="auto"/>
                <w:lang w:val="en-US" w:eastAsia="zh-CN"/>
              </w:rPr>
              <w:t>02</w:t>
            </w:r>
            <w:r>
              <w:rPr>
                <w:rFonts w:hint="eastAsia"/>
                <w:color w:val="auto"/>
                <w:szCs w:val="21"/>
                <w:u w:val="none" w:color="auto"/>
              </w:rPr>
              <w:t>t/a</w:t>
            </w:r>
          </w:p>
        </w:tc>
        <w:tc>
          <w:tcPr>
            <w:tcW w:w="1761" w:type="dxa"/>
            <w:noWrap w:val="0"/>
            <w:vAlign w:val="center"/>
          </w:tcPr>
          <w:p w14:paraId="21A94B2D">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c>
          <w:tcPr>
            <w:tcW w:w="1642" w:type="dxa"/>
            <w:noWrap w:val="0"/>
            <w:vAlign w:val="center"/>
          </w:tcPr>
          <w:p w14:paraId="7B680FCF">
            <w:pPr>
              <w:pStyle w:val="46"/>
              <w:ind w:firstLine="0" w:firstLineChars="0"/>
              <w:rPr>
                <w:rFonts w:hint="eastAsia"/>
                <w:color w:val="auto"/>
                <w:szCs w:val="21"/>
                <w:u w:val="none" w:color="auto"/>
              </w:rPr>
            </w:pPr>
            <w:r>
              <w:rPr>
                <w:rFonts w:hint="eastAsia"/>
                <w:color w:val="auto"/>
                <w:u w:val="none" w:color="auto"/>
              </w:rPr>
              <w:t>0.</w:t>
            </w:r>
            <w:r>
              <w:rPr>
                <w:rFonts w:hint="eastAsia"/>
                <w:color w:val="auto"/>
                <w:u w:val="none" w:color="auto"/>
                <w:lang w:val="en-US" w:eastAsia="zh-CN"/>
              </w:rPr>
              <w:t>02</w:t>
            </w:r>
            <w:r>
              <w:rPr>
                <w:rFonts w:hint="eastAsia"/>
                <w:color w:val="auto"/>
                <w:szCs w:val="21"/>
                <w:u w:val="none" w:color="auto"/>
              </w:rPr>
              <w:t>t/a</w:t>
            </w:r>
          </w:p>
        </w:tc>
        <w:tc>
          <w:tcPr>
            <w:tcW w:w="1143" w:type="dxa"/>
            <w:noWrap w:val="0"/>
            <w:vAlign w:val="center"/>
          </w:tcPr>
          <w:p w14:paraId="5440F842">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r>
      <w:tr w14:paraId="481A4A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209" w:type="dxa"/>
            <w:vMerge w:val="continue"/>
            <w:noWrap w:val="0"/>
            <w:vAlign w:val="center"/>
          </w:tcPr>
          <w:p w14:paraId="598060AC">
            <w:pPr>
              <w:spacing w:line="320" w:lineRule="exact"/>
              <w:ind w:firstLine="0" w:firstLineChars="0"/>
              <w:jc w:val="center"/>
              <w:rPr>
                <w:rFonts w:hint="eastAsia"/>
                <w:color w:val="auto"/>
                <w:sz w:val="21"/>
                <w:szCs w:val="21"/>
                <w:u w:val="none" w:color="auto"/>
              </w:rPr>
            </w:pPr>
          </w:p>
        </w:tc>
        <w:tc>
          <w:tcPr>
            <w:tcW w:w="1950" w:type="dxa"/>
            <w:noWrap w:val="0"/>
            <w:vAlign w:val="center"/>
          </w:tcPr>
          <w:p w14:paraId="160CD017">
            <w:pPr>
              <w:pStyle w:val="46"/>
              <w:rPr>
                <w:rFonts w:hint="eastAsia" w:eastAsia="宋体"/>
                <w:color w:val="auto"/>
                <w:szCs w:val="21"/>
                <w:u w:val="none" w:color="auto"/>
                <w:lang w:eastAsia="zh-CN"/>
              </w:rPr>
            </w:pPr>
            <w:r>
              <w:rPr>
                <w:rFonts w:hint="eastAsia"/>
                <w:color w:val="auto"/>
                <w:u w:val="none" w:color="auto"/>
              </w:rPr>
              <w:t>废机油</w:t>
            </w:r>
            <w:r>
              <w:rPr>
                <w:rFonts w:hint="eastAsia"/>
                <w:color w:val="auto"/>
                <w:u w:val="none" w:color="auto"/>
                <w:lang w:eastAsia="zh-CN"/>
              </w:rPr>
              <w:t>、废抹布</w:t>
            </w:r>
          </w:p>
        </w:tc>
        <w:tc>
          <w:tcPr>
            <w:tcW w:w="1547" w:type="dxa"/>
            <w:noWrap w:val="0"/>
            <w:vAlign w:val="center"/>
          </w:tcPr>
          <w:p w14:paraId="59F796CF">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c>
          <w:tcPr>
            <w:tcW w:w="1276" w:type="dxa"/>
            <w:noWrap w:val="0"/>
            <w:vAlign w:val="center"/>
          </w:tcPr>
          <w:p w14:paraId="685128DF">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c>
          <w:tcPr>
            <w:tcW w:w="1701" w:type="dxa"/>
            <w:noWrap w:val="0"/>
            <w:vAlign w:val="center"/>
          </w:tcPr>
          <w:p w14:paraId="2A529568">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c>
          <w:tcPr>
            <w:tcW w:w="1559" w:type="dxa"/>
            <w:noWrap w:val="0"/>
            <w:vAlign w:val="center"/>
          </w:tcPr>
          <w:p w14:paraId="5602A997">
            <w:pPr>
              <w:pStyle w:val="46"/>
              <w:rPr>
                <w:rFonts w:hint="eastAsia"/>
                <w:color w:val="auto"/>
                <w:szCs w:val="21"/>
                <w:u w:val="none" w:color="auto"/>
              </w:rPr>
            </w:pPr>
            <w:r>
              <w:rPr>
                <w:rFonts w:hint="eastAsia"/>
                <w:color w:val="auto"/>
                <w:u w:val="none" w:color="auto"/>
              </w:rPr>
              <w:t>0.</w:t>
            </w:r>
            <w:r>
              <w:rPr>
                <w:rFonts w:hint="eastAsia"/>
                <w:color w:val="auto"/>
                <w:u w:val="none" w:color="auto"/>
                <w:lang w:val="en-US" w:eastAsia="zh-CN"/>
              </w:rPr>
              <w:t>0</w:t>
            </w:r>
            <w:r>
              <w:rPr>
                <w:rFonts w:hint="eastAsia"/>
                <w:color w:val="auto"/>
                <w:u w:val="none" w:color="auto"/>
              </w:rPr>
              <w:t>1</w:t>
            </w:r>
            <w:r>
              <w:rPr>
                <w:rFonts w:hint="eastAsia"/>
                <w:color w:val="auto"/>
                <w:szCs w:val="21"/>
                <w:u w:val="none" w:color="auto"/>
              </w:rPr>
              <w:t>t/a</w:t>
            </w:r>
          </w:p>
        </w:tc>
        <w:tc>
          <w:tcPr>
            <w:tcW w:w="1761" w:type="dxa"/>
            <w:noWrap w:val="0"/>
            <w:vAlign w:val="center"/>
          </w:tcPr>
          <w:p w14:paraId="4A805B7C">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c>
          <w:tcPr>
            <w:tcW w:w="1642" w:type="dxa"/>
            <w:noWrap w:val="0"/>
            <w:vAlign w:val="center"/>
          </w:tcPr>
          <w:p w14:paraId="6F8C75B6">
            <w:pPr>
              <w:pStyle w:val="46"/>
              <w:ind w:firstLine="0" w:firstLineChars="0"/>
              <w:rPr>
                <w:rFonts w:hint="eastAsia"/>
                <w:color w:val="auto"/>
                <w:szCs w:val="21"/>
                <w:u w:val="none" w:color="auto"/>
              </w:rPr>
            </w:pPr>
            <w:r>
              <w:rPr>
                <w:rFonts w:hint="eastAsia"/>
                <w:color w:val="auto"/>
                <w:u w:val="none" w:color="auto"/>
              </w:rPr>
              <w:t>0.</w:t>
            </w:r>
            <w:r>
              <w:rPr>
                <w:rFonts w:hint="eastAsia"/>
                <w:color w:val="auto"/>
                <w:u w:val="none" w:color="auto"/>
                <w:lang w:val="en-US" w:eastAsia="zh-CN"/>
              </w:rPr>
              <w:t>0</w:t>
            </w:r>
            <w:r>
              <w:rPr>
                <w:rFonts w:hint="eastAsia"/>
                <w:color w:val="auto"/>
                <w:u w:val="none" w:color="auto"/>
              </w:rPr>
              <w:t>1</w:t>
            </w:r>
            <w:r>
              <w:rPr>
                <w:rFonts w:hint="eastAsia"/>
                <w:color w:val="auto"/>
                <w:szCs w:val="21"/>
                <w:u w:val="none" w:color="auto"/>
              </w:rPr>
              <w:t>t/a</w:t>
            </w:r>
          </w:p>
        </w:tc>
        <w:tc>
          <w:tcPr>
            <w:tcW w:w="1143" w:type="dxa"/>
            <w:noWrap w:val="0"/>
            <w:vAlign w:val="center"/>
          </w:tcPr>
          <w:p w14:paraId="0B298A79">
            <w:pPr>
              <w:spacing w:line="320" w:lineRule="exact"/>
              <w:ind w:firstLine="0" w:firstLineChars="0"/>
              <w:jc w:val="center"/>
              <w:rPr>
                <w:rFonts w:hint="eastAsia"/>
                <w:color w:val="auto"/>
                <w:sz w:val="21"/>
                <w:szCs w:val="21"/>
                <w:u w:val="none" w:color="auto"/>
              </w:rPr>
            </w:pPr>
            <w:r>
              <w:rPr>
                <w:rFonts w:hint="eastAsia"/>
                <w:color w:val="auto"/>
                <w:sz w:val="21"/>
                <w:szCs w:val="21"/>
                <w:u w:val="none" w:color="auto"/>
              </w:rPr>
              <w:t>/</w:t>
            </w:r>
          </w:p>
        </w:tc>
      </w:tr>
      <w:tr w14:paraId="51DA21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1209" w:type="dxa"/>
            <w:vMerge w:val="continue"/>
            <w:tcBorders>
              <w:bottom w:val="single" w:color="000000" w:sz="4" w:space="0"/>
            </w:tcBorders>
            <w:noWrap w:val="0"/>
            <w:vAlign w:val="center"/>
          </w:tcPr>
          <w:p w14:paraId="75D1BD96">
            <w:pPr>
              <w:spacing w:line="320" w:lineRule="exact"/>
              <w:ind w:firstLine="0" w:firstLineChars="0"/>
              <w:jc w:val="center"/>
              <w:rPr>
                <w:rFonts w:hint="eastAsia"/>
                <w:color w:val="auto"/>
                <w:sz w:val="21"/>
                <w:szCs w:val="21"/>
                <w:u w:val="none" w:color="auto"/>
              </w:rPr>
            </w:pPr>
          </w:p>
        </w:tc>
        <w:tc>
          <w:tcPr>
            <w:tcW w:w="1950" w:type="dxa"/>
            <w:tcBorders>
              <w:bottom w:val="single" w:color="000000" w:sz="4" w:space="0"/>
            </w:tcBorders>
            <w:shd w:val="clear" w:color="auto" w:fill="auto"/>
            <w:noWrap w:val="0"/>
            <w:vAlign w:val="center"/>
          </w:tcPr>
          <w:p w14:paraId="7763084D">
            <w:pPr>
              <w:pStyle w:val="11"/>
              <w:ind w:right="0" w:rightChars="0" w:firstLine="0" w:firstLineChars="0"/>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sz w:val="21"/>
                <w:szCs w:val="21"/>
                <w:u w:val="none" w:color="auto"/>
                <w:lang w:eastAsia="zh-CN"/>
              </w:rPr>
              <w:t>搅拌桶擦拭废抹布</w:t>
            </w:r>
          </w:p>
        </w:tc>
        <w:tc>
          <w:tcPr>
            <w:tcW w:w="1547" w:type="dxa"/>
            <w:shd w:val="clear" w:color="auto" w:fill="auto"/>
            <w:noWrap w:val="0"/>
            <w:vAlign w:val="center"/>
          </w:tcPr>
          <w:p w14:paraId="7A456E3F">
            <w:pPr>
              <w:spacing w:line="320" w:lineRule="exact"/>
              <w:ind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color w:val="auto"/>
                <w:sz w:val="21"/>
                <w:szCs w:val="21"/>
                <w:u w:val="none" w:color="auto"/>
              </w:rPr>
              <w:t>/</w:t>
            </w:r>
          </w:p>
        </w:tc>
        <w:tc>
          <w:tcPr>
            <w:tcW w:w="1276" w:type="dxa"/>
            <w:shd w:val="clear" w:color="auto" w:fill="auto"/>
            <w:noWrap w:val="0"/>
            <w:vAlign w:val="center"/>
          </w:tcPr>
          <w:p w14:paraId="7E0641D9">
            <w:pPr>
              <w:spacing w:line="320" w:lineRule="exact"/>
              <w:ind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color w:val="auto"/>
                <w:sz w:val="21"/>
                <w:szCs w:val="21"/>
                <w:u w:val="none" w:color="auto"/>
              </w:rPr>
              <w:t>/</w:t>
            </w:r>
          </w:p>
        </w:tc>
        <w:tc>
          <w:tcPr>
            <w:tcW w:w="1701" w:type="dxa"/>
            <w:shd w:val="clear" w:color="auto" w:fill="auto"/>
            <w:noWrap w:val="0"/>
            <w:vAlign w:val="center"/>
          </w:tcPr>
          <w:p w14:paraId="66754E2C">
            <w:pPr>
              <w:spacing w:line="320" w:lineRule="exact"/>
              <w:ind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color w:val="auto"/>
                <w:sz w:val="21"/>
                <w:szCs w:val="21"/>
                <w:u w:val="none" w:color="auto"/>
              </w:rPr>
              <w:t>/</w:t>
            </w:r>
          </w:p>
        </w:tc>
        <w:tc>
          <w:tcPr>
            <w:tcW w:w="1559" w:type="dxa"/>
            <w:noWrap w:val="0"/>
            <w:vAlign w:val="center"/>
          </w:tcPr>
          <w:p w14:paraId="477869C6">
            <w:pPr>
              <w:pStyle w:val="46"/>
              <w:rPr>
                <w:rFonts w:hint="default" w:eastAsia="宋体"/>
                <w:color w:val="auto"/>
                <w:u w:val="none" w:color="auto"/>
                <w:lang w:val="en-US" w:eastAsia="zh-CN"/>
              </w:rPr>
            </w:pPr>
            <w:r>
              <w:rPr>
                <w:rFonts w:hint="eastAsia"/>
                <w:color w:val="auto"/>
                <w:u w:val="none" w:color="auto"/>
                <w:lang w:val="en-US" w:eastAsia="zh-CN"/>
              </w:rPr>
              <w:t>0.01</w:t>
            </w:r>
            <w:r>
              <w:rPr>
                <w:rFonts w:hint="eastAsia"/>
                <w:color w:val="auto"/>
                <w:szCs w:val="21"/>
                <w:u w:val="none" w:color="auto"/>
              </w:rPr>
              <w:t>t/a</w:t>
            </w:r>
          </w:p>
        </w:tc>
        <w:tc>
          <w:tcPr>
            <w:tcW w:w="1761" w:type="dxa"/>
            <w:shd w:val="clear" w:color="auto" w:fill="auto"/>
            <w:noWrap w:val="0"/>
            <w:vAlign w:val="center"/>
          </w:tcPr>
          <w:p w14:paraId="788C1B41">
            <w:pPr>
              <w:spacing w:line="320" w:lineRule="exact"/>
              <w:ind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color w:val="auto"/>
                <w:sz w:val="21"/>
                <w:szCs w:val="21"/>
                <w:u w:val="none" w:color="auto"/>
              </w:rPr>
              <w:t>/</w:t>
            </w:r>
          </w:p>
        </w:tc>
        <w:tc>
          <w:tcPr>
            <w:tcW w:w="1642" w:type="dxa"/>
            <w:shd w:val="clear" w:color="auto" w:fill="auto"/>
            <w:noWrap w:val="0"/>
            <w:vAlign w:val="center"/>
          </w:tcPr>
          <w:p w14:paraId="45C89D4F">
            <w:pPr>
              <w:pStyle w:val="46"/>
              <w:ind w:firstLine="0" w:firstLineChars="0"/>
              <w:rPr>
                <w:rFonts w:hint="eastAsia" w:ascii="Times New Roman" w:hAnsi="Times New Roman" w:eastAsia="宋体" w:cs="Times New Roman"/>
                <w:color w:val="auto"/>
                <w:spacing w:val="2"/>
                <w:kern w:val="2"/>
                <w:sz w:val="21"/>
                <w:szCs w:val="21"/>
                <w:u w:val="none" w:color="auto"/>
                <w:lang w:val="en-US" w:eastAsia="zh-CN" w:bidi="ar-SA"/>
              </w:rPr>
            </w:pPr>
            <w:r>
              <w:rPr>
                <w:rFonts w:hint="eastAsia"/>
                <w:color w:val="auto"/>
                <w:u w:val="none" w:color="auto"/>
              </w:rPr>
              <w:t>0.</w:t>
            </w:r>
            <w:r>
              <w:rPr>
                <w:rFonts w:hint="eastAsia"/>
                <w:color w:val="auto"/>
                <w:u w:val="none" w:color="auto"/>
                <w:lang w:val="en-US" w:eastAsia="zh-CN"/>
              </w:rPr>
              <w:t>0</w:t>
            </w:r>
            <w:r>
              <w:rPr>
                <w:rFonts w:hint="eastAsia"/>
                <w:color w:val="auto"/>
                <w:u w:val="none" w:color="auto"/>
              </w:rPr>
              <w:t>1</w:t>
            </w:r>
            <w:r>
              <w:rPr>
                <w:rFonts w:hint="eastAsia"/>
                <w:color w:val="auto"/>
                <w:szCs w:val="21"/>
                <w:u w:val="none" w:color="auto"/>
              </w:rPr>
              <w:t>t/a</w:t>
            </w:r>
          </w:p>
        </w:tc>
        <w:tc>
          <w:tcPr>
            <w:tcW w:w="1143" w:type="dxa"/>
            <w:shd w:val="clear" w:color="auto" w:fill="auto"/>
            <w:noWrap w:val="0"/>
            <w:vAlign w:val="center"/>
          </w:tcPr>
          <w:p w14:paraId="77A29F05">
            <w:pPr>
              <w:spacing w:line="320" w:lineRule="exact"/>
              <w:ind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color w:val="auto"/>
                <w:sz w:val="21"/>
                <w:szCs w:val="21"/>
                <w:u w:val="none" w:color="auto"/>
              </w:rPr>
              <w:t>/</w:t>
            </w:r>
          </w:p>
        </w:tc>
      </w:tr>
    </w:tbl>
    <w:p w14:paraId="4292F9D6">
      <w:pPr>
        <w:pStyle w:val="42"/>
        <w:spacing w:before="192" w:beforeLines="80" w:after="24" w:line="240" w:lineRule="auto"/>
        <w:ind w:left="480" w:hanging="480"/>
        <w:jc w:val="left"/>
        <w:rPr>
          <w:rFonts w:hAnsi="宋体" w:eastAsia="黑体"/>
          <w:color w:val="auto"/>
          <w:u w:val="none" w:color="auto"/>
        </w:rPr>
      </w:pPr>
      <w:r>
        <w:rPr>
          <w:rFonts w:hAnsi="宋体"/>
          <w:snapToGrid w:val="0"/>
          <w:color w:val="auto"/>
          <w:kern w:val="21"/>
          <w:szCs w:val="21"/>
          <w:u w:val="none" w:color="auto"/>
        </w:rPr>
        <w:t>注：</w:t>
      </w:r>
      <w:r>
        <w:rPr>
          <w:rFonts w:hAnsi="宋体"/>
          <w:snapToGrid w:val="0"/>
          <w:color w:val="auto"/>
          <w:spacing w:val="-16"/>
          <w:kern w:val="21"/>
          <w:szCs w:val="21"/>
          <w:u w:val="none" w:color="auto"/>
        </w:rPr>
        <w:fldChar w:fldCharType="begin"/>
      </w:r>
      <w:r>
        <w:rPr>
          <w:rFonts w:hAnsi="宋体"/>
          <w:snapToGrid w:val="0"/>
          <w:color w:val="auto"/>
          <w:spacing w:val="-16"/>
          <w:kern w:val="21"/>
          <w:szCs w:val="21"/>
          <w:u w:val="none" w:color="auto"/>
        </w:rPr>
        <w:instrText xml:space="preserve"> = 6 \* GB3 \* MERGEFORMAT </w:instrText>
      </w:r>
      <w:r>
        <w:rPr>
          <w:rFonts w:hAnsi="宋体"/>
          <w:snapToGrid w:val="0"/>
          <w:color w:val="auto"/>
          <w:spacing w:val="-16"/>
          <w:kern w:val="21"/>
          <w:szCs w:val="21"/>
          <w:u w:val="none" w:color="auto"/>
        </w:rPr>
        <w:fldChar w:fldCharType="separate"/>
      </w:r>
      <w:r>
        <w:rPr>
          <w:rFonts w:hint="eastAsia" w:hAnsi="宋体"/>
          <w:color w:val="auto"/>
          <w:szCs w:val="21"/>
          <w:u w:val="none" w:color="auto"/>
        </w:rPr>
        <w:t>⑥</w:t>
      </w:r>
      <w:r>
        <w:rPr>
          <w:rFonts w:hAnsi="宋体"/>
          <w:snapToGrid w:val="0"/>
          <w:color w:val="auto"/>
          <w:spacing w:val="-16"/>
          <w:kern w:val="21"/>
          <w:szCs w:val="21"/>
          <w:u w:val="none" w:color="auto"/>
        </w:rPr>
        <w:fldChar w:fldCharType="end"/>
      </w:r>
      <w:r>
        <w:rPr>
          <w:rFonts w:hAnsi="宋体"/>
          <w:snapToGrid w:val="0"/>
          <w:color w:val="auto"/>
          <w:spacing w:val="-16"/>
          <w:kern w:val="21"/>
          <w:szCs w:val="21"/>
          <w:u w:val="none" w:color="auto"/>
        </w:rPr>
        <w:t>=</w:t>
      </w:r>
      <w:r>
        <w:rPr>
          <w:rFonts w:hAnsi="宋体"/>
          <w:snapToGrid w:val="0"/>
          <w:color w:val="auto"/>
          <w:spacing w:val="-6"/>
          <w:kern w:val="21"/>
          <w:szCs w:val="21"/>
          <w:u w:val="none" w:color="auto"/>
        </w:rPr>
        <w:fldChar w:fldCharType="begin"/>
      </w:r>
      <w:r>
        <w:rPr>
          <w:rFonts w:hAnsi="宋体"/>
          <w:snapToGrid w:val="0"/>
          <w:color w:val="auto"/>
          <w:spacing w:val="-6"/>
          <w:kern w:val="21"/>
          <w:szCs w:val="21"/>
          <w:u w:val="none" w:color="auto"/>
        </w:rPr>
        <w:instrText xml:space="preserve"> = 1 \* GB3 \* MERGEFORMAT </w:instrText>
      </w:r>
      <w:r>
        <w:rPr>
          <w:rFonts w:hAnsi="宋体"/>
          <w:snapToGrid w:val="0"/>
          <w:color w:val="auto"/>
          <w:spacing w:val="-6"/>
          <w:kern w:val="21"/>
          <w:szCs w:val="21"/>
          <w:u w:val="none" w:color="auto"/>
        </w:rPr>
        <w:fldChar w:fldCharType="separate"/>
      </w:r>
      <w:r>
        <w:rPr>
          <w:rFonts w:hint="eastAsia" w:hAnsi="宋体"/>
          <w:color w:val="auto"/>
          <w:szCs w:val="21"/>
          <w:u w:val="none" w:color="auto"/>
        </w:rPr>
        <w:t>①</w:t>
      </w:r>
      <w:r>
        <w:rPr>
          <w:rFonts w:hAnsi="宋体"/>
          <w:snapToGrid w:val="0"/>
          <w:color w:val="auto"/>
          <w:spacing w:val="-6"/>
          <w:kern w:val="21"/>
          <w:szCs w:val="21"/>
          <w:u w:val="none" w:color="auto"/>
        </w:rPr>
        <w:fldChar w:fldCharType="end"/>
      </w:r>
      <w:r>
        <w:rPr>
          <w:rFonts w:hAnsi="宋体"/>
          <w:snapToGrid w:val="0"/>
          <w:color w:val="auto"/>
          <w:spacing w:val="-6"/>
          <w:kern w:val="21"/>
          <w:szCs w:val="21"/>
          <w:u w:val="none" w:color="auto"/>
        </w:rPr>
        <w:t>+</w:t>
      </w:r>
      <w:r>
        <w:rPr>
          <w:rFonts w:hAnsi="宋体"/>
          <w:snapToGrid w:val="0"/>
          <w:color w:val="auto"/>
          <w:spacing w:val="-6"/>
          <w:kern w:val="21"/>
          <w:szCs w:val="21"/>
          <w:u w:val="none" w:color="auto"/>
        </w:rPr>
        <w:fldChar w:fldCharType="begin"/>
      </w:r>
      <w:r>
        <w:rPr>
          <w:rFonts w:hAnsi="宋体"/>
          <w:snapToGrid w:val="0"/>
          <w:color w:val="auto"/>
          <w:spacing w:val="-6"/>
          <w:kern w:val="21"/>
          <w:szCs w:val="21"/>
          <w:u w:val="none" w:color="auto"/>
        </w:rPr>
        <w:instrText xml:space="preserve"> = 3 \* GB3 \* MERGEFORMAT </w:instrText>
      </w:r>
      <w:r>
        <w:rPr>
          <w:rFonts w:hAnsi="宋体"/>
          <w:snapToGrid w:val="0"/>
          <w:color w:val="auto"/>
          <w:spacing w:val="-6"/>
          <w:kern w:val="21"/>
          <w:szCs w:val="21"/>
          <w:u w:val="none" w:color="auto"/>
        </w:rPr>
        <w:fldChar w:fldCharType="separate"/>
      </w:r>
      <w:r>
        <w:rPr>
          <w:rFonts w:hint="eastAsia" w:hAnsi="宋体"/>
          <w:color w:val="auto"/>
          <w:szCs w:val="21"/>
          <w:u w:val="none" w:color="auto"/>
        </w:rPr>
        <w:t>③</w:t>
      </w:r>
      <w:r>
        <w:rPr>
          <w:rFonts w:hAnsi="宋体"/>
          <w:snapToGrid w:val="0"/>
          <w:color w:val="auto"/>
          <w:spacing w:val="-6"/>
          <w:kern w:val="21"/>
          <w:szCs w:val="21"/>
          <w:u w:val="none" w:color="auto"/>
        </w:rPr>
        <w:fldChar w:fldCharType="end"/>
      </w:r>
      <w:r>
        <w:rPr>
          <w:rFonts w:hAnsi="宋体"/>
          <w:snapToGrid w:val="0"/>
          <w:color w:val="auto"/>
          <w:spacing w:val="-6"/>
          <w:kern w:val="21"/>
          <w:szCs w:val="21"/>
          <w:u w:val="none" w:color="auto"/>
        </w:rPr>
        <w:t>+</w:t>
      </w:r>
      <w:r>
        <w:rPr>
          <w:rFonts w:hAnsi="宋体"/>
          <w:snapToGrid w:val="0"/>
          <w:color w:val="auto"/>
          <w:spacing w:val="-6"/>
          <w:kern w:val="21"/>
          <w:szCs w:val="21"/>
          <w:u w:val="none" w:color="auto"/>
        </w:rPr>
        <w:fldChar w:fldCharType="begin"/>
      </w:r>
      <w:r>
        <w:rPr>
          <w:rFonts w:hAnsi="宋体"/>
          <w:snapToGrid w:val="0"/>
          <w:color w:val="auto"/>
          <w:spacing w:val="-6"/>
          <w:kern w:val="21"/>
          <w:szCs w:val="21"/>
          <w:u w:val="none" w:color="auto"/>
        </w:rPr>
        <w:instrText xml:space="preserve"> = 4 \* GB3 \* MERGEFORMAT </w:instrText>
      </w:r>
      <w:r>
        <w:rPr>
          <w:rFonts w:hAnsi="宋体"/>
          <w:snapToGrid w:val="0"/>
          <w:color w:val="auto"/>
          <w:spacing w:val="-6"/>
          <w:kern w:val="21"/>
          <w:szCs w:val="21"/>
          <w:u w:val="none" w:color="auto"/>
        </w:rPr>
        <w:fldChar w:fldCharType="separate"/>
      </w:r>
      <w:r>
        <w:rPr>
          <w:rFonts w:hint="eastAsia" w:hAnsi="宋体"/>
          <w:color w:val="auto"/>
          <w:szCs w:val="21"/>
          <w:u w:val="none" w:color="auto"/>
        </w:rPr>
        <w:t>④</w:t>
      </w:r>
      <w:r>
        <w:rPr>
          <w:rFonts w:hAnsi="宋体"/>
          <w:snapToGrid w:val="0"/>
          <w:color w:val="auto"/>
          <w:spacing w:val="-6"/>
          <w:kern w:val="21"/>
          <w:szCs w:val="21"/>
          <w:u w:val="none" w:color="auto"/>
        </w:rPr>
        <w:fldChar w:fldCharType="end"/>
      </w:r>
      <w:r>
        <w:rPr>
          <w:rFonts w:hAnsi="宋体"/>
          <w:snapToGrid w:val="0"/>
          <w:color w:val="auto"/>
          <w:spacing w:val="-6"/>
          <w:kern w:val="21"/>
          <w:szCs w:val="21"/>
          <w:u w:val="none" w:color="auto"/>
        </w:rPr>
        <w:t>-</w:t>
      </w:r>
      <w:r>
        <w:rPr>
          <w:rFonts w:hAnsi="宋体"/>
          <w:snapToGrid w:val="0"/>
          <w:color w:val="auto"/>
          <w:spacing w:val="-16"/>
          <w:kern w:val="21"/>
          <w:szCs w:val="21"/>
          <w:u w:val="none" w:color="auto"/>
        </w:rPr>
        <w:fldChar w:fldCharType="begin"/>
      </w:r>
      <w:r>
        <w:rPr>
          <w:rFonts w:hAnsi="宋体"/>
          <w:snapToGrid w:val="0"/>
          <w:color w:val="auto"/>
          <w:spacing w:val="-16"/>
          <w:kern w:val="21"/>
          <w:szCs w:val="21"/>
          <w:u w:val="none" w:color="auto"/>
        </w:rPr>
        <w:instrText xml:space="preserve"> = 5 \* GB3 \* MERGEFORMAT </w:instrText>
      </w:r>
      <w:r>
        <w:rPr>
          <w:rFonts w:hAnsi="宋体"/>
          <w:snapToGrid w:val="0"/>
          <w:color w:val="auto"/>
          <w:spacing w:val="-16"/>
          <w:kern w:val="21"/>
          <w:szCs w:val="21"/>
          <w:u w:val="none" w:color="auto"/>
        </w:rPr>
        <w:fldChar w:fldCharType="separate"/>
      </w:r>
      <w:r>
        <w:rPr>
          <w:rFonts w:hint="eastAsia" w:hAnsi="宋体"/>
          <w:color w:val="auto"/>
          <w:szCs w:val="21"/>
          <w:u w:val="none" w:color="auto"/>
        </w:rPr>
        <w:t>⑤</w:t>
      </w:r>
      <w:r>
        <w:rPr>
          <w:rFonts w:hAnsi="宋体"/>
          <w:snapToGrid w:val="0"/>
          <w:color w:val="auto"/>
          <w:spacing w:val="-16"/>
          <w:kern w:val="21"/>
          <w:szCs w:val="21"/>
          <w:u w:val="none" w:color="auto"/>
        </w:rPr>
        <w:fldChar w:fldCharType="end"/>
      </w:r>
      <w:r>
        <w:rPr>
          <w:rFonts w:hAnsi="宋体"/>
          <w:snapToGrid w:val="0"/>
          <w:color w:val="auto"/>
          <w:spacing w:val="-16"/>
          <w:kern w:val="21"/>
          <w:szCs w:val="21"/>
          <w:u w:val="none" w:color="auto"/>
        </w:rPr>
        <w:t>；</w:t>
      </w:r>
      <w:r>
        <w:rPr>
          <w:rFonts w:hAnsi="宋体"/>
          <w:snapToGrid w:val="0"/>
          <w:color w:val="auto"/>
          <w:spacing w:val="-6"/>
          <w:kern w:val="21"/>
          <w:szCs w:val="21"/>
          <w:u w:val="none" w:color="auto"/>
        </w:rPr>
        <w:fldChar w:fldCharType="begin"/>
      </w:r>
      <w:r>
        <w:rPr>
          <w:rFonts w:hAnsi="宋体"/>
          <w:snapToGrid w:val="0"/>
          <w:color w:val="auto"/>
          <w:spacing w:val="-6"/>
          <w:kern w:val="21"/>
          <w:szCs w:val="21"/>
          <w:u w:val="none" w:color="auto"/>
        </w:rPr>
        <w:instrText xml:space="preserve"> = 7 \* GB3 \* MERGEFORMAT </w:instrText>
      </w:r>
      <w:r>
        <w:rPr>
          <w:rFonts w:hAnsi="宋体"/>
          <w:snapToGrid w:val="0"/>
          <w:color w:val="auto"/>
          <w:spacing w:val="-6"/>
          <w:kern w:val="21"/>
          <w:szCs w:val="21"/>
          <w:u w:val="none" w:color="auto"/>
        </w:rPr>
        <w:fldChar w:fldCharType="separate"/>
      </w:r>
      <w:r>
        <w:rPr>
          <w:rFonts w:hint="eastAsia" w:hAnsi="宋体"/>
          <w:color w:val="auto"/>
          <w:szCs w:val="21"/>
          <w:u w:val="none" w:color="auto"/>
        </w:rPr>
        <w:t>⑦</w:t>
      </w:r>
      <w:r>
        <w:rPr>
          <w:rFonts w:hAnsi="宋体"/>
          <w:snapToGrid w:val="0"/>
          <w:color w:val="auto"/>
          <w:spacing w:val="-6"/>
          <w:kern w:val="21"/>
          <w:szCs w:val="21"/>
          <w:u w:val="none" w:color="auto"/>
        </w:rPr>
        <w:fldChar w:fldCharType="end"/>
      </w:r>
      <w:r>
        <w:rPr>
          <w:rFonts w:hAnsi="宋体"/>
          <w:snapToGrid w:val="0"/>
          <w:color w:val="auto"/>
          <w:spacing w:val="-6"/>
          <w:kern w:val="21"/>
          <w:szCs w:val="21"/>
          <w:u w:val="none" w:color="auto"/>
        </w:rPr>
        <w:t>=</w:t>
      </w:r>
      <w:r>
        <w:rPr>
          <w:rFonts w:hAnsi="宋体"/>
          <w:snapToGrid w:val="0"/>
          <w:color w:val="auto"/>
          <w:spacing w:val="-16"/>
          <w:kern w:val="21"/>
          <w:szCs w:val="21"/>
          <w:u w:val="none" w:color="auto"/>
        </w:rPr>
        <w:fldChar w:fldCharType="begin"/>
      </w:r>
      <w:r>
        <w:rPr>
          <w:rFonts w:hAnsi="宋体"/>
          <w:snapToGrid w:val="0"/>
          <w:color w:val="auto"/>
          <w:spacing w:val="-16"/>
          <w:kern w:val="21"/>
          <w:szCs w:val="21"/>
          <w:u w:val="none" w:color="auto"/>
        </w:rPr>
        <w:instrText xml:space="preserve"> = 6 \* GB3 \* MERGEFORMAT </w:instrText>
      </w:r>
      <w:r>
        <w:rPr>
          <w:rFonts w:hAnsi="宋体"/>
          <w:snapToGrid w:val="0"/>
          <w:color w:val="auto"/>
          <w:spacing w:val="-16"/>
          <w:kern w:val="21"/>
          <w:szCs w:val="21"/>
          <w:u w:val="none" w:color="auto"/>
        </w:rPr>
        <w:fldChar w:fldCharType="separate"/>
      </w:r>
      <w:r>
        <w:rPr>
          <w:rFonts w:hint="eastAsia" w:hAnsi="宋体"/>
          <w:color w:val="auto"/>
          <w:szCs w:val="21"/>
          <w:u w:val="none" w:color="auto"/>
        </w:rPr>
        <w:t>⑥</w:t>
      </w:r>
      <w:r>
        <w:rPr>
          <w:rFonts w:hAnsi="宋体"/>
          <w:snapToGrid w:val="0"/>
          <w:color w:val="auto"/>
          <w:spacing w:val="-16"/>
          <w:kern w:val="21"/>
          <w:szCs w:val="21"/>
          <w:u w:val="none" w:color="auto"/>
        </w:rPr>
        <w:fldChar w:fldCharType="end"/>
      </w:r>
      <w:r>
        <w:rPr>
          <w:rFonts w:hAnsi="宋体"/>
          <w:snapToGrid w:val="0"/>
          <w:color w:val="auto"/>
          <w:spacing w:val="-16"/>
          <w:kern w:val="21"/>
          <w:szCs w:val="21"/>
          <w:u w:val="none" w:color="auto"/>
        </w:rPr>
        <w:t>-</w:t>
      </w:r>
      <w:r>
        <w:rPr>
          <w:rFonts w:hAnsi="宋体"/>
          <w:snapToGrid w:val="0"/>
          <w:color w:val="auto"/>
          <w:spacing w:val="-6"/>
          <w:kern w:val="21"/>
          <w:szCs w:val="21"/>
          <w:u w:val="none" w:color="auto"/>
        </w:rPr>
        <w:fldChar w:fldCharType="begin"/>
      </w:r>
      <w:r>
        <w:rPr>
          <w:rFonts w:hAnsi="宋体"/>
          <w:snapToGrid w:val="0"/>
          <w:color w:val="auto"/>
          <w:spacing w:val="-6"/>
          <w:kern w:val="21"/>
          <w:szCs w:val="21"/>
          <w:u w:val="none" w:color="auto"/>
        </w:rPr>
        <w:instrText xml:space="preserve"> = 1 \* GB3 \* MERGEFORMAT </w:instrText>
      </w:r>
      <w:r>
        <w:rPr>
          <w:rFonts w:hAnsi="宋体"/>
          <w:snapToGrid w:val="0"/>
          <w:color w:val="auto"/>
          <w:spacing w:val="-6"/>
          <w:kern w:val="21"/>
          <w:szCs w:val="21"/>
          <w:u w:val="none" w:color="auto"/>
        </w:rPr>
        <w:fldChar w:fldCharType="separate"/>
      </w:r>
      <w:r>
        <w:rPr>
          <w:rFonts w:hint="eastAsia" w:hAnsi="宋体"/>
          <w:color w:val="auto"/>
          <w:szCs w:val="21"/>
          <w:u w:val="none" w:color="auto"/>
        </w:rPr>
        <w:t>①</w:t>
      </w:r>
      <w:r>
        <w:rPr>
          <w:rFonts w:hAnsi="宋体"/>
          <w:snapToGrid w:val="0"/>
          <w:color w:val="auto"/>
          <w:spacing w:val="-6"/>
          <w:kern w:val="21"/>
          <w:szCs w:val="21"/>
          <w:u w:val="none" w:color="auto"/>
        </w:rPr>
        <w:fldChar w:fldCharType="end"/>
      </w:r>
    </w:p>
    <w:sectPr>
      <w:footerReference r:id="rId8"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仿宋_GB2312">
    <w:panose1 w:val="02010609030101010101"/>
    <w:charset w:val="86"/>
    <w:family w:val="modern"/>
    <w:pitch w:val="default"/>
    <w:sig w:usb0="00000001" w:usb1="080E0000" w:usb2="00000000" w:usb3="00000000" w:csb0="00040000" w:csb1="00000000"/>
  </w:font>
  <w:font w:name="方正小标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26678">
    <w:pPr>
      <w:pStyle w:val="2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28C6A">
    <w:pPr>
      <w:pStyle w:val="20"/>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489BC">
    <w:pPr>
      <w:pStyle w:val="20"/>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posOffset>2656205</wp:posOffset>
              </wp:positionH>
              <wp:positionV relativeFrom="paragraph">
                <wp:posOffset>-27305</wp:posOffset>
              </wp:positionV>
              <wp:extent cx="294640" cy="224155"/>
              <wp:effectExtent l="0" t="0" r="0" b="0"/>
              <wp:wrapNone/>
              <wp:docPr id="4" name="文本框 2053"/>
              <wp:cNvGraphicFramePr/>
              <a:graphic xmlns:a="http://schemas.openxmlformats.org/drawingml/2006/main">
                <a:graphicData uri="http://schemas.microsoft.com/office/word/2010/wordprocessingShape">
                  <wps:wsp>
                    <wps:cNvSpPr txBox="1"/>
                    <wps:spPr>
                      <a:xfrm>
                        <a:off x="0" y="0"/>
                        <a:ext cx="294640" cy="224155"/>
                      </a:xfrm>
                      <a:prstGeom prst="rect">
                        <a:avLst/>
                      </a:prstGeom>
                      <a:noFill/>
                      <a:ln>
                        <a:noFill/>
                      </a:ln>
                    </wps:spPr>
                    <wps:txbx>
                      <w:txbxContent>
                        <w:p w14:paraId="57CE160B">
                          <w:pPr>
                            <w:pStyle w:val="20"/>
                            <w:spacing w:line="240" w:lineRule="auto"/>
                            <w:ind w:left="0" w:leftChars="0" w:firstLine="0" w:firstLineChars="0"/>
                            <w:jc w:val="center"/>
                            <w:rPr>
                              <w:rFonts w:hint="eastAsia"/>
                            </w:rPr>
                          </w:pPr>
                          <w:r>
                            <w:rPr>
                              <w:rFonts w:hint="eastAsia"/>
                            </w:rPr>
                            <w:fldChar w:fldCharType="begin"/>
                          </w:r>
                          <w:r>
                            <w:rPr>
                              <w:rFonts w:hint="eastAsia"/>
                            </w:rPr>
                            <w:instrText xml:space="preserve"> PAGE  \* MERGEFORMAT </w:instrText>
                          </w:r>
                          <w:r>
                            <w:rPr>
                              <w:rFonts w:hint="eastAsia"/>
                            </w:rPr>
                            <w:fldChar w:fldCharType="separate"/>
                          </w:r>
                          <w:r>
                            <w:t>54</w:t>
                          </w:r>
                          <w:r>
                            <w:rPr>
                              <w:rFonts w:hint="eastAsia"/>
                            </w:rPr>
                            <w:fldChar w:fldCharType="end"/>
                          </w:r>
                        </w:p>
                      </w:txbxContent>
                    </wps:txbx>
                    <wps:bodyPr wrap="square" lIns="0" tIns="0" rIns="0" bIns="0" upright="0">
                      <a:noAutofit/>
                    </wps:bodyPr>
                  </wps:wsp>
                </a:graphicData>
              </a:graphic>
            </wp:anchor>
          </w:drawing>
        </mc:Choice>
        <mc:Fallback>
          <w:pict>
            <v:shape id="文本框 2053" o:spid="_x0000_s1026" o:spt="202" type="#_x0000_t202" style="position:absolute;left:0pt;margin-left:209.15pt;margin-top:-2.15pt;height:17.65pt;width:23.2pt;mso-position-horizontal-relative:margin;z-index:251661312;mso-width-relative:page;mso-height-relative:page;" filled="f" stroked="f" coordsize="21600,21600" o:gfxdata="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2x0R9kAAAAJAQAADwAAAAAAAAABACAAAAAi&#10;AAAAZHJzL2Rvd25yZXYueG1sUEsBAhQAFAAAAAgAh07iQAL6KFnQAQAAnAMAAA4AAAAAAAAAAQAg&#10;AAAAKAEAAGRycy9lMm9Eb2MueG1sUEsFBgAAAAAGAAYAWQEAAGoFAAAAAA==&#10;">
              <v:fill on="f" focussize="0,0"/>
              <v:stroke on="f"/>
              <v:imagedata o:title=""/>
              <o:lock v:ext="edit" aspectratio="f"/>
              <v:textbox inset="0mm,0mm,0mm,0mm">
                <w:txbxContent>
                  <w:p w14:paraId="57CE160B">
                    <w:pPr>
                      <w:pStyle w:val="20"/>
                      <w:spacing w:line="240" w:lineRule="auto"/>
                      <w:ind w:left="0" w:leftChars="0" w:firstLine="0" w:firstLineChars="0"/>
                      <w:jc w:val="center"/>
                      <w:rPr>
                        <w:rFonts w:hint="eastAsia"/>
                      </w:rPr>
                    </w:pPr>
                    <w:r>
                      <w:rPr>
                        <w:rFonts w:hint="eastAsia"/>
                      </w:rPr>
                      <w:fldChar w:fldCharType="begin"/>
                    </w:r>
                    <w:r>
                      <w:rPr>
                        <w:rFonts w:hint="eastAsia"/>
                      </w:rPr>
                      <w:instrText xml:space="preserve"> PAGE  \* MERGEFORMAT </w:instrText>
                    </w:r>
                    <w:r>
                      <w:rPr>
                        <w:rFonts w:hint="eastAsia"/>
                      </w:rPr>
                      <w:fldChar w:fldCharType="separate"/>
                    </w:r>
                    <w:r>
                      <w:t>54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61AE5C">
    <w:pPr>
      <w:pStyle w:val="20"/>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20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3497E83">
                          <w:pPr>
                            <w:pStyle w:val="20"/>
                            <w:ind w:firstLine="360"/>
                            <w:rPr>
                              <w:rFonts w:hint="eastAsia"/>
                            </w:rPr>
                          </w:pPr>
                          <w:r>
                            <w:rPr>
                              <w:rFonts w:hint="eastAsia"/>
                            </w:rPr>
                            <w:fldChar w:fldCharType="begin"/>
                          </w:r>
                          <w:r>
                            <w:rPr>
                              <w:rFonts w:hint="eastAsia"/>
                            </w:rPr>
                            <w:instrText xml:space="preserve"> PAGE  \* MERGEFORMAT </w:instrText>
                          </w:r>
                          <w:r>
                            <w:rPr>
                              <w:rFonts w:hint="eastAsia"/>
                            </w:rPr>
                            <w:fldChar w:fldCharType="separate"/>
                          </w:r>
                          <w:r>
                            <w:t>56</w:t>
                          </w:r>
                          <w:r>
                            <w:rPr>
                              <w:rFonts w:hint="eastAsia"/>
                            </w:rPr>
                            <w:fldChar w:fldCharType="end"/>
                          </w:r>
                        </w:p>
                      </w:txbxContent>
                    </wps:txbx>
                    <wps:bodyPr wrap="none" lIns="0" tIns="0" rIns="0" bIns="0" upright="0">
                      <a:spAutoFit/>
                    </wps:bodyPr>
                  </wps:wsp>
                </a:graphicData>
              </a:graphic>
            </wp:anchor>
          </w:drawing>
        </mc:Choice>
        <mc:Fallback>
          <w:pict>
            <v:shape id="文本框 205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D60tp3LAQAAnQMAAA4AAAAAAAAAAQAgAAAAHgEAAGRycy9lMm9E&#10;b2MueG1sUEsFBgAAAAAGAAYAWQEAAFsFAAAAAA==&#10;">
              <v:fill on="f" focussize="0,0"/>
              <v:stroke on="f"/>
              <v:imagedata o:title=""/>
              <o:lock v:ext="edit" aspectratio="f"/>
              <v:textbox inset="0mm,0mm,0mm,0mm" style="mso-fit-shape-to-text:t;">
                <w:txbxContent>
                  <w:p w14:paraId="43497E83">
                    <w:pPr>
                      <w:pStyle w:val="20"/>
                      <w:ind w:firstLine="360"/>
                      <w:rPr>
                        <w:rFonts w:hint="eastAsia"/>
                      </w:rPr>
                    </w:pPr>
                    <w:r>
                      <w:rPr>
                        <w:rFonts w:hint="eastAsia"/>
                      </w:rPr>
                      <w:fldChar w:fldCharType="begin"/>
                    </w:r>
                    <w:r>
                      <w:rPr>
                        <w:rFonts w:hint="eastAsia"/>
                      </w:rPr>
                      <w:instrText xml:space="preserve"> PAGE  \* MERGEFORMAT </w:instrText>
                    </w:r>
                    <w:r>
                      <w:rPr>
                        <w:rFonts w:hint="eastAsia"/>
                      </w:rPr>
                      <w:fldChar w:fldCharType="separate"/>
                    </w:r>
                    <w:r>
                      <w:t>56</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369544"/>
    <w:multiLevelType w:val="multilevel"/>
    <w:tmpl w:val="5F369544"/>
    <w:lvl w:ilvl="0" w:tentative="0">
      <w:start w:val="1"/>
      <w:numFmt w:val="decimal"/>
      <w:lvlText w:val="%1."/>
      <w:lvlJc w:val="left"/>
      <w:pPr>
        <w:ind w:left="432" w:hanging="432"/>
      </w:pPr>
      <w:rPr>
        <w:rFonts w:hint="default"/>
      </w:rPr>
    </w:lvl>
    <w:lvl w:ilvl="1" w:tentative="0">
      <w:start w:val="1"/>
      <w:numFmt w:val="decimal"/>
      <w:pStyle w:val="5"/>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pStyle w:val="7"/>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
    <w:nsid w:val="6488602C"/>
    <w:multiLevelType w:val="singleLevel"/>
    <w:tmpl w:val="6488602C"/>
    <w:lvl w:ilvl="0" w:tentative="0">
      <w:start w:val="2"/>
      <w:numFmt w:val="chineseCounting"/>
      <w:suff w:val="nothing"/>
      <w:lvlText w:val="（%1）"/>
      <w:lvlJc w:val="left"/>
      <w:rPr>
        <w:rFonts w:hint="eastAsia"/>
      </w:rPr>
    </w:lvl>
  </w:abstractNum>
  <w:abstractNum w:abstractNumId="2">
    <w:nsid w:val="6C9FB733"/>
    <w:multiLevelType w:val="multilevel"/>
    <w:tmpl w:val="6C9FB733"/>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pStyle w:val="6"/>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Q1OGY0N2YyZGRiMmE1YWE0YjI0NTk3YzQ3YzFhZGYifQ=="/>
  </w:docVars>
  <w:rsids>
    <w:rsidRoot w:val="00A14947"/>
    <w:rsid w:val="000060B3"/>
    <w:rsid w:val="000115E6"/>
    <w:rsid w:val="0004364B"/>
    <w:rsid w:val="00061B1F"/>
    <w:rsid w:val="00061F10"/>
    <w:rsid w:val="000733C4"/>
    <w:rsid w:val="00073FC8"/>
    <w:rsid w:val="00074783"/>
    <w:rsid w:val="0008070B"/>
    <w:rsid w:val="000810AC"/>
    <w:rsid w:val="00081A02"/>
    <w:rsid w:val="00082231"/>
    <w:rsid w:val="00092D38"/>
    <w:rsid w:val="0009377B"/>
    <w:rsid w:val="000A20C9"/>
    <w:rsid w:val="000A5661"/>
    <w:rsid w:val="000B058F"/>
    <w:rsid w:val="000B4467"/>
    <w:rsid w:val="000B4DB9"/>
    <w:rsid w:val="000C09AC"/>
    <w:rsid w:val="000C767F"/>
    <w:rsid w:val="000D5A44"/>
    <w:rsid w:val="000E3ED2"/>
    <w:rsid w:val="00106C2C"/>
    <w:rsid w:val="00131F42"/>
    <w:rsid w:val="001357F1"/>
    <w:rsid w:val="00140FA8"/>
    <w:rsid w:val="00142FEB"/>
    <w:rsid w:val="00143A2D"/>
    <w:rsid w:val="00145A41"/>
    <w:rsid w:val="00151675"/>
    <w:rsid w:val="00153C29"/>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00E43"/>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041"/>
    <w:rsid w:val="002B7B00"/>
    <w:rsid w:val="002B7C44"/>
    <w:rsid w:val="002C1295"/>
    <w:rsid w:val="002C2B17"/>
    <w:rsid w:val="002C53A1"/>
    <w:rsid w:val="002D3DD0"/>
    <w:rsid w:val="002D5419"/>
    <w:rsid w:val="002D7985"/>
    <w:rsid w:val="002E1F3A"/>
    <w:rsid w:val="002E298A"/>
    <w:rsid w:val="00301978"/>
    <w:rsid w:val="0030332C"/>
    <w:rsid w:val="003051C2"/>
    <w:rsid w:val="003078DD"/>
    <w:rsid w:val="00312296"/>
    <w:rsid w:val="00314F0E"/>
    <w:rsid w:val="00321D8E"/>
    <w:rsid w:val="003225E0"/>
    <w:rsid w:val="00325928"/>
    <w:rsid w:val="00332863"/>
    <w:rsid w:val="0033684D"/>
    <w:rsid w:val="00337B42"/>
    <w:rsid w:val="00341B42"/>
    <w:rsid w:val="0034348F"/>
    <w:rsid w:val="0035408E"/>
    <w:rsid w:val="00356653"/>
    <w:rsid w:val="0035743F"/>
    <w:rsid w:val="00357BE2"/>
    <w:rsid w:val="0036170C"/>
    <w:rsid w:val="00363DBD"/>
    <w:rsid w:val="00366E0F"/>
    <w:rsid w:val="00381040"/>
    <w:rsid w:val="00381A72"/>
    <w:rsid w:val="00384676"/>
    <w:rsid w:val="00390857"/>
    <w:rsid w:val="003A4BF3"/>
    <w:rsid w:val="003B420D"/>
    <w:rsid w:val="003B54E7"/>
    <w:rsid w:val="003C6101"/>
    <w:rsid w:val="003C6C16"/>
    <w:rsid w:val="003C7ADD"/>
    <w:rsid w:val="003D794D"/>
    <w:rsid w:val="003E3058"/>
    <w:rsid w:val="003E76A9"/>
    <w:rsid w:val="003F0809"/>
    <w:rsid w:val="003F6A8C"/>
    <w:rsid w:val="003F755C"/>
    <w:rsid w:val="00406F01"/>
    <w:rsid w:val="0041062C"/>
    <w:rsid w:val="00415D36"/>
    <w:rsid w:val="00416362"/>
    <w:rsid w:val="00416D50"/>
    <w:rsid w:val="00416FD5"/>
    <w:rsid w:val="00417772"/>
    <w:rsid w:val="00420E6A"/>
    <w:rsid w:val="00425A9E"/>
    <w:rsid w:val="00426D6B"/>
    <w:rsid w:val="00426E10"/>
    <w:rsid w:val="00431E6C"/>
    <w:rsid w:val="00433CE7"/>
    <w:rsid w:val="00452738"/>
    <w:rsid w:val="00456091"/>
    <w:rsid w:val="00466321"/>
    <w:rsid w:val="004813F2"/>
    <w:rsid w:val="00484B9B"/>
    <w:rsid w:val="004855F6"/>
    <w:rsid w:val="0048661E"/>
    <w:rsid w:val="00494670"/>
    <w:rsid w:val="004A3823"/>
    <w:rsid w:val="004E6946"/>
    <w:rsid w:val="004F1AD8"/>
    <w:rsid w:val="005039CB"/>
    <w:rsid w:val="0050558F"/>
    <w:rsid w:val="00506286"/>
    <w:rsid w:val="005067AF"/>
    <w:rsid w:val="00510813"/>
    <w:rsid w:val="00511990"/>
    <w:rsid w:val="00511DE0"/>
    <w:rsid w:val="00514870"/>
    <w:rsid w:val="00514B9B"/>
    <w:rsid w:val="00517F02"/>
    <w:rsid w:val="00524303"/>
    <w:rsid w:val="005258A2"/>
    <w:rsid w:val="005401AE"/>
    <w:rsid w:val="00542E07"/>
    <w:rsid w:val="00545424"/>
    <w:rsid w:val="005462C5"/>
    <w:rsid w:val="00554A7B"/>
    <w:rsid w:val="0055572C"/>
    <w:rsid w:val="0056106A"/>
    <w:rsid w:val="005720AE"/>
    <w:rsid w:val="00594D77"/>
    <w:rsid w:val="005969E4"/>
    <w:rsid w:val="005A06B7"/>
    <w:rsid w:val="005A1759"/>
    <w:rsid w:val="005A68A7"/>
    <w:rsid w:val="005D36AB"/>
    <w:rsid w:val="005E15F9"/>
    <w:rsid w:val="005F2B24"/>
    <w:rsid w:val="00617CC3"/>
    <w:rsid w:val="006377A6"/>
    <w:rsid w:val="00637A3D"/>
    <w:rsid w:val="006411EF"/>
    <w:rsid w:val="006748B8"/>
    <w:rsid w:val="006775C3"/>
    <w:rsid w:val="0069290A"/>
    <w:rsid w:val="0069775A"/>
    <w:rsid w:val="00697813"/>
    <w:rsid w:val="006A3EE8"/>
    <w:rsid w:val="006A72BF"/>
    <w:rsid w:val="006B03F2"/>
    <w:rsid w:val="006B37DC"/>
    <w:rsid w:val="006B4939"/>
    <w:rsid w:val="006B4F68"/>
    <w:rsid w:val="006C0592"/>
    <w:rsid w:val="006C272E"/>
    <w:rsid w:val="006C4015"/>
    <w:rsid w:val="006C5479"/>
    <w:rsid w:val="006D13B5"/>
    <w:rsid w:val="006E12FF"/>
    <w:rsid w:val="006E607E"/>
    <w:rsid w:val="00706C5D"/>
    <w:rsid w:val="007077A0"/>
    <w:rsid w:val="00732922"/>
    <w:rsid w:val="0075162E"/>
    <w:rsid w:val="00754034"/>
    <w:rsid w:val="00756556"/>
    <w:rsid w:val="007618C4"/>
    <w:rsid w:val="00767980"/>
    <w:rsid w:val="00770B19"/>
    <w:rsid w:val="00771FF9"/>
    <w:rsid w:val="0077463F"/>
    <w:rsid w:val="007836EA"/>
    <w:rsid w:val="00784CDA"/>
    <w:rsid w:val="007906C4"/>
    <w:rsid w:val="007940EA"/>
    <w:rsid w:val="007967E8"/>
    <w:rsid w:val="007A2170"/>
    <w:rsid w:val="007A22BF"/>
    <w:rsid w:val="007A3323"/>
    <w:rsid w:val="007B72B8"/>
    <w:rsid w:val="007B7A58"/>
    <w:rsid w:val="007C21B5"/>
    <w:rsid w:val="007E1845"/>
    <w:rsid w:val="007E4BD2"/>
    <w:rsid w:val="007E56A1"/>
    <w:rsid w:val="007E6FB6"/>
    <w:rsid w:val="00801393"/>
    <w:rsid w:val="00802F88"/>
    <w:rsid w:val="0081293E"/>
    <w:rsid w:val="00815465"/>
    <w:rsid w:val="008156F7"/>
    <w:rsid w:val="00817E9A"/>
    <w:rsid w:val="008267C2"/>
    <w:rsid w:val="008306BD"/>
    <w:rsid w:val="00831A80"/>
    <w:rsid w:val="00833743"/>
    <w:rsid w:val="008340A4"/>
    <w:rsid w:val="008363AE"/>
    <w:rsid w:val="0087135F"/>
    <w:rsid w:val="00872D94"/>
    <w:rsid w:val="00880364"/>
    <w:rsid w:val="00891592"/>
    <w:rsid w:val="00891AB0"/>
    <w:rsid w:val="00891E9E"/>
    <w:rsid w:val="008A23ED"/>
    <w:rsid w:val="008A2F68"/>
    <w:rsid w:val="008B3893"/>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068B8"/>
    <w:rsid w:val="00907ECD"/>
    <w:rsid w:val="0091736D"/>
    <w:rsid w:val="0093037A"/>
    <w:rsid w:val="0094154D"/>
    <w:rsid w:val="0095155F"/>
    <w:rsid w:val="00954429"/>
    <w:rsid w:val="009563CE"/>
    <w:rsid w:val="00976328"/>
    <w:rsid w:val="0097680D"/>
    <w:rsid w:val="00976A91"/>
    <w:rsid w:val="00982438"/>
    <w:rsid w:val="0098404C"/>
    <w:rsid w:val="00985283"/>
    <w:rsid w:val="00990E6B"/>
    <w:rsid w:val="00995992"/>
    <w:rsid w:val="009A03E5"/>
    <w:rsid w:val="009A0F3B"/>
    <w:rsid w:val="009A1BB4"/>
    <w:rsid w:val="009A2628"/>
    <w:rsid w:val="009A3200"/>
    <w:rsid w:val="009A3AED"/>
    <w:rsid w:val="009B0897"/>
    <w:rsid w:val="009B2D62"/>
    <w:rsid w:val="009B7BD9"/>
    <w:rsid w:val="009C7DD5"/>
    <w:rsid w:val="009E227D"/>
    <w:rsid w:val="009E5019"/>
    <w:rsid w:val="00A02E7D"/>
    <w:rsid w:val="00A04F1B"/>
    <w:rsid w:val="00A0501B"/>
    <w:rsid w:val="00A14947"/>
    <w:rsid w:val="00A32A83"/>
    <w:rsid w:val="00A368DB"/>
    <w:rsid w:val="00A423AA"/>
    <w:rsid w:val="00A53EC6"/>
    <w:rsid w:val="00A55C0F"/>
    <w:rsid w:val="00A655D3"/>
    <w:rsid w:val="00A66518"/>
    <w:rsid w:val="00A67B6B"/>
    <w:rsid w:val="00A86966"/>
    <w:rsid w:val="00A8713F"/>
    <w:rsid w:val="00A90BA1"/>
    <w:rsid w:val="00A97A9A"/>
    <w:rsid w:val="00AA0671"/>
    <w:rsid w:val="00AA2531"/>
    <w:rsid w:val="00AB1E09"/>
    <w:rsid w:val="00AB5330"/>
    <w:rsid w:val="00AB6C77"/>
    <w:rsid w:val="00AB7747"/>
    <w:rsid w:val="00AC14CE"/>
    <w:rsid w:val="00AC2A56"/>
    <w:rsid w:val="00AD055E"/>
    <w:rsid w:val="00AD47A7"/>
    <w:rsid w:val="00AF0CBF"/>
    <w:rsid w:val="00AF257F"/>
    <w:rsid w:val="00AF33CF"/>
    <w:rsid w:val="00AF4D50"/>
    <w:rsid w:val="00AF6179"/>
    <w:rsid w:val="00B0155F"/>
    <w:rsid w:val="00B1295A"/>
    <w:rsid w:val="00B20A45"/>
    <w:rsid w:val="00B22C5C"/>
    <w:rsid w:val="00B24F30"/>
    <w:rsid w:val="00B31ABF"/>
    <w:rsid w:val="00B33BE3"/>
    <w:rsid w:val="00B4700A"/>
    <w:rsid w:val="00B47384"/>
    <w:rsid w:val="00B53B5D"/>
    <w:rsid w:val="00B55938"/>
    <w:rsid w:val="00B561B7"/>
    <w:rsid w:val="00B6055E"/>
    <w:rsid w:val="00B6317D"/>
    <w:rsid w:val="00B7723F"/>
    <w:rsid w:val="00B80534"/>
    <w:rsid w:val="00B8433C"/>
    <w:rsid w:val="00B87491"/>
    <w:rsid w:val="00BA29E9"/>
    <w:rsid w:val="00BA7142"/>
    <w:rsid w:val="00BB237C"/>
    <w:rsid w:val="00BB2E60"/>
    <w:rsid w:val="00BB41A3"/>
    <w:rsid w:val="00BC32DC"/>
    <w:rsid w:val="00BC35B6"/>
    <w:rsid w:val="00BC66B9"/>
    <w:rsid w:val="00BD1B51"/>
    <w:rsid w:val="00BD4596"/>
    <w:rsid w:val="00BE1405"/>
    <w:rsid w:val="00BE312D"/>
    <w:rsid w:val="00BF1C20"/>
    <w:rsid w:val="00C0482F"/>
    <w:rsid w:val="00C10578"/>
    <w:rsid w:val="00C135BC"/>
    <w:rsid w:val="00C15C95"/>
    <w:rsid w:val="00C2596A"/>
    <w:rsid w:val="00C27537"/>
    <w:rsid w:val="00C328FE"/>
    <w:rsid w:val="00C33507"/>
    <w:rsid w:val="00C35938"/>
    <w:rsid w:val="00C36374"/>
    <w:rsid w:val="00C4409D"/>
    <w:rsid w:val="00C44E72"/>
    <w:rsid w:val="00C45A06"/>
    <w:rsid w:val="00C47E5B"/>
    <w:rsid w:val="00C541E4"/>
    <w:rsid w:val="00C61E4B"/>
    <w:rsid w:val="00C64BFF"/>
    <w:rsid w:val="00C6630A"/>
    <w:rsid w:val="00C704E9"/>
    <w:rsid w:val="00C7332C"/>
    <w:rsid w:val="00C763C9"/>
    <w:rsid w:val="00C80057"/>
    <w:rsid w:val="00C80AC1"/>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13557"/>
    <w:rsid w:val="00D308ED"/>
    <w:rsid w:val="00D354A2"/>
    <w:rsid w:val="00D36D86"/>
    <w:rsid w:val="00D428AA"/>
    <w:rsid w:val="00D50A34"/>
    <w:rsid w:val="00D53EFA"/>
    <w:rsid w:val="00D6733E"/>
    <w:rsid w:val="00D94872"/>
    <w:rsid w:val="00D94A7C"/>
    <w:rsid w:val="00D95896"/>
    <w:rsid w:val="00DB2983"/>
    <w:rsid w:val="00DB3391"/>
    <w:rsid w:val="00DC1257"/>
    <w:rsid w:val="00DC3DC0"/>
    <w:rsid w:val="00DC5B2B"/>
    <w:rsid w:val="00DD318D"/>
    <w:rsid w:val="00DE32AB"/>
    <w:rsid w:val="00DE33CC"/>
    <w:rsid w:val="00DE72A2"/>
    <w:rsid w:val="00DF2E12"/>
    <w:rsid w:val="00DF514A"/>
    <w:rsid w:val="00DF6047"/>
    <w:rsid w:val="00DF6690"/>
    <w:rsid w:val="00DF6804"/>
    <w:rsid w:val="00E0358D"/>
    <w:rsid w:val="00E04323"/>
    <w:rsid w:val="00E070A2"/>
    <w:rsid w:val="00E16B5C"/>
    <w:rsid w:val="00E23F45"/>
    <w:rsid w:val="00E2656A"/>
    <w:rsid w:val="00E412D0"/>
    <w:rsid w:val="00E56322"/>
    <w:rsid w:val="00E60982"/>
    <w:rsid w:val="00E62C62"/>
    <w:rsid w:val="00E6321E"/>
    <w:rsid w:val="00E654C1"/>
    <w:rsid w:val="00E65D97"/>
    <w:rsid w:val="00E72A5A"/>
    <w:rsid w:val="00E73354"/>
    <w:rsid w:val="00E84E54"/>
    <w:rsid w:val="00E92325"/>
    <w:rsid w:val="00E9242D"/>
    <w:rsid w:val="00EB5255"/>
    <w:rsid w:val="00EB546F"/>
    <w:rsid w:val="00EB5C47"/>
    <w:rsid w:val="00ED0639"/>
    <w:rsid w:val="00EE584E"/>
    <w:rsid w:val="00EF4755"/>
    <w:rsid w:val="00EF7135"/>
    <w:rsid w:val="00F027DB"/>
    <w:rsid w:val="00F02C50"/>
    <w:rsid w:val="00F135AE"/>
    <w:rsid w:val="00F14A7A"/>
    <w:rsid w:val="00F22985"/>
    <w:rsid w:val="00F3383E"/>
    <w:rsid w:val="00F35CCF"/>
    <w:rsid w:val="00F465A7"/>
    <w:rsid w:val="00F50B7C"/>
    <w:rsid w:val="00F550E6"/>
    <w:rsid w:val="00F6334B"/>
    <w:rsid w:val="00F65CFC"/>
    <w:rsid w:val="00F74345"/>
    <w:rsid w:val="00F80A0A"/>
    <w:rsid w:val="00F82B19"/>
    <w:rsid w:val="00F9212D"/>
    <w:rsid w:val="00F965DA"/>
    <w:rsid w:val="00FA1E76"/>
    <w:rsid w:val="00FA406A"/>
    <w:rsid w:val="00FB503A"/>
    <w:rsid w:val="00FB516C"/>
    <w:rsid w:val="00FD0236"/>
    <w:rsid w:val="00FD18F4"/>
    <w:rsid w:val="00FD1CD4"/>
    <w:rsid w:val="00FD54DB"/>
    <w:rsid w:val="00FD572A"/>
    <w:rsid w:val="00FD619F"/>
    <w:rsid w:val="00FF666F"/>
    <w:rsid w:val="01290F7E"/>
    <w:rsid w:val="014B49E7"/>
    <w:rsid w:val="01593EE2"/>
    <w:rsid w:val="015D1E09"/>
    <w:rsid w:val="015E71CB"/>
    <w:rsid w:val="01613D57"/>
    <w:rsid w:val="0165325A"/>
    <w:rsid w:val="016C1863"/>
    <w:rsid w:val="017D478D"/>
    <w:rsid w:val="018D7BBC"/>
    <w:rsid w:val="01932548"/>
    <w:rsid w:val="01BA1010"/>
    <w:rsid w:val="01C070EF"/>
    <w:rsid w:val="01CD7566"/>
    <w:rsid w:val="01D86DA1"/>
    <w:rsid w:val="01DA571A"/>
    <w:rsid w:val="01F820A1"/>
    <w:rsid w:val="0210171C"/>
    <w:rsid w:val="022368BF"/>
    <w:rsid w:val="022655ED"/>
    <w:rsid w:val="022E5EA7"/>
    <w:rsid w:val="023D53B1"/>
    <w:rsid w:val="02697903"/>
    <w:rsid w:val="028C1950"/>
    <w:rsid w:val="02BC7D06"/>
    <w:rsid w:val="02C31E14"/>
    <w:rsid w:val="02C41E62"/>
    <w:rsid w:val="02D05A65"/>
    <w:rsid w:val="02F96569"/>
    <w:rsid w:val="030011E1"/>
    <w:rsid w:val="0302283A"/>
    <w:rsid w:val="03100C26"/>
    <w:rsid w:val="031F12CE"/>
    <w:rsid w:val="03273A4E"/>
    <w:rsid w:val="033B3028"/>
    <w:rsid w:val="034339E7"/>
    <w:rsid w:val="03535432"/>
    <w:rsid w:val="035706A0"/>
    <w:rsid w:val="0359335C"/>
    <w:rsid w:val="036E7057"/>
    <w:rsid w:val="0375224D"/>
    <w:rsid w:val="0386476F"/>
    <w:rsid w:val="038D18A6"/>
    <w:rsid w:val="039C1979"/>
    <w:rsid w:val="03B40C19"/>
    <w:rsid w:val="03DA2C61"/>
    <w:rsid w:val="03EA7B21"/>
    <w:rsid w:val="03EC7C9F"/>
    <w:rsid w:val="040C5A1F"/>
    <w:rsid w:val="04150EAD"/>
    <w:rsid w:val="04450FCC"/>
    <w:rsid w:val="04492AEE"/>
    <w:rsid w:val="046F27CC"/>
    <w:rsid w:val="048033EF"/>
    <w:rsid w:val="04846363"/>
    <w:rsid w:val="04930B73"/>
    <w:rsid w:val="04A57870"/>
    <w:rsid w:val="04A75D62"/>
    <w:rsid w:val="04B96A4C"/>
    <w:rsid w:val="04CE1F84"/>
    <w:rsid w:val="04D01703"/>
    <w:rsid w:val="04D0318B"/>
    <w:rsid w:val="05402FF1"/>
    <w:rsid w:val="05403E39"/>
    <w:rsid w:val="054045A4"/>
    <w:rsid w:val="057D3441"/>
    <w:rsid w:val="057D45C7"/>
    <w:rsid w:val="05BB5375"/>
    <w:rsid w:val="05D9775C"/>
    <w:rsid w:val="05EA4BBF"/>
    <w:rsid w:val="05F20A45"/>
    <w:rsid w:val="05F83EAE"/>
    <w:rsid w:val="06193463"/>
    <w:rsid w:val="063E7D85"/>
    <w:rsid w:val="06415A03"/>
    <w:rsid w:val="064552D9"/>
    <w:rsid w:val="06673A96"/>
    <w:rsid w:val="06674C6D"/>
    <w:rsid w:val="066C19E3"/>
    <w:rsid w:val="067E4C80"/>
    <w:rsid w:val="0684226E"/>
    <w:rsid w:val="06875D43"/>
    <w:rsid w:val="06BA7D75"/>
    <w:rsid w:val="06CE64BD"/>
    <w:rsid w:val="06F70127"/>
    <w:rsid w:val="07240C36"/>
    <w:rsid w:val="07293586"/>
    <w:rsid w:val="07295285"/>
    <w:rsid w:val="07464A8A"/>
    <w:rsid w:val="075910E0"/>
    <w:rsid w:val="07620EEE"/>
    <w:rsid w:val="07636392"/>
    <w:rsid w:val="07650989"/>
    <w:rsid w:val="076D582B"/>
    <w:rsid w:val="07770C56"/>
    <w:rsid w:val="07825660"/>
    <w:rsid w:val="07AE4685"/>
    <w:rsid w:val="07D1292D"/>
    <w:rsid w:val="07D93D20"/>
    <w:rsid w:val="07ED4390"/>
    <w:rsid w:val="07F94DAE"/>
    <w:rsid w:val="08110A1D"/>
    <w:rsid w:val="082106E6"/>
    <w:rsid w:val="082F6217"/>
    <w:rsid w:val="08375E1F"/>
    <w:rsid w:val="083F351E"/>
    <w:rsid w:val="08487F22"/>
    <w:rsid w:val="086B2998"/>
    <w:rsid w:val="087E1C1F"/>
    <w:rsid w:val="088A30FF"/>
    <w:rsid w:val="08984829"/>
    <w:rsid w:val="08B4708A"/>
    <w:rsid w:val="08CB6262"/>
    <w:rsid w:val="08EB0A30"/>
    <w:rsid w:val="08FD4A0D"/>
    <w:rsid w:val="08FE7A50"/>
    <w:rsid w:val="09214893"/>
    <w:rsid w:val="092217DD"/>
    <w:rsid w:val="09367B0A"/>
    <w:rsid w:val="093A7294"/>
    <w:rsid w:val="09562DA4"/>
    <w:rsid w:val="098766D7"/>
    <w:rsid w:val="098A7CA9"/>
    <w:rsid w:val="09E5152E"/>
    <w:rsid w:val="09E8480C"/>
    <w:rsid w:val="09F64DC7"/>
    <w:rsid w:val="0A0B0E13"/>
    <w:rsid w:val="0A0E05DB"/>
    <w:rsid w:val="0A103ADD"/>
    <w:rsid w:val="0A232419"/>
    <w:rsid w:val="0A263993"/>
    <w:rsid w:val="0A2907FC"/>
    <w:rsid w:val="0A2D3AC2"/>
    <w:rsid w:val="0A771712"/>
    <w:rsid w:val="0A7C1081"/>
    <w:rsid w:val="0A7C2FEB"/>
    <w:rsid w:val="0AA755DF"/>
    <w:rsid w:val="0AB96FFF"/>
    <w:rsid w:val="0ABA1F25"/>
    <w:rsid w:val="0AE7534D"/>
    <w:rsid w:val="0AED6C17"/>
    <w:rsid w:val="0B0B18CA"/>
    <w:rsid w:val="0B120D44"/>
    <w:rsid w:val="0B1446EF"/>
    <w:rsid w:val="0B1A305C"/>
    <w:rsid w:val="0B1F2F4E"/>
    <w:rsid w:val="0B293CD7"/>
    <w:rsid w:val="0B971310"/>
    <w:rsid w:val="0B9A6334"/>
    <w:rsid w:val="0BAE1D10"/>
    <w:rsid w:val="0BD27BF6"/>
    <w:rsid w:val="0BD75B32"/>
    <w:rsid w:val="0BE5233C"/>
    <w:rsid w:val="0BE979E8"/>
    <w:rsid w:val="0BEB4698"/>
    <w:rsid w:val="0BFF48DB"/>
    <w:rsid w:val="0C14470F"/>
    <w:rsid w:val="0C2F0B8D"/>
    <w:rsid w:val="0C3B3C7D"/>
    <w:rsid w:val="0C6E02E5"/>
    <w:rsid w:val="0C6F5339"/>
    <w:rsid w:val="0C7E7956"/>
    <w:rsid w:val="0C9A31F0"/>
    <w:rsid w:val="0CA971D2"/>
    <w:rsid w:val="0CAB2EAE"/>
    <w:rsid w:val="0CB067BE"/>
    <w:rsid w:val="0CD34ECA"/>
    <w:rsid w:val="0CE44714"/>
    <w:rsid w:val="0D107E7B"/>
    <w:rsid w:val="0D13618D"/>
    <w:rsid w:val="0D2C0260"/>
    <w:rsid w:val="0D2F072F"/>
    <w:rsid w:val="0D330985"/>
    <w:rsid w:val="0D4C5AE1"/>
    <w:rsid w:val="0D621C7D"/>
    <w:rsid w:val="0D66668B"/>
    <w:rsid w:val="0D6D6016"/>
    <w:rsid w:val="0D883B34"/>
    <w:rsid w:val="0D891140"/>
    <w:rsid w:val="0D9B64BA"/>
    <w:rsid w:val="0DB22734"/>
    <w:rsid w:val="0DC174FE"/>
    <w:rsid w:val="0DCA63AF"/>
    <w:rsid w:val="0DCD6328"/>
    <w:rsid w:val="0DE26A32"/>
    <w:rsid w:val="0DF56797"/>
    <w:rsid w:val="0E06770C"/>
    <w:rsid w:val="0E0849BE"/>
    <w:rsid w:val="0E245572"/>
    <w:rsid w:val="0E3756DF"/>
    <w:rsid w:val="0E4F4A42"/>
    <w:rsid w:val="0E73034D"/>
    <w:rsid w:val="0E825B5E"/>
    <w:rsid w:val="0E890453"/>
    <w:rsid w:val="0E927B7C"/>
    <w:rsid w:val="0E9F768C"/>
    <w:rsid w:val="0EC51C6C"/>
    <w:rsid w:val="0ED13D9C"/>
    <w:rsid w:val="0ED2335F"/>
    <w:rsid w:val="0F035B62"/>
    <w:rsid w:val="0F113188"/>
    <w:rsid w:val="0F13775A"/>
    <w:rsid w:val="0F3320FE"/>
    <w:rsid w:val="0F4E072A"/>
    <w:rsid w:val="0F5D0FED"/>
    <w:rsid w:val="0F5F45FE"/>
    <w:rsid w:val="0F601247"/>
    <w:rsid w:val="0F965E57"/>
    <w:rsid w:val="0F9A112B"/>
    <w:rsid w:val="0FA525BE"/>
    <w:rsid w:val="0FB846F1"/>
    <w:rsid w:val="0FCC4E3B"/>
    <w:rsid w:val="0FDE5286"/>
    <w:rsid w:val="0FDF3286"/>
    <w:rsid w:val="0FF86B93"/>
    <w:rsid w:val="0FFC617D"/>
    <w:rsid w:val="1026140F"/>
    <w:rsid w:val="1050722C"/>
    <w:rsid w:val="105C1212"/>
    <w:rsid w:val="106D2F64"/>
    <w:rsid w:val="107C5919"/>
    <w:rsid w:val="10804B4A"/>
    <w:rsid w:val="10807E0D"/>
    <w:rsid w:val="10B35AF6"/>
    <w:rsid w:val="10B63710"/>
    <w:rsid w:val="10BB6702"/>
    <w:rsid w:val="10BD1C05"/>
    <w:rsid w:val="10C608F6"/>
    <w:rsid w:val="10CE1978"/>
    <w:rsid w:val="10F10820"/>
    <w:rsid w:val="11021075"/>
    <w:rsid w:val="11044578"/>
    <w:rsid w:val="111C2F7A"/>
    <w:rsid w:val="112160A6"/>
    <w:rsid w:val="11373ABD"/>
    <w:rsid w:val="113E6E6F"/>
    <w:rsid w:val="11434105"/>
    <w:rsid w:val="115C04AD"/>
    <w:rsid w:val="116552BD"/>
    <w:rsid w:val="11665CA1"/>
    <w:rsid w:val="1169503D"/>
    <w:rsid w:val="11760EC5"/>
    <w:rsid w:val="118045F5"/>
    <w:rsid w:val="118A1C16"/>
    <w:rsid w:val="118F66DA"/>
    <w:rsid w:val="11A0056A"/>
    <w:rsid w:val="11A73446"/>
    <w:rsid w:val="11AB600B"/>
    <w:rsid w:val="11AB6A7C"/>
    <w:rsid w:val="11C50562"/>
    <w:rsid w:val="11CF74C4"/>
    <w:rsid w:val="11DF51F0"/>
    <w:rsid w:val="11E21E3A"/>
    <w:rsid w:val="11EC5BA8"/>
    <w:rsid w:val="12086674"/>
    <w:rsid w:val="1215405E"/>
    <w:rsid w:val="12187116"/>
    <w:rsid w:val="124A57A9"/>
    <w:rsid w:val="126F15CC"/>
    <w:rsid w:val="12735249"/>
    <w:rsid w:val="129C4937"/>
    <w:rsid w:val="12AE0195"/>
    <w:rsid w:val="12C0761F"/>
    <w:rsid w:val="12CD73E7"/>
    <w:rsid w:val="12E070D3"/>
    <w:rsid w:val="12E5461B"/>
    <w:rsid w:val="12F27869"/>
    <w:rsid w:val="12FB6009"/>
    <w:rsid w:val="13080E90"/>
    <w:rsid w:val="131D3031"/>
    <w:rsid w:val="13260E6B"/>
    <w:rsid w:val="13417327"/>
    <w:rsid w:val="1344612C"/>
    <w:rsid w:val="134C3538"/>
    <w:rsid w:val="13513E01"/>
    <w:rsid w:val="13535DBF"/>
    <w:rsid w:val="13547AE7"/>
    <w:rsid w:val="136515FF"/>
    <w:rsid w:val="13682F57"/>
    <w:rsid w:val="13865998"/>
    <w:rsid w:val="13951726"/>
    <w:rsid w:val="13B03397"/>
    <w:rsid w:val="13BE73E9"/>
    <w:rsid w:val="13BF4884"/>
    <w:rsid w:val="13C00213"/>
    <w:rsid w:val="13C42ADB"/>
    <w:rsid w:val="13D80394"/>
    <w:rsid w:val="13DD3755"/>
    <w:rsid w:val="13E64BA0"/>
    <w:rsid w:val="13F53AE2"/>
    <w:rsid w:val="13FF691F"/>
    <w:rsid w:val="14286EAC"/>
    <w:rsid w:val="142E41BA"/>
    <w:rsid w:val="14396509"/>
    <w:rsid w:val="144017A4"/>
    <w:rsid w:val="14480E52"/>
    <w:rsid w:val="1456668F"/>
    <w:rsid w:val="1457366A"/>
    <w:rsid w:val="1462302C"/>
    <w:rsid w:val="148337CA"/>
    <w:rsid w:val="148B0641"/>
    <w:rsid w:val="14927336"/>
    <w:rsid w:val="149756A7"/>
    <w:rsid w:val="14D41EFF"/>
    <w:rsid w:val="14DD2C3C"/>
    <w:rsid w:val="1504525C"/>
    <w:rsid w:val="1523533D"/>
    <w:rsid w:val="15373E0B"/>
    <w:rsid w:val="154C5FE1"/>
    <w:rsid w:val="154D4DB8"/>
    <w:rsid w:val="157C59CB"/>
    <w:rsid w:val="15961DF8"/>
    <w:rsid w:val="15B47C71"/>
    <w:rsid w:val="15BF7C8B"/>
    <w:rsid w:val="15C724C9"/>
    <w:rsid w:val="15E37124"/>
    <w:rsid w:val="15F335E7"/>
    <w:rsid w:val="15F35DEB"/>
    <w:rsid w:val="16087E1D"/>
    <w:rsid w:val="16235394"/>
    <w:rsid w:val="163B2879"/>
    <w:rsid w:val="163F12A7"/>
    <w:rsid w:val="164C0EAF"/>
    <w:rsid w:val="16567334"/>
    <w:rsid w:val="167163FF"/>
    <w:rsid w:val="167D6F70"/>
    <w:rsid w:val="167F7D01"/>
    <w:rsid w:val="1683496B"/>
    <w:rsid w:val="16966D04"/>
    <w:rsid w:val="16AE015C"/>
    <w:rsid w:val="16B72732"/>
    <w:rsid w:val="16BE130A"/>
    <w:rsid w:val="16C46FE7"/>
    <w:rsid w:val="16F65783"/>
    <w:rsid w:val="16FC6699"/>
    <w:rsid w:val="17164887"/>
    <w:rsid w:val="17255A08"/>
    <w:rsid w:val="172B380A"/>
    <w:rsid w:val="173F6931"/>
    <w:rsid w:val="174E092D"/>
    <w:rsid w:val="1761646F"/>
    <w:rsid w:val="17701D14"/>
    <w:rsid w:val="17735226"/>
    <w:rsid w:val="17A86360"/>
    <w:rsid w:val="17B15172"/>
    <w:rsid w:val="17B948D4"/>
    <w:rsid w:val="17D9491B"/>
    <w:rsid w:val="17E54B40"/>
    <w:rsid w:val="17F13F68"/>
    <w:rsid w:val="180E34E8"/>
    <w:rsid w:val="18511A82"/>
    <w:rsid w:val="18517338"/>
    <w:rsid w:val="1855203D"/>
    <w:rsid w:val="185B536B"/>
    <w:rsid w:val="186D0095"/>
    <w:rsid w:val="187C631C"/>
    <w:rsid w:val="187D763D"/>
    <w:rsid w:val="188D75FC"/>
    <w:rsid w:val="189C136E"/>
    <w:rsid w:val="189F624C"/>
    <w:rsid w:val="18A75261"/>
    <w:rsid w:val="18BD675A"/>
    <w:rsid w:val="18D05DC3"/>
    <w:rsid w:val="18D558B3"/>
    <w:rsid w:val="18DC7657"/>
    <w:rsid w:val="18E7242D"/>
    <w:rsid w:val="18FE4652"/>
    <w:rsid w:val="19457D54"/>
    <w:rsid w:val="19481A81"/>
    <w:rsid w:val="194E5B91"/>
    <w:rsid w:val="19915300"/>
    <w:rsid w:val="19966A1B"/>
    <w:rsid w:val="19A44517"/>
    <w:rsid w:val="19AC33BD"/>
    <w:rsid w:val="19AE379B"/>
    <w:rsid w:val="19B47B73"/>
    <w:rsid w:val="19C0314D"/>
    <w:rsid w:val="19C232D4"/>
    <w:rsid w:val="19D01914"/>
    <w:rsid w:val="19D212B4"/>
    <w:rsid w:val="19D22B7F"/>
    <w:rsid w:val="19E358F3"/>
    <w:rsid w:val="1A05542B"/>
    <w:rsid w:val="1A1C66C0"/>
    <w:rsid w:val="1A2D5CFF"/>
    <w:rsid w:val="1A3A3310"/>
    <w:rsid w:val="1A3B0898"/>
    <w:rsid w:val="1A42393B"/>
    <w:rsid w:val="1A674BDF"/>
    <w:rsid w:val="1AAD45DE"/>
    <w:rsid w:val="1AE6047C"/>
    <w:rsid w:val="1B046F80"/>
    <w:rsid w:val="1B0C5F6E"/>
    <w:rsid w:val="1B1B722A"/>
    <w:rsid w:val="1B1F0B0A"/>
    <w:rsid w:val="1B1F3725"/>
    <w:rsid w:val="1B271982"/>
    <w:rsid w:val="1B2F01BA"/>
    <w:rsid w:val="1B3267B5"/>
    <w:rsid w:val="1B3902DD"/>
    <w:rsid w:val="1B40161D"/>
    <w:rsid w:val="1B441859"/>
    <w:rsid w:val="1B623FAD"/>
    <w:rsid w:val="1B6606B1"/>
    <w:rsid w:val="1B6D6F3A"/>
    <w:rsid w:val="1B7259B0"/>
    <w:rsid w:val="1B8C00AC"/>
    <w:rsid w:val="1BA82FED"/>
    <w:rsid w:val="1BAA0256"/>
    <w:rsid w:val="1BB03ACD"/>
    <w:rsid w:val="1BB215F7"/>
    <w:rsid w:val="1BC258CB"/>
    <w:rsid w:val="1BC83DAE"/>
    <w:rsid w:val="1C063CE4"/>
    <w:rsid w:val="1C2F5C31"/>
    <w:rsid w:val="1C4927E8"/>
    <w:rsid w:val="1C540FBC"/>
    <w:rsid w:val="1C5E7925"/>
    <w:rsid w:val="1C952C05"/>
    <w:rsid w:val="1C9B7A05"/>
    <w:rsid w:val="1CA24697"/>
    <w:rsid w:val="1CCC1F57"/>
    <w:rsid w:val="1CD501DC"/>
    <w:rsid w:val="1CEA2700"/>
    <w:rsid w:val="1CF9709D"/>
    <w:rsid w:val="1CFA410A"/>
    <w:rsid w:val="1CFD070F"/>
    <w:rsid w:val="1CFF6E22"/>
    <w:rsid w:val="1D137B60"/>
    <w:rsid w:val="1D173F48"/>
    <w:rsid w:val="1D1C03C5"/>
    <w:rsid w:val="1D1D63D2"/>
    <w:rsid w:val="1D207C95"/>
    <w:rsid w:val="1D2B351D"/>
    <w:rsid w:val="1D453D13"/>
    <w:rsid w:val="1D586D16"/>
    <w:rsid w:val="1D5F6196"/>
    <w:rsid w:val="1D6132A5"/>
    <w:rsid w:val="1D687AD8"/>
    <w:rsid w:val="1D7E18EE"/>
    <w:rsid w:val="1D8E56D5"/>
    <w:rsid w:val="1D9308BD"/>
    <w:rsid w:val="1DC80A69"/>
    <w:rsid w:val="1DD016F9"/>
    <w:rsid w:val="1DF51CE6"/>
    <w:rsid w:val="1DF91CEC"/>
    <w:rsid w:val="1E0D3085"/>
    <w:rsid w:val="1E1259E5"/>
    <w:rsid w:val="1E1C7DDF"/>
    <w:rsid w:val="1E3E64A9"/>
    <w:rsid w:val="1E464BBA"/>
    <w:rsid w:val="1E495956"/>
    <w:rsid w:val="1E4B0497"/>
    <w:rsid w:val="1E5E1371"/>
    <w:rsid w:val="1E68619D"/>
    <w:rsid w:val="1E6D6FF8"/>
    <w:rsid w:val="1E722BF5"/>
    <w:rsid w:val="1E7A43DA"/>
    <w:rsid w:val="1EBA4931"/>
    <w:rsid w:val="1EBF5456"/>
    <w:rsid w:val="1EDD1365"/>
    <w:rsid w:val="1EEF62CD"/>
    <w:rsid w:val="1F1B063B"/>
    <w:rsid w:val="1F3033E0"/>
    <w:rsid w:val="1F3333E7"/>
    <w:rsid w:val="1F340921"/>
    <w:rsid w:val="1F5627F9"/>
    <w:rsid w:val="1F5C4CEB"/>
    <w:rsid w:val="1F901726"/>
    <w:rsid w:val="1FA834FD"/>
    <w:rsid w:val="1FB41916"/>
    <w:rsid w:val="1FB9701B"/>
    <w:rsid w:val="1FC25247"/>
    <w:rsid w:val="1FC654AC"/>
    <w:rsid w:val="1FD552C6"/>
    <w:rsid w:val="1FDD0BE5"/>
    <w:rsid w:val="1FDE0F55"/>
    <w:rsid w:val="1FE66ECB"/>
    <w:rsid w:val="1FE7539E"/>
    <w:rsid w:val="1FFC71EE"/>
    <w:rsid w:val="20005396"/>
    <w:rsid w:val="201A7FB9"/>
    <w:rsid w:val="201F2242"/>
    <w:rsid w:val="203767C6"/>
    <w:rsid w:val="20465950"/>
    <w:rsid w:val="20671BE0"/>
    <w:rsid w:val="2076562B"/>
    <w:rsid w:val="208B1506"/>
    <w:rsid w:val="208B1A2D"/>
    <w:rsid w:val="20963CB8"/>
    <w:rsid w:val="20A81A1B"/>
    <w:rsid w:val="20A9775C"/>
    <w:rsid w:val="20B07FB6"/>
    <w:rsid w:val="20B1527D"/>
    <w:rsid w:val="20B646FB"/>
    <w:rsid w:val="20C577BB"/>
    <w:rsid w:val="20CF163F"/>
    <w:rsid w:val="20DB18D8"/>
    <w:rsid w:val="20F274D9"/>
    <w:rsid w:val="2101479B"/>
    <w:rsid w:val="212671F1"/>
    <w:rsid w:val="21301640"/>
    <w:rsid w:val="213B74B1"/>
    <w:rsid w:val="21516760"/>
    <w:rsid w:val="215A2310"/>
    <w:rsid w:val="216862FD"/>
    <w:rsid w:val="21972421"/>
    <w:rsid w:val="219A43B2"/>
    <w:rsid w:val="21B91FE3"/>
    <w:rsid w:val="21CA04A2"/>
    <w:rsid w:val="21DE318A"/>
    <w:rsid w:val="21E67249"/>
    <w:rsid w:val="21E84440"/>
    <w:rsid w:val="21EF5B80"/>
    <w:rsid w:val="220123D8"/>
    <w:rsid w:val="2210082E"/>
    <w:rsid w:val="221D14F5"/>
    <w:rsid w:val="222A65E3"/>
    <w:rsid w:val="22377D1C"/>
    <w:rsid w:val="22576990"/>
    <w:rsid w:val="22934F63"/>
    <w:rsid w:val="229E5830"/>
    <w:rsid w:val="22B85789"/>
    <w:rsid w:val="22BF668E"/>
    <w:rsid w:val="22D87074"/>
    <w:rsid w:val="22F47480"/>
    <w:rsid w:val="22F53F69"/>
    <w:rsid w:val="23053EBF"/>
    <w:rsid w:val="232274C8"/>
    <w:rsid w:val="23276892"/>
    <w:rsid w:val="23601246"/>
    <w:rsid w:val="236B2561"/>
    <w:rsid w:val="23737B69"/>
    <w:rsid w:val="2377323E"/>
    <w:rsid w:val="237A45C1"/>
    <w:rsid w:val="23880BB9"/>
    <w:rsid w:val="23897CB7"/>
    <w:rsid w:val="238F073F"/>
    <w:rsid w:val="239879A2"/>
    <w:rsid w:val="23DE1C48"/>
    <w:rsid w:val="23E84741"/>
    <w:rsid w:val="23F02DA4"/>
    <w:rsid w:val="240210CD"/>
    <w:rsid w:val="240267C1"/>
    <w:rsid w:val="240F46B6"/>
    <w:rsid w:val="24173723"/>
    <w:rsid w:val="243A0310"/>
    <w:rsid w:val="24487048"/>
    <w:rsid w:val="245817BE"/>
    <w:rsid w:val="245E3510"/>
    <w:rsid w:val="245F1C2C"/>
    <w:rsid w:val="246F173B"/>
    <w:rsid w:val="2478290F"/>
    <w:rsid w:val="249479E4"/>
    <w:rsid w:val="24BF09F7"/>
    <w:rsid w:val="24C16CBD"/>
    <w:rsid w:val="24DF4D8F"/>
    <w:rsid w:val="24F46A34"/>
    <w:rsid w:val="24FF75CD"/>
    <w:rsid w:val="250D59BB"/>
    <w:rsid w:val="252D53FE"/>
    <w:rsid w:val="252F1AE8"/>
    <w:rsid w:val="25325F73"/>
    <w:rsid w:val="25427233"/>
    <w:rsid w:val="254E4427"/>
    <w:rsid w:val="25585F5F"/>
    <w:rsid w:val="25590621"/>
    <w:rsid w:val="255D0D5D"/>
    <w:rsid w:val="257F3613"/>
    <w:rsid w:val="25AB6EA2"/>
    <w:rsid w:val="25D7012F"/>
    <w:rsid w:val="25E023B3"/>
    <w:rsid w:val="25E71D52"/>
    <w:rsid w:val="25E97FC5"/>
    <w:rsid w:val="25EA2C2E"/>
    <w:rsid w:val="25EC2D81"/>
    <w:rsid w:val="2601616B"/>
    <w:rsid w:val="260E1D77"/>
    <w:rsid w:val="261614E1"/>
    <w:rsid w:val="26385992"/>
    <w:rsid w:val="264A32DF"/>
    <w:rsid w:val="264A5E3F"/>
    <w:rsid w:val="264D5ED8"/>
    <w:rsid w:val="266958E6"/>
    <w:rsid w:val="26721FB7"/>
    <w:rsid w:val="26751875"/>
    <w:rsid w:val="26755F33"/>
    <w:rsid w:val="26920320"/>
    <w:rsid w:val="2696676A"/>
    <w:rsid w:val="269D2766"/>
    <w:rsid w:val="26B662EF"/>
    <w:rsid w:val="26B96967"/>
    <w:rsid w:val="26BF22D4"/>
    <w:rsid w:val="26C561E1"/>
    <w:rsid w:val="26DE4854"/>
    <w:rsid w:val="26E30CDC"/>
    <w:rsid w:val="26E63E5F"/>
    <w:rsid w:val="26EE0F5D"/>
    <w:rsid w:val="272356CA"/>
    <w:rsid w:val="272E46DE"/>
    <w:rsid w:val="27372B8A"/>
    <w:rsid w:val="277057A2"/>
    <w:rsid w:val="278734E4"/>
    <w:rsid w:val="2797719B"/>
    <w:rsid w:val="27EE22FC"/>
    <w:rsid w:val="2807037D"/>
    <w:rsid w:val="280F1E94"/>
    <w:rsid w:val="28105543"/>
    <w:rsid w:val="28354E06"/>
    <w:rsid w:val="283B68D2"/>
    <w:rsid w:val="283F7913"/>
    <w:rsid w:val="2842411B"/>
    <w:rsid w:val="284A0FF5"/>
    <w:rsid w:val="284F6DA3"/>
    <w:rsid w:val="285210B9"/>
    <w:rsid w:val="286A6F71"/>
    <w:rsid w:val="286B52E0"/>
    <w:rsid w:val="28A67DCA"/>
    <w:rsid w:val="28AB5967"/>
    <w:rsid w:val="28AC77F5"/>
    <w:rsid w:val="28B121D1"/>
    <w:rsid w:val="28B66659"/>
    <w:rsid w:val="28BD0F49"/>
    <w:rsid w:val="28D347DD"/>
    <w:rsid w:val="29010F9F"/>
    <w:rsid w:val="29173FF1"/>
    <w:rsid w:val="29206EB8"/>
    <w:rsid w:val="292F0245"/>
    <w:rsid w:val="294F6EB8"/>
    <w:rsid w:val="29595666"/>
    <w:rsid w:val="295A7167"/>
    <w:rsid w:val="295D00EB"/>
    <w:rsid w:val="296B28BB"/>
    <w:rsid w:val="297D6D44"/>
    <w:rsid w:val="29874881"/>
    <w:rsid w:val="29E325E0"/>
    <w:rsid w:val="29EC4FC9"/>
    <w:rsid w:val="2A110088"/>
    <w:rsid w:val="2A1C3B8E"/>
    <w:rsid w:val="2A262A33"/>
    <w:rsid w:val="2A452503"/>
    <w:rsid w:val="2A496A6F"/>
    <w:rsid w:val="2A6346D3"/>
    <w:rsid w:val="2A8710E9"/>
    <w:rsid w:val="2A932D53"/>
    <w:rsid w:val="2A976B6E"/>
    <w:rsid w:val="2AA93643"/>
    <w:rsid w:val="2AAD7386"/>
    <w:rsid w:val="2AAF6413"/>
    <w:rsid w:val="2AB71BAA"/>
    <w:rsid w:val="2ACC6BFE"/>
    <w:rsid w:val="2ACE1D7C"/>
    <w:rsid w:val="2AEA48ED"/>
    <w:rsid w:val="2AEB287C"/>
    <w:rsid w:val="2B0C1615"/>
    <w:rsid w:val="2B1419BB"/>
    <w:rsid w:val="2B2C16FF"/>
    <w:rsid w:val="2B520E68"/>
    <w:rsid w:val="2B583E2A"/>
    <w:rsid w:val="2B801BA7"/>
    <w:rsid w:val="2BA936A8"/>
    <w:rsid w:val="2BB53743"/>
    <w:rsid w:val="2BBD43D2"/>
    <w:rsid w:val="2BC229F3"/>
    <w:rsid w:val="2BE5011C"/>
    <w:rsid w:val="2BEA26BE"/>
    <w:rsid w:val="2C04375B"/>
    <w:rsid w:val="2C10540C"/>
    <w:rsid w:val="2C1102EE"/>
    <w:rsid w:val="2C2475FA"/>
    <w:rsid w:val="2C315A5A"/>
    <w:rsid w:val="2C4B1C25"/>
    <w:rsid w:val="2C50635D"/>
    <w:rsid w:val="2C724660"/>
    <w:rsid w:val="2C8E3426"/>
    <w:rsid w:val="2C8E5305"/>
    <w:rsid w:val="2C900111"/>
    <w:rsid w:val="2C912078"/>
    <w:rsid w:val="2CA174A3"/>
    <w:rsid w:val="2CA2352F"/>
    <w:rsid w:val="2CCE420F"/>
    <w:rsid w:val="2CEB563E"/>
    <w:rsid w:val="2CFF2976"/>
    <w:rsid w:val="2D0042B6"/>
    <w:rsid w:val="2D0568E8"/>
    <w:rsid w:val="2D1C18BB"/>
    <w:rsid w:val="2D297418"/>
    <w:rsid w:val="2D323F34"/>
    <w:rsid w:val="2D41454E"/>
    <w:rsid w:val="2D426E35"/>
    <w:rsid w:val="2D5A48F4"/>
    <w:rsid w:val="2D632021"/>
    <w:rsid w:val="2D71730D"/>
    <w:rsid w:val="2D8F7F54"/>
    <w:rsid w:val="2D9E56F5"/>
    <w:rsid w:val="2DA225FD"/>
    <w:rsid w:val="2DD219FB"/>
    <w:rsid w:val="2DD227B8"/>
    <w:rsid w:val="2DE05941"/>
    <w:rsid w:val="2DEF7B6A"/>
    <w:rsid w:val="2E0B2ACC"/>
    <w:rsid w:val="2E144526"/>
    <w:rsid w:val="2E215DBB"/>
    <w:rsid w:val="2E240B08"/>
    <w:rsid w:val="2E405E19"/>
    <w:rsid w:val="2E52624E"/>
    <w:rsid w:val="2E533FD5"/>
    <w:rsid w:val="2E5D33D6"/>
    <w:rsid w:val="2E667F96"/>
    <w:rsid w:val="2E6C2644"/>
    <w:rsid w:val="2E6D0438"/>
    <w:rsid w:val="2E705E5A"/>
    <w:rsid w:val="2E8226AB"/>
    <w:rsid w:val="2E8E4140"/>
    <w:rsid w:val="2E915175"/>
    <w:rsid w:val="2E97127C"/>
    <w:rsid w:val="2EF12C10"/>
    <w:rsid w:val="2EF7369D"/>
    <w:rsid w:val="2EFF6701"/>
    <w:rsid w:val="2F0D2540"/>
    <w:rsid w:val="2F1F3844"/>
    <w:rsid w:val="2F28099A"/>
    <w:rsid w:val="2F28586D"/>
    <w:rsid w:val="2F396265"/>
    <w:rsid w:val="2F3B2A6E"/>
    <w:rsid w:val="2F413C94"/>
    <w:rsid w:val="2F5A568C"/>
    <w:rsid w:val="2F867F7E"/>
    <w:rsid w:val="2FB551AD"/>
    <w:rsid w:val="2FB737C8"/>
    <w:rsid w:val="2FD065E6"/>
    <w:rsid w:val="2FD96870"/>
    <w:rsid w:val="2FDF1F8E"/>
    <w:rsid w:val="2FE47CD6"/>
    <w:rsid w:val="2FEE7084"/>
    <w:rsid w:val="2FF0372E"/>
    <w:rsid w:val="30085C5B"/>
    <w:rsid w:val="300A63CA"/>
    <w:rsid w:val="305245CE"/>
    <w:rsid w:val="305303BD"/>
    <w:rsid w:val="30580BC9"/>
    <w:rsid w:val="30585BF7"/>
    <w:rsid w:val="306814F8"/>
    <w:rsid w:val="307865DE"/>
    <w:rsid w:val="308455A5"/>
    <w:rsid w:val="308B1DF4"/>
    <w:rsid w:val="309670F0"/>
    <w:rsid w:val="30C91BF8"/>
    <w:rsid w:val="30D50F78"/>
    <w:rsid w:val="30EE71D2"/>
    <w:rsid w:val="30F47E4E"/>
    <w:rsid w:val="30FB48DB"/>
    <w:rsid w:val="30FF1061"/>
    <w:rsid w:val="311E2ED7"/>
    <w:rsid w:val="315619EE"/>
    <w:rsid w:val="315C449C"/>
    <w:rsid w:val="316C3324"/>
    <w:rsid w:val="31860132"/>
    <w:rsid w:val="319C428F"/>
    <w:rsid w:val="31AB124D"/>
    <w:rsid w:val="31B82709"/>
    <w:rsid w:val="31D03048"/>
    <w:rsid w:val="31D05482"/>
    <w:rsid w:val="31F4143C"/>
    <w:rsid w:val="320356BF"/>
    <w:rsid w:val="32081862"/>
    <w:rsid w:val="320F14C1"/>
    <w:rsid w:val="322B44EF"/>
    <w:rsid w:val="32400B34"/>
    <w:rsid w:val="324C70B9"/>
    <w:rsid w:val="32627887"/>
    <w:rsid w:val="32774ADB"/>
    <w:rsid w:val="32843DF1"/>
    <w:rsid w:val="32951F62"/>
    <w:rsid w:val="32952BF4"/>
    <w:rsid w:val="32964197"/>
    <w:rsid w:val="329E6876"/>
    <w:rsid w:val="32A50AA2"/>
    <w:rsid w:val="32AA3B29"/>
    <w:rsid w:val="32D50C44"/>
    <w:rsid w:val="32E84B9E"/>
    <w:rsid w:val="32EB3B6C"/>
    <w:rsid w:val="32F420C0"/>
    <w:rsid w:val="32F61FE2"/>
    <w:rsid w:val="330048D6"/>
    <w:rsid w:val="330A1801"/>
    <w:rsid w:val="33245703"/>
    <w:rsid w:val="332735FA"/>
    <w:rsid w:val="332C6A3E"/>
    <w:rsid w:val="333015F2"/>
    <w:rsid w:val="334B6320"/>
    <w:rsid w:val="335D0251"/>
    <w:rsid w:val="335E6B33"/>
    <w:rsid w:val="33670156"/>
    <w:rsid w:val="33924FAC"/>
    <w:rsid w:val="33973E0B"/>
    <w:rsid w:val="339B6F44"/>
    <w:rsid w:val="33A075C0"/>
    <w:rsid w:val="33AA05E8"/>
    <w:rsid w:val="33B91574"/>
    <w:rsid w:val="33C22015"/>
    <w:rsid w:val="33D934D4"/>
    <w:rsid w:val="33D9561C"/>
    <w:rsid w:val="33E058A4"/>
    <w:rsid w:val="33EB78D5"/>
    <w:rsid w:val="33FE2F6A"/>
    <w:rsid w:val="33FE40A2"/>
    <w:rsid w:val="340E07E5"/>
    <w:rsid w:val="34235BF7"/>
    <w:rsid w:val="342B2E5D"/>
    <w:rsid w:val="34335589"/>
    <w:rsid w:val="344F4CEC"/>
    <w:rsid w:val="3472781E"/>
    <w:rsid w:val="34890682"/>
    <w:rsid w:val="349D5752"/>
    <w:rsid w:val="34A418FC"/>
    <w:rsid w:val="34DB15D1"/>
    <w:rsid w:val="34E60573"/>
    <w:rsid w:val="34FD723D"/>
    <w:rsid w:val="350E4CE5"/>
    <w:rsid w:val="351D0B54"/>
    <w:rsid w:val="351E44D4"/>
    <w:rsid w:val="354E4DF5"/>
    <w:rsid w:val="3555526F"/>
    <w:rsid w:val="356B7267"/>
    <w:rsid w:val="358C5FA8"/>
    <w:rsid w:val="358C72C7"/>
    <w:rsid w:val="359207AA"/>
    <w:rsid w:val="359D443D"/>
    <w:rsid w:val="35A87489"/>
    <w:rsid w:val="35B363DD"/>
    <w:rsid w:val="35B516AA"/>
    <w:rsid w:val="35C15DF1"/>
    <w:rsid w:val="35F570D4"/>
    <w:rsid w:val="36074A7F"/>
    <w:rsid w:val="360C0002"/>
    <w:rsid w:val="361A2B23"/>
    <w:rsid w:val="363E0826"/>
    <w:rsid w:val="365C69BF"/>
    <w:rsid w:val="36760AE9"/>
    <w:rsid w:val="36915905"/>
    <w:rsid w:val="36923549"/>
    <w:rsid w:val="36A003AE"/>
    <w:rsid w:val="36A04B2A"/>
    <w:rsid w:val="36A12AC7"/>
    <w:rsid w:val="36B00C46"/>
    <w:rsid w:val="36B75FBF"/>
    <w:rsid w:val="36BD0C45"/>
    <w:rsid w:val="36CC46F5"/>
    <w:rsid w:val="36D239CE"/>
    <w:rsid w:val="37062A96"/>
    <w:rsid w:val="372178CA"/>
    <w:rsid w:val="3729447F"/>
    <w:rsid w:val="37377A94"/>
    <w:rsid w:val="374D3656"/>
    <w:rsid w:val="37630D83"/>
    <w:rsid w:val="376407A2"/>
    <w:rsid w:val="37725793"/>
    <w:rsid w:val="37A93783"/>
    <w:rsid w:val="37CD1D19"/>
    <w:rsid w:val="37CE1F8B"/>
    <w:rsid w:val="37CF1C23"/>
    <w:rsid w:val="37D64BA7"/>
    <w:rsid w:val="37E00298"/>
    <w:rsid w:val="37F84740"/>
    <w:rsid w:val="38070BF9"/>
    <w:rsid w:val="380C1BC0"/>
    <w:rsid w:val="380D1E8F"/>
    <w:rsid w:val="381772A0"/>
    <w:rsid w:val="383908E9"/>
    <w:rsid w:val="38401BD6"/>
    <w:rsid w:val="38604B0B"/>
    <w:rsid w:val="38646BF9"/>
    <w:rsid w:val="38677666"/>
    <w:rsid w:val="38685C89"/>
    <w:rsid w:val="386D241A"/>
    <w:rsid w:val="38707E8C"/>
    <w:rsid w:val="387A674C"/>
    <w:rsid w:val="387D02B9"/>
    <w:rsid w:val="38815040"/>
    <w:rsid w:val="389B5BEA"/>
    <w:rsid w:val="38A0417B"/>
    <w:rsid w:val="38B302F9"/>
    <w:rsid w:val="38B3472F"/>
    <w:rsid w:val="38BE3DD3"/>
    <w:rsid w:val="38C13E23"/>
    <w:rsid w:val="38F12CD3"/>
    <w:rsid w:val="38F94775"/>
    <w:rsid w:val="391B523E"/>
    <w:rsid w:val="391E081D"/>
    <w:rsid w:val="392971ED"/>
    <w:rsid w:val="39325651"/>
    <w:rsid w:val="393F756C"/>
    <w:rsid w:val="394805F2"/>
    <w:rsid w:val="39577622"/>
    <w:rsid w:val="396C29CA"/>
    <w:rsid w:val="396D5F42"/>
    <w:rsid w:val="398159B8"/>
    <w:rsid w:val="39926182"/>
    <w:rsid w:val="3994365A"/>
    <w:rsid w:val="39EC6D3B"/>
    <w:rsid w:val="3A0379ED"/>
    <w:rsid w:val="3A0C128A"/>
    <w:rsid w:val="3A0D004A"/>
    <w:rsid w:val="3A1E67A6"/>
    <w:rsid w:val="3A3D667B"/>
    <w:rsid w:val="3A4D19D4"/>
    <w:rsid w:val="3A744447"/>
    <w:rsid w:val="3A744576"/>
    <w:rsid w:val="3A872856"/>
    <w:rsid w:val="3A8B650F"/>
    <w:rsid w:val="3AAA0386"/>
    <w:rsid w:val="3AAE2E1C"/>
    <w:rsid w:val="3AB3405B"/>
    <w:rsid w:val="3AE214AE"/>
    <w:rsid w:val="3AEB54CE"/>
    <w:rsid w:val="3AEC164D"/>
    <w:rsid w:val="3AFE0C57"/>
    <w:rsid w:val="3AFE2E55"/>
    <w:rsid w:val="3B1C49CC"/>
    <w:rsid w:val="3B1C786D"/>
    <w:rsid w:val="3B3763D1"/>
    <w:rsid w:val="3B3B099B"/>
    <w:rsid w:val="3B402C2D"/>
    <w:rsid w:val="3B4549C0"/>
    <w:rsid w:val="3B5D0C70"/>
    <w:rsid w:val="3B730350"/>
    <w:rsid w:val="3B7F24AA"/>
    <w:rsid w:val="3B815CB3"/>
    <w:rsid w:val="3B915EEC"/>
    <w:rsid w:val="3BCD6A01"/>
    <w:rsid w:val="3BD96AD2"/>
    <w:rsid w:val="3BDA7340"/>
    <w:rsid w:val="3BE00A90"/>
    <w:rsid w:val="3BF40835"/>
    <w:rsid w:val="3BFD0FE5"/>
    <w:rsid w:val="3C0C371E"/>
    <w:rsid w:val="3C1960D7"/>
    <w:rsid w:val="3C2F6E1E"/>
    <w:rsid w:val="3C3C5B3B"/>
    <w:rsid w:val="3C4874D9"/>
    <w:rsid w:val="3C4F64BA"/>
    <w:rsid w:val="3C6C4AE9"/>
    <w:rsid w:val="3C8A6E3C"/>
    <w:rsid w:val="3C9133DD"/>
    <w:rsid w:val="3C950628"/>
    <w:rsid w:val="3CBB0761"/>
    <w:rsid w:val="3CDA245A"/>
    <w:rsid w:val="3CF84295"/>
    <w:rsid w:val="3D1E06B7"/>
    <w:rsid w:val="3D20645C"/>
    <w:rsid w:val="3D317376"/>
    <w:rsid w:val="3D3C5C83"/>
    <w:rsid w:val="3D3F477C"/>
    <w:rsid w:val="3D4457B5"/>
    <w:rsid w:val="3D562151"/>
    <w:rsid w:val="3D860681"/>
    <w:rsid w:val="3DAD2317"/>
    <w:rsid w:val="3DC52B1B"/>
    <w:rsid w:val="3DCB5171"/>
    <w:rsid w:val="3DE7432E"/>
    <w:rsid w:val="3DF21D6F"/>
    <w:rsid w:val="3DF83E38"/>
    <w:rsid w:val="3E03338C"/>
    <w:rsid w:val="3E425114"/>
    <w:rsid w:val="3E5F3F1E"/>
    <w:rsid w:val="3E600859"/>
    <w:rsid w:val="3E7262CB"/>
    <w:rsid w:val="3EBF5EC2"/>
    <w:rsid w:val="3EBF64F8"/>
    <w:rsid w:val="3EC44D49"/>
    <w:rsid w:val="3EDA0523"/>
    <w:rsid w:val="3EE65CBF"/>
    <w:rsid w:val="3F0062A9"/>
    <w:rsid w:val="3F0E727B"/>
    <w:rsid w:val="3F4546CA"/>
    <w:rsid w:val="3F651E10"/>
    <w:rsid w:val="3F683268"/>
    <w:rsid w:val="3F694E87"/>
    <w:rsid w:val="3F6A5374"/>
    <w:rsid w:val="3F8C7C18"/>
    <w:rsid w:val="3F9A31E0"/>
    <w:rsid w:val="3F9D57ED"/>
    <w:rsid w:val="3FAE1215"/>
    <w:rsid w:val="3FBA731C"/>
    <w:rsid w:val="3FC41290"/>
    <w:rsid w:val="3FD344B0"/>
    <w:rsid w:val="3FE86698"/>
    <w:rsid w:val="3FEC3520"/>
    <w:rsid w:val="3FEE0A6F"/>
    <w:rsid w:val="3FF41EF8"/>
    <w:rsid w:val="40044397"/>
    <w:rsid w:val="401D2804"/>
    <w:rsid w:val="40217FC5"/>
    <w:rsid w:val="403149DC"/>
    <w:rsid w:val="403700E8"/>
    <w:rsid w:val="40786455"/>
    <w:rsid w:val="407A6407"/>
    <w:rsid w:val="408769F6"/>
    <w:rsid w:val="40B268BC"/>
    <w:rsid w:val="40C27F71"/>
    <w:rsid w:val="40C66233"/>
    <w:rsid w:val="40CD06B9"/>
    <w:rsid w:val="40D36145"/>
    <w:rsid w:val="40EB23A1"/>
    <w:rsid w:val="40EF6094"/>
    <w:rsid w:val="40F221BF"/>
    <w:rsid w:val="40FA362D"/>
    <w:rsid w:val="41070F3E"/>
    <w:rsid w:val="41372857"/>
    <w:rsid w:val="41506142"/>
    <w:rsid w:val="415B592E"/>
    <w:rsid w:val="415D371B"/>
    <w:rsid w:val="41842516"/>
    <w:rsid w:val="41876D5D"/>
    <w:rsid w:val="419C2B3B"/>
    <w:rsid w:val="41A95E77"/>
    <w:rsid w:val="41B90E95"/>
    <w:rsid w:val="41BD3269"/>
    <w:rsid w:val="4200449D"/>
    <w:rsid w:val="4209374A"/>
    <w:rsid w:val="422B6354"/>
    <w:rsid w:val="423A3BCC"/>
    <w:rsid w:val="424E57D2"/>
    <w:rsid w:val="425B2CFB"/>
    <w:rsid w:val="42717C84"/>
    <w:rsid w:val="42A71645"/>
    <w:rsid w:val="42B26C49"/>
    <w:rsid w:val="42B4218A"/>
    <w:rsid w:val="42B56225"/>
    <w:rsid w:val="42BC538A"/>
    <w:rsid w:val="42D36D64"/>
    <w:rsid w:val="42D77239"/>
    <w:rsid w:val="42E42CCB"/>
    <w:rsid w:val="42EE04F0"/>
    <w:rsid w:val="42F869F2"/>
    <w:rsid w:val="431A516A"/>
    <w:rsid w:val="43347798"/>
    <w:rsid w:val="433A46C9"/>
    <w:rsid w:val="433A6FE6"/>
    <w:rsid w:val="43480868"/>
    <w:rsid w:val="434877A5"/>
    <w:rsid w:val="4350713C"/>
    <w:rsid w:val="436653E0"/>
    <w:rsid w:val="4376346D"/>
    <w:rsid w:val="437C12E8"/>
    <w:rsid w:val="437C732A"/>
    <w:rsid w:val="437F26E6"/>
    <w:rsid w:val="43A93FCF"/>
    <w:rsid w:val="43AA5046"/>
    <w:rsid w:val="43AD5F98"/>
    <w:rsid w:val="43C4431A"/>
    <w:rsid w:val="43C5363E"/>
    <w:rsid w:val="43D57C32"/>
    <w:rsid w:val="43ED690D"/>
    <w:rsid w:val="43F40803"/>
    <w:rsid w:val="441D54C9"/>
    <w:rsid w:val="442623D0"/>
    <w:rsid w:val="4426495C"/>
    <w:rsid w:val="44850F5D"/>
    <w:rsid w:val="448512B0"/>
    <w:rsid w:val="448D193E"/>
    <w:rsid w:val="448D794F"/>
    <w:rsid w:val="448F5B56"/>
    <w:rsid w:val="44A54257"/>
    <w:rsid w:val="44B9194D"/>
    <w:rsid w:val="44B951CC"/>
    <w:rsid w:val="44C747CC"/>
    <w:rsid w:val="44CD14E0"/>
    <w:rsid w:val="44D6336D"/>
    <w:rsid w:val="44EC6060"/>
    <w:rsid w:val="44F20B0B"/>
    <w:rsid w:val="450C2CDB"/>
    <w:rsid w:val="450C374E"/>
    <w:rsid w:val="452E5F4C"/>
    <w:rsid w:val="453A6A23"/>
    <w:rsid w:val="454A6FCB"/>
    <w:rsid w:val="45612018"/>
    <w:rsid w:val="457256E0"/>
    <w:rsid w:val="458946E9"/>
    <w:rsid w:val="458B5528"/>
    <w:rsid w:val="45A47C0E"/>
    <w:rsid w:val="45B44287"/>
    <w:rsid w:val="45E83674"/>
    <w:rsid w:val="45EC4EF4"/>
    <w:rsid w:val="46252F12"/>
    <w:rsid w:val="462E2DF0"/>
    <w:rsid w:val="46577FD6"/>
    <w:rsid w:val="4663360B"/>
    <w:rsid w:val="46771647"/>
    <w:rsid w:val="467C35C7"/>
    <w:rsid w:val="46864AE5"/>
    <w:rsid w:val="4695188F"/>
    <w:rsid w:val="469F6A79"/>
    <w:rsid w:val="46B21106"/>
    <w:rsid w:val="46B848FE"/>
    <w:rsid w:val="46C360D7"/>
    <w:rsid w:val="46C84923"/>
    <w:rsid w:val="46CC29A7"/>
    <w:rsid w:val="46D955A7"/>
    <w:rsid w:val="46DA4E4A"/>
    <w:rsid w:val="46DF75F7"/>
    <w:rsid w:val="47133957"/>
    <w:rsid w:val="471462F6"/>
    <w:rsid w:val="472C6C83"/>
    <w:rsid w:val="47303416"/>
    <w:rsid w:val="47384003"/>
    <w:rsid w:val="4761511A"/>
    <w:rsid w:val="4764152B"/>
    <w:rsid w:val="478B01F4"/>
    <w:rsid w:val="47A07E0C"/>
    <w:rsid w:val="47AF5A1F"/>
    <w:rsid w:val="47B14FA1"/>
    <w:rsid w:val="47B65536"/>
    <w:rsid w:val="47BE2E76"/>
    <w:rsid w:val="48112949"/>
    <w:rsid w:val="48191D9F"/>
    <w:rsid w:val="481E59F2"/>
    <w:rsid w:val="48400F6D"/>
    <w:rsid w:val="485C5262"/>
    <w:rsid w:val="486C2DD3"/>
    <w:rsid w:val="4870272E"/>
    <w:rsid w:val="48942F22"/>
    <w:rsid w:val="489D6486"/>
    <w:rsid w:val="48A56BA1"/>
    <w:rsid w:val="48E823FB"/>
    <w:rsid w:val="48E95B90"/>
    <w:rsid w:val="4916028E"/>
    <w:rsid w:val="491B2F76"/>
    <w:rsid w:val="492C5C6D"/>
    <w:rsid w:val="49450A41"/>
    <w:rsid w:val="494552C4"/>
    <w:rsid w:val="494964CE"/>
    <w:rsid w:val="49597937"/>
    <w:rsid w:val="49651404"/>
    <w:rsid w:val="49B67D6B"/>
    <w:rsid w:val="49DC7715"/>
    <w:rsid w:val="49F128B3"/>
    <w:rsid w:val="49F31C28"/>
    <w:rsid w:val="4A023139"/>
    <w:rsid w:val="4A1959EB"/>
    <w:rsid w:val="4A3E5026"/>
    <w:rsid w:val="4A7B576F"/>
    <w:rsid w:val="4A7F1833"/>
    <w:rsid w:val="4A826ECA"/>
    <w:rsid w:val="4AB84CE2"/>
    <w:rsid w:val="4AC11E1A"/>
    <w:rsid w:val="4ACE72D5"/>
    <w:rsid w:val="4ADD1B62"/>
    <w:rsid w:val="4ADF16F3"/>
    <w:rsid w:val="4AE33A6B"/>
    <w:rsid w:val="4AF561A9"/>
    <w:rsid w:val="4B18017D"/>
    <w:rsid w:val="4B3350AC"/>
    <w:rsid w:val="4B90585C"/>
    <w:rsid w:val="4B95421D"/>
    <w:rsid w:val="4B976B77"/>
    <w:rsid w:val="4BF67423"/>
    <w:rsid w:val="4C00576B"/>
    <w:rsid w:val="4C275F84"/>
    <w:rsid w:val="4C455C43"/>
    <w:rsid w:val="4C4A0649"/>
    <w:rsid w:val="4C6E7D2A"/>
    <w:rsid w:val="4C7E5ECA"/>
    <w:rsid w:val="4C876AA5"/>
    <w:rsid w:val="4C9C7E3F"/>
    <w:rsid w:val="4C9E2B86"/>
    <w:rsid w:val="4CA21380"/>
    <w:rsid w:val="4CAA6FD7"/>
    <w:rsid w:val="4CBB2A14"/>
    <w:rsid w:val="4CC20075"/>
    <w:rsid w:val="4CD1070F"/>
    <w:rsid w:val="4CDA3FA2"/>
    <w:rsid w:val="4CE74AA9"/>
    <w:rsid w:val="4D0C5CD6"/>
    <w:rsid w:val="4D0E00FB"/>
    <w:rsid w:val="4D176606"/>
    <w:rsid w:val="4D2B4E39"/>
    <w:rsid w:val="4D4A3D56"/>
    <w:rsid w:val="4D4E738E"/>
    <w:rsid w:val="4DAF77C9"/>
    <w:rsid w:val="4DB71498"/>
    <w:rsid w:val="4DBB0C96"/>
    <w:rsid w:val="4DC12B9F"/>
    <w:rsid w:val="4DC31C35"/>
    <w:rsid w:val="4DEC4FB0"/>
    <w:rsid w:val="4E075D8A"/>
    <w:rsid w:val="4E2B1A2D"/>
    <w:rsid w:val="4E5251A3"/>
    <w:rsid w:val="4E5A39E3"/>
    <w:rsid w:val="4E5C4F9C"/>
    <w:rsid w:val="4E72078C"/>
    <w:rsid w:val="4E9C6AE9"/>
    <w:rsid w:val="4EC00FAD"/>
    <w:rsid w:val="4EC0295F"/>
    <w:rsid w:val="4ED92673"/>
    <w:rsid w:val="4EF639B0"/>
    <w:rsid w:val="4EF77399"/>
    <w:rsid w:val="4EF81A72"/>
    <w:rsid w:val="4F0B05B4"/>
    <w:rsid w:val="4F125021"/>
    <w:rsid w:val="4F2F2D76"/>
    <w:rsid w:val="4F57580C"/>
    <w:rsid w:val="4F594110"/>
    <w:rsid w:val="4F5F1F61"/>
    <w:rsid w:val="4F5F63A7"/>
    <w:rsid w:val="4F916CAF"/>
    <w:rsid w:val="4F92089C"/>
    <w:rsid w:val="4F9843DC"/>
    <w:rsid w:val="4FBE7162"/>
    <w:rsid w:val="4FC62A8C"/>
    <w:rsid w:val="4FCD085F"/>
    <w:rsid w:val="4FE20F0D"/>
    <w:rsid w:val="4FE51552"/>
    <w:rsid w:val="4FFC7C5B"/>
    <w:rsid w:val="50000001"/>
    <w:rsid w:val="500E2ED6"/>
    <w:rsid w:val="500F5C67"/>
    <w:rsid w:val="501F6B33"/>
    <w:rsid w:val="5027550C"/>
    <w:rsid w:val="503B5685"/>
    <w:rsid w:val="503C31D2"/>
    <w:rsid w:val="50504C4B"/>
    <w:rsid w:val="505A5524"/>
    <w:rsid w:val="507635A3"/>
    <w:rsid w:val="507F4EAA"/>
    <w:rsid w:val="50850E6E"/>
    <w:rsid w:val="508640E6"/>
    <w:rsid w:val="509A5FF6"/>
    <w:rsid w:val="509C6E7C"/>
    <w:rsid w:val="509C7DFC"/>
    <w:rsid w:val="509F79AE"/>
    <w:rsid w:val="50C1794B"/>
    <w:rsid w:val="50D05D25"/>
    <w:rsid w:val="50D575FF"/>
    <w:rsid w:val="50DA290B"/>
    <w:rsid w:val="50F92260"/>
    <w:rsid w:val="510D7118"/>
    <w:rsid w:val="5162104E"/>
    <w:rsid w:val="5165269B"/>
    <w:rsid w:val="51827557"/>
    <w:rsid w:val="518976D2"/>
    <w:rsid w:val="519A48E9"/>
    <w:rsid w:val="519B2B16"/>
    <w:rsid w:val="519F67B0"/>
    <w:rsid w:val="51A14996"/>
    <w:rsid w:val="51CD1175"/>
    <w:rsid w:val="51D44F2D"/>
    <w:rsid w:val="51E548D3"/>
    <w:rsid w:val="51EC762A"/>
    <w:rsid w:val="52140BA8"/>
    <w:rsid w:val="522E2B14"/>
    <w:rsid w:val="5237428E"/>
    <w:rsid w:val="523D2E73"/>
    <w:rsid w:val="5246510B"/>
    <w:rsid w:val="52666914"/>
    <w:rsid w:val="526A68D5"/>
    <w:rsid w:val="5291586A"/>
    <w:rsid w:val="52D341F1"/>
    <w:rsid w:val="52D37D03"/>
    <w:rsid w:val="52DB707F"/>
    <w:rsid w:val="52EE53BE"/>
    <w:rsid w:val="530E0E43"/>
    <w:rsid w:val="530F6F88"/>
    <w:rsid w:val="53294B7A"/>
    <w:rsid w:val="53451BE6"/>
    <w:rsid w:val="5357444A"/>
    <w:rsid w:val="536F1AF1"/>
    <w:rsid w:val="536F1D83"/>
    <w:rsid w:val="538E07A2"/>
    <w:rsid w:val="538E3809"/>
    <w:rsid w:val="53A039CC"/>
    <w:rsid w:val="53A1505A"/>
    <w:rsid w:val="53A73388"/>
    <w:rsid w:val="53B40C71"/>
    <w:rsid w:val="54063E08"/>
    <w:rsid w:val="543437E8"/>
    <w:rsid w:val="54504554"/>
    <w:rsid w:val="545B0FE3"/>
    <w:rsid w:val="54733A61"/>
    <w:rsid w:val="54A343F4"/>
    <w:rsid w:val="54A45BF1"/>
    <w:rsid w:val="54AA1B9C"/>
    <w:rsid w:val="54B428FD"/>
    <w:rsid w:val="54C039B0"/>
    <w:rsid w:val="54E25430"/>
    <w:rsid w:val="54F10B69"/>
    <w:rsid w:val="54F73313"/>
    <w:rsid w:val="54F80955"/>
    <w:rsid w:val="550C4D95"/>
    <w:rsid w:val="55312EB3"/>
    <w:rsid w:val="55324FD5"/>
    <w:rsid w:val="555170A7"/>
    <w:rsid w:val="55623313"/>
    <w:rsid w:val="55797948"/>
    <w:rsid w:val="5587536D"/>
    <w:rsid w:val="559B174B"/>
    <w:rsid w:val="55A15289"/>
    <w:rsid w:val="55AB1EE1"/>
    <w:rsid w:val="55CE0CF4"/>
    <w:rsid w:val="55CE392B"/>
    <w:rsid w:val="55DD43AB"/>
    <w:rsid w:val="55E524FA"/>
    <w:rsid w:val="55F33BA2"/>
    <w:rsid w:val="55FC3551"/>
    <w:rsid w:val="560F1802"/>
    <w:rsid w:val="5613632E"/>
    <w:rsid w:val="56195AB8"/>
    <w:rsid w:val="562B7F15"/>
    <w:rsid w:val="56384502"/>
    <w:rsid w:val="56403387"/>
    <w:rsid w:val="5653251F"/>
    <w:rsid w:val="5654390C"/>
    <w:rsid w:val="565D0EC4"/>
    <w:rsid w:val="56715AEE"/>
    <w:rsid w:val="56781609"/>
    <w:rsid w:val="56841F56"/>
    <w:rsid w:val="568D129A"/>
    <w:rsid w:val="569F51AC"/>
    <w:rsid w:val="56A26130"/>
    <w:rsid w:val="56A47221"/>
    <w:rsid w:val="56B22A9C"/>
    <w:rsid w:val="56C113E6"/>
    <w:rsid w:val="56DB5E7F"/>
    <w:rsid w:val="56F61683"/>
    <w:rsid w:val="570C5A58"/>
    <w:rsid w:val="57171972"/>
    <w:rsid w:val="57210798"/>
    <w:rsid w:val="572B68B4"/>
    <w:rsid w:val="574B0E3F"/>
    <w:rsid w:val="5774461D"/>
    <w:rsid w:val="579A3A46"/>
    <w:rsid w:val="57A965D6"/>
    <w:rsid w:val="57B72A76"/>
    <w:rsid w:val="57C3426C"/>
    <w:rsid w:val="57CE1F93"/>
    <w:rsid w:val="57D04035"/>
    <w:rsid w:val="57E35678"/>
    <w:rsid w:val="57F112D5"/>
    <w:rsid w:val="57F32D37"/>
    <w:rsid w:val="58036146"/>
    <w:rsid w:val="580871A6"/>
    <w:rsid w:val="586B0907"/>
    <w:rsid w:val="587072A9"/>
    <w:rsid w:val="588743D1"/>
    <w:rsid w:val="5887701A"/>
    <w:rsid w:val="5898534D"/>
    <w:rsid w:val="58A6207E"/>
    <w:rsid w:val="58AE64F9"/>
    <w:rsid w:val="58B62562"/>
    <w:rsid w:val="58BB7A17"/>
    <w:rsid w:val="58BE3938"/>
    <w:rsid w:val="58C54ABC"/>
    <w:rsid w:val="58E65065"/>
    <w:rsid w:val="58EE737A"/>
    <w:rsid w:val="58FB2D8B"/>
    <w:rsid w:val="58FB310B"/>
    <w:rsid w:val="590F14A0"/>
    <w:rsid w:val="591150E3"/>
    <w:rsid w:val="59203B67"/>
    <w:rsid w:val="5921524A"/>
    <w:rsid w:val="592738D0"/>
    <w:rsid w:val="593D758D"/>
    <w:rsid w:val="597920CE"/>
    <w:rsid w:val="599D5761"/>
    <w:rsid w:val="59B04FC5"/>
    <w:rsid w:val="59C0439F"/>
    <w:rsid w:val="59D3726C"/>
    <w:rsid w:val="59D54705"/>
    <w:rsid w:val="59E508D1"/>
    <w:rsid w:val="59E8796D"/>
    <w:rsid w:val="5A114D2A"/>
    <w:rsid w:val="5A2028CF"/>
    <w:rsid w:val="5A2D3A76"/>
    <w:rsid w:val="5A440245"/>
    <w:rsid w:val="5A4C15F2"/>
    <w:rsid w:val="5A590067"/>
    <w:rsid w:val="5A5A2AB9"/>
    <w:rsid w:val="5A6048D2"/>
    <w:rsid w:val="5AAA7B28"/>
    <w:rsid w:val="5AAB4D51"/>
    <w:rsid w:val="5AAD0254"/>
    <w:rsid w:val="5AB72D62"/>
    <w:rsid w:val="5ABA5A4E"/>
    <w:rsid w:val="5ABE2233"/>
    <w:rsid w:val="5AF153C3"/>
    <w:rsid w:val="5B1509A5"/>
    <w:rsid w:val="5B2603F1"/>
    <w:rsid w:val="5B587C67"/>
    <w:rsid w:val="5B906560"/>
    <w:rsid w:val="5B97302A"/>
    <w:rsid w:val="5BAB1071"/>
    <w:rsid w:val="5BB15EF9"/>
    <w:rsid w:val="5BDF5D95"/>
    <w:rsid w:val="5BEF71F0"/>
    <w:rsid w:val="5BFE7528"/>
    <w:rsid w:val="5C2B7A4A"/>
    <w:rsid w:val="5C2C57D9"/>
    <w:rsid w:val="5C3212FC"/>
    <w:rsid w:val="5C322ACF"/>
    <w:rsid w:val="5C514C46"/>
    <w:rsid w:val="5C522B03"/>
    <w:rsid w:val="5C6E6AF1"/>
    <w:rsid w:val="5C8D5BE6"/>
    <w:rsid w:val="5CA64037"/>
    <w:rsid w:val="5CB9340E"/>
    <w:rsid w:val="5CB937AD"/>
    <w:rsid w:val="5CBD0BD0"/>
    <w:rsid w:val="5CC15EDF"/>
    <w:rsid w:val="5CEC747F"/>
    <w:rsid w:val="5D191C87"/>
    <w:rsid w:val="5D472117"/>
    <w:rsid w:val="5D4F5DAE"/>
    <w:rsid w:val="5D616312"/>
    <w:rsid w:val="5D8E40C4"/>
    <w:rsid w:val="5DA36667"/>
    <w:rsid w:val="5DAD753D"/>
    <w:rsid w:val="5DB379C1"/>
    <w:rsid w:val="5DB77E4C"/>
    <w:rsid w:val="5DDD651E"/>
    <w:rsid w:val="5DF125B0"/>
    <w:rsid w:val="5DF32230"/>
    <w:rsid w:val="5E005E90"/>
    <w:rsid w:val="5E163479"/>
    <w:rsid w:val="5E2467F1"/>
    <w:rsid w:val="5E4071E5"/>
    <w:rsid w:val="5E6729C0"/>
    <w:rsid w:val="5E7137E6"/>
    <w:rsid w:val="5E9E7BBA"/>
    <w:rsid w:val="5EA16F56"/>
    <w:rsid w:val="5EB10C2B"/>
    <w:rsid w:val="5EB72CC8"/>
    <w:rsid w:val="5EBC0954"/>
    <w:rsid w:val="5EE240B6"/>
    <w:rsid w:val="5EF547A8"/>
    <w:rsid w:val="5F0D61FF"/>
    <w:rsid w:val="5F1A2B43"/>
    <w:rsid w:val="5F1C4AA8"/>
    <w:rsid w:val="5F3715C2"/>
    <w:rsid w:val="5F3B3F1C"/>
    <w:rsid w:val="5F434E93"/>
    <w:rsid w:val="5F5D2E4C"/>
    <w:rsid w:val="5F9E1714"/>
    <w:rsid w:val="5FA36200"/>
    <w:rsid w:val="5FAA2D32"/>
    <w:rsid w:val="5FB837BB"/>
    <w:rsid w:val="5FC0287E"/>
    <w:rsid w:val="5FC76D31"/>
    <w:rsid w:val="5FC90CF3"/>
    <w:rsid w:val="60025528"/>
    <w:rsid w:val="600F70A7"/>
    <w:rsid w:val="601B093B"/>
    <w:rsid w:val="604044F0"/>
    <w:rsid w:val="605A2348"/>
    <w:rsid w:val="60694E5F"/>
    <w:rsid w:val="607C451A"/>
    <w:rsid w:val="60806FCC"/>
    <w:rsid w:val="60AC2428"/>
    <w:rsid w:val="60B16F3D"/>
    <w:rsid w:val="60B53AE5"/>
    <w:rsid w:val="60B949BF"/>
    <w:rsid w:val="60BE0064"/>
    <w:rsid w:val="60BE7348"/>
    <w:rsid w:val="60CC405A"/>
    <w:rsid w:val="60D333C6"/>
    <w:rsid w:val="60DB11B6"/>
    <w:rsid w:val="60E878FC"/>
    <w:rsid w:val="610A4623"/>
    <w:rsid w:val="613B6814"/>
    <w:rsid w:val="61781F24"/>
    <w:rsid w:val="61E215D8"/>
    <w:rsid w:val="61ED05C1"/>
    <w:rsid w:val="61FD168E"/>
    <w:rsid w:val="621B3775"/>
    <w:rsid w:val="62364782"/>
    <w:rsid w:val="62562F8D"/>
    <w:rsid w:val="626837AB"/>
    <w:rsid w:val="628A22C6"/>
    <w:rsid w:val="62911344"/>
    <w:rsid w:val="62AC1371"/>
    <w:rsid w:val="62B337E3"/>
    <w:rsid w:val="62CF4061"/>
    <w:rsid w:val="62D329F0"/>
    <w:rsid w:val="62E23478"/>
    <w:rsid w:val="62EA2623"/>
    <w:rsid w:val="630C6A8F"/>
    <w:rsid w:val="63177CAC"/>
    <w:rsid w:val="63225D9A"/>
    <w:rsid w:val="633073D3"/>
    <w:rsid w:val="6335674C"/>
    <w:rsid w:val="633862AC"/>
    <w:rsid w:val="633A1B71"/>
    <w:rsid w:val="63443890"/>
    <w:rsid w:val="634E37CC"/>
    <w:rsid w:val="636E32B1"/>
    <w:rsid w:val="63703BFE"/>
    <w:rsid w:val="63801AD9"/>
    <w:rsid w:val="6394356A"/>
    <w:rsid w:val="63C61B2C"/>
    <w:rsid w:val="63C62EB1"/>
    <w:rsid w:val="63D40BE9"/>
    <w:rsid w:val="63D541B9"/>
    <w:rsid w:val="640121BB"/>
    <w:rsid w:val="640B4D58"/>
    <w:rsid w:val="64102431"/>
    <w:rsid w:val="643C104D"/>
    <w:rsid w:val="6444420E"/>
    <w:rsid w:val="645771B5"/>
    <w:rsid w:val="64602DDE"/>
    <w:rsid w:val="64623156"/>
    <w:rsid w:val="6487730D"/>
    <w:rsid w:val="648A4109"/>
    <w:rsid w:val="649445F6"/>
    <w:rsid w:val="64966A46"/>
    <w:rsid w:val="64A5243A"/>
    <w:rsid w:val="64CC6AAA"/>
    <w:rsid w:val="64E2758F"/>
    <w:rsid w:val="64EE366F"/>
    <w:rsid w:val="64F531DE"/>
    <w:rsid w:val="65373578"/>
    <w:rsid w:val="65474D35"/>
    <w:rsid w:val="6569656F"/>
    <w:rsid w:val="65707CD3"/>
    <w:rsid w:val="65A87FA3"/>
    <w:rsid w:val="65B43A3C"/>
    <w:rsid w:val="65B84FD6"/>
    <w:rsid w:val="65C21039"/>
    <w:rsid w:val="65E35C12"/>
    <w:rsid w:val="65EC6862"/>
    <w:rsid w:val="66007F93"/>
    <w:rsid w:val="660D43A8"/>
    <w:rsid w:val="66173D55"/>
    <w:rsid w:val="663D4C42"/>
    <w:rsid w:val="66406CA1"/>
    <w:rsid w:val="6649389E"/>
    <w:rsid w:val="666946C1"/>
    <w:rsid w:val="66743BE4"/>
    <w:rsid w:val="66791D38"/>
    <w:rsid w:val="66895590"/>
    <w:rsid w:val="66CB2AEA"/>
    <w:rsid w:val="66D13686"/>
    <w:rsid w:val="66DA1784"/>
    <w:rsid w:val="66E00248"/>
    <w:rsid w:val="66EB05D5"/>
    <w:rsid w:val="66FF39D6"/>
    <w:rsid w:val="67027635"/>
    <w:rsid w:val="671C5314"/>
    <w:rsid w:val="671F124A"/>
    <w:rsid w:val="6727424C"/>
    <w:rsid w:val="674A3CA5"/>
    <w:rsid w:val="67573279"/>
    <w:rsid w:val="676166A9"/>
    <w:rsid w:val="677275F6"/>
    <w:rsid w:val="67787379"/>
    <w:rsid w:val="677A33C6"/>
    <w:rsid w:val="677B268B"/>
    <w:rsid w:val="67B5089C"/>
    <w:rsid w:val="67C11E54"/>
    <w:rsid w:val="680E5AD9"/>
    <w:rsid w:val="681F6961"/>
    <w:rsid w:val="682E5E73"/>
    <w:rsid w:val="68366718"/>
    <w:rsid w:val="685F5603"/>
    <w:rsid w:val="68610A2F"/>
    <w:rsid w:val="68721D6A"/>
    <w:rsid w:val="68725290"/>
    <w:rsid w:val="68805514"/>
    <w:rsid w:val="689B0501"/>
    <w:rsid w:val="68BE163C"/>
    <w:rsid w:val="68D50C77"/>
    <w:rsid w:val="68D53C6F"/>
    <w:rsid w:val="68E0459C"/>
    <w:rsid w:val="68E3315D"/>
    <w:rsid w:val="68FB4AE5"/>
    <w:rsid w:val="690E79B4"/>
    <w:rsid w:val="692840D6"/>
    <w:rsid w:val="69316E2F"/>
    <w:rsid w:val="694677C3"/>
    <w:rsid w:val="694E2071"/>
    <w:rsid w:val="69524A24"/>
    <w:rsid w:val="696E0D08"/>
    <w:rsid w:val="69766163"/>
    <w:rsid w:val="697A3B33"/>
    <w:rsid w:val="69CE67A3"/>
    <w:rsid w:val="69D44760"/>
    <w:rsid w:val="69D73971"/>
    <w:rsid w:val="69E403F2"/>
    <w:rsid w:val="69E63E4A"/>
    <w:rsid w:val="69E84DCE"/>
    <w:rsid w:val="69FF3F56"/>
    <w:rsid w:val="6A4341E3"/>
    <w:rsid w:val="6A4F3D1E"/>
    <w:rsid w:val="6A520EC7"/>
    <w:rsid w:val="6A5F6079"/>
    <w:rsid w:val="6A6152D6"/>
    <w:rsid w:val="6A881EFF"/>
    <w:rsid w:val="6A9A2810"/>
    <w:rsid w:val="6AA300DB"/>
    <w:rsid w:val="6AA422F7"/>
    <w:rsid w:val="6AA4572D"/>
    <w:rsid w:val="6ADB4375"/>
    <w:rsid w:val="6ADE1E63"/>
    <w:rsid w:val="6AE40C43"/>
    <w:rsid w:val="6AF87E20"/>
    <w:rsid w:val="6AF9492B"/>
    <w:rsid w:val="6B162075"/>
    <w:rsid w:val="6B1926F0"/>
    <w:rsid w:val="6B215137"/>
    <w:rsid w:val="6B322639"/>
    <w:rsid w:val="6B32594D"/>
    <w:rsid w:val="6B4F38B9"/>
    <w:rsid w:val="6B737F32"/>
    <w:rsid w:val="6B747DD8"/>
    <w:rsid w:val="6B8E0982"/>
    <w:rsid w:val="6B9F0C1C"/>
    <w:rsid w:val="6BF23225"/>
    <w:rsid w:val="6BF81F0B"/>
    <w:rsid w:val="6C397056"/>
    <w:rsid w:val="6C564C6F"/>
    <w:rsid w:val="6C5B3E31"/>
    <w:rsid w:val="6C636C38"/>
    <w:rsid w:val="6C6B30B0"/>
    <w:rsid w:val="6C812AC0"/>
    <w:rsid w:val="6C824A7F"/>
    <w:rsid w:val="6C852DC1"/>
    <w:rsid w:val="6C9B563C"/>
    <w:rsid w:val="6C9C6FE3"/>
    <w:rsid w:val="6C9E65C1"/>
    <w:rsid w:val="6CA16704"/>
    <w:rsid w:val="6CB5532D"/>
    <w:rsid w:val="6CD42D3A"/>
    <w:rsid w:val="6CE2150F"/>
    <w:rsid w:val="6CF92614"/>
    <w:rsid w:val="6CFC4CDB"/>
    <w:rsid w:val="6D051238"/>
    <w:rsid w:val="6D23209D"/>
    <w:rsid w:val="6D5527DC"/>
    <w:rsid w:val="6D5A1C3E"/>
    <w:rsid w:val="6D9C504D"/>
    <w:rsid w:val="6DA92AD8"/>
    <w:rsid w:val="6DB34098"/>
    <w:rsid w:val="6DB545B6"/>
    <w:rsid w:val="6DB570B7"/>
    <w:rsid w:val="6DBB3515"/>
    <w:rsid w:val="6DBC0F97"/>
    <w:rsid w:val="6DBD113A"/>
    <w:rsid w:val="6DBF051E"/>
    <w:rsid w:val="6DC401D7"/>
    <w:rsid w:val="6DC76B35"/>
    <w:rsid w:val="6DD679D8"/>
    <w:rsid w:val="6DDA4609"/>
    <w:rsid w:val="6DDE27D0"/>
    <w:rsid w:val="6DE02FB4"/>
    <w:rsid w:val="6DEB3274"/>
    <w:rsid w:val="6DEF2486"/>
    <w:rsid w:val="6DFC301D"/>
    <w:rsid w:val="6E054DDB"/>
    <w:rsid w:val="6E0C201B"/>
    <w:rsid w:val="6E1106B7"/>
    <w:rsid w:val="6E1935FD"/>
    <w:rsid w:val="6E253229"/>
    <w:rsid w:val="6E514CED"/>
    <w:rsid w:val="6E691222"/>
    <w:rsid w:val="6E6B4DAF"/>
    <w:rsid w:val="6E7337C1"/>
    <w:rsid w:val="6EB2683E"/>
    <w:rsid w:val="6EB563D5"/>
    <w:rsid w:val="6EBF1029"/>
    <w:rsid w:val="6EC60D73"/>
    <w:rsid w:val="6EC715F0"/>
    <w:rsid w:val="6EC738F4"/>
    <w:rsid w:val="6ED27505"/>
    <w:rsid w:val="6ED92677"/>
    <w:rsid w:val="6EF0008F"/>
    <w:rsid w:val="6EF74467"/>
    <w:rsid w:val="6F0F28B4"/>
    <w:rsid w:val="6F165D50"/>
    <w:rsid w:val="6F225983"/>
    <w:rsid w:val="6F275EF7"/>
    <w:rsid w:val="6F2A7A42"/>
    <w:rsid w:val="6F3C17A8"/>
    <w:rsid w:val="6F6F63DF"/>
    <w:rsid w:val="6F8571B6"/>
    <w:rsid w:val="6F963B69"/>
    <w:rsid w:val="6FAF2608"/>
    <w:rsid w:val="6FC700F2"/>
    <w:rsid w:val="6FD33B0D"/>
    <w:rsid w:val="6FDF0B6B"/>
    <w:rsid w:val="6FE6318A"/>
    <w:rsid w:val="6FF67002"/>
    <w:rsid w:val="6FFC5590"/>
    <w:rsid w:val="7010176D"/>
    <w:rsid w:val="7017085E"/>
    <w:rsid w:val="701A11C1"/>
    <w:rsid w:val="70251F1D"/>
    <w:rsid w:val="702C1734"/>
    <w:rsid w:val="703B2630"/>
    <w:rsid w:val="70466442"/>
    <w:rsid w:val="704F583B"/>
    <w:rsid w:val="70507D27"/>
    <w:rsid w:val="705431DA"/>
    <w:rsid w:val="705916E1"/>
    <w:rsid w:val="70682EC1"/>
    <w:rsid w:val="706833A7"/>
    <w:rsid w:val="706D1DD0"/>
    <w:rsid w:val="7081294F"/>
    <w:rsid w:val="70837C72"/>
    <w:rsid w:val="70856B87"/>
    <w:rsid w:val="70864F71"/>
    <w:rsid w:val="708665ED"/>
    <w:rsid w:val="70932CBE"/>
    <w:rsid w:val="709A7A5C"/>
    <w:rsid w:val="70C04A87"/>
    <w:rsid w:val="70C9168F"/>
    <w:rsid w:val="70CA2F45"/>
    <w:rsid w:val="70CD4651"/>
    <w:rsid w:val="70D527EE"/>
    <w:rsid w:val="70E52CB0"/>
    <w:rsid w:val="70EA2C5D"/>
    <w:rsid w:val="70F41A5E"/>
    <w:rsid w:val="710C6D40"/>
    <w:rsid w:val="711E28A2"/>
    <w:rsid w:val="715B5300"/>
    <w:rsid w:val="71733A89"/>
    <w:rsid w:val="71856BFD"/>
    <w:rsid w:val="718A6919"/>
    <w:rsid w:val="71932EBA"/>
    <w:rsid w:val="71A277A9"/>
    <w:rsid w:val="71AA738B"/>
    <w:rsid w:val="71B36299"/>
    <w:rsid w:val="71B90E21"/>
    <w:rsid w:val="71CB017A"/>
    <w:rsid w:val="71CE0F06"/>
    <w:rsid w:val="71D27F8A"/>
    <w:rsid w:val="71D80AB5"/>
    <w:rsid w:val="71DF74B5"/>
    <w:rsid w:val="71E04613"/>
    <w:rsid w:val="71E64CB4"/>
    <w:rsid w:val="71E82DA2"/>
    <w:rsid w:val="71F07487"/>
    <w:rsid w:val="71F41601"/>
    <w:rsid w:val="720D164A"/>
    <w:rsid w:val="72457067"/>
    <w:rsid w:val="72553024"/>
    <w:rsid w:val="725B56AA"/>
    <w:rsid w:val="726E34C9"/>
    <w:rsid w:val="726F2EFA"/>
    <w:rsid w:val="72734427"/>
    <w:rsid w:val="727A2B5F"/>
    <w:rsid w:val="727B31E9"/>
    <w:rsid w:val="7280431D"/>
    <w:rsid w:val="728E4B37"/>
    <w:rsid w:val="72912428"/>
    <w:rsid w:val="72E77EDF"/>
    <w:rsid w:val="73042AC3"/>
    <w:rsid w:val="73122968"/>
    <w:rsid w:val="731D6321"/>
    <w:rsid w:val="731F5D5E"/>
    <w:rsid w:val="73203A67"/>
    <w:rsid w:val="735164BE"/>
    <w:rsid w:val="735D19CE"/>
    <w:rsid w:val="736175D9"/>
    <w:rsid w:val="736E799D"/>
    <w:rsid w:val="73813F57"/>
    <w:rsid w:val="73C24BFD"/>
    <w:rsid w:val="73C51AD5"/>
    <w:rsid w:val="73D42E18"/>
    <w:rsid w:val="741E793C"/>
    <w:rsid w:val="742873A2"/>
    <w:rsid w:val="7431442E"/>
    <w:rsid w:val="745E3944"/>
    <w:rsid w:val="74A815B6"/>
    <w:rsid w:val="74A978FF"/>
    <w:rsid w:val="74BC6591"/>
    <w:rsid w:val="74C213B5"/>
    <w:rsid w:val="74DE01EA"/>
    <w:rsid w:val="74E81B56"/>
    <w:rsid w:val="74FA76FB"/>
    <w:rsid w:val="74FC3EFA"/>
    <w:rsid w:val="750010CD"/>
    <w:rsid w:val="75183646"/>
    <w:rsid w:val="751D5EB9"/>
    <w:rsid w:val="752A1C3D"/>
    <w:rsid w:val="75311DD3"/>
    <w:rsid w:val="75444B10"/>
    <w:rsid w:val="75825BCB"/>
    <w:rsid w:val="75895E61"/>
    <w:rsid w:val="758A3B4D"/>
    <w:rsid w:val="758A47D2"/>
    <w:rsid w:val="75A663C1"/>
    <w:rsid w:val="75BE091B"/>
    <w:rsid w:val="75EF348B"/>
    <w:rsid w:val="75F1101F"/>
    <w:rsid w:val="75F66805"/>
    <w:rsid w:val="75FB1590"/>
    <w:rsid w:val="760842B1"/>
    <w:rsid w:val="760F7A37"/>
    <w:rsid w:val="76101441"/>
    <w:rsid w:val="7612079D"/>
    <w:rsid w:val="762A586E"/>
    <w:rsid w:val="7635099D"/>
    <w:rsid w:val="76525347"/>
    <w:rsid w:val="76643DB8"/>
    <w:rsid w:val="76771553"/>
    <w:rsid w:val="76835CFB"/>
    <w:rsid w:val="768779D7"/>
    <w:rsid w:val="768A4129"/>
    <w:rsid w:val="76BE2AEA"/>
    <w:rsid w:val="76BF24DE"/>
    <w:rsid w:val="76CF250C"/>
    <w:rsid w:val="76D02779"/>
    <w:rsid w:val="76D13A7D"/>
    <w:rsid w:val="770839AB"/>
    <w:rsid w:val="771F15FE"/>
    <w:rsid w:val="773F26B3"/>
    <w:rsid w:val="77630F66"/>
    <w:rsid w:val="77762421"/>
    <w:rsid w:val="77820A6C"/>
    <w:rsid w:val="778B4A53"/>
    <w:rsid w:val="779179C7"/>
    <w:rsid w:val="77932BA8"/>
    <w:rsid w:val="77A65858"/>
    <w:rsid w:val="77B56B1F"/>
    <w:rsid w:val="77C04630"/>
    <w:rsid w:val="77CC3C2D"/>
    <w:rsid w:val="77E9082A"/>
    <w:rsid w:val="77F55339"/>
    <w:rsid w:val="77FB764E"/>
    <w:rsid w:val="78044D0D"/>
    <w:rsid w:val="780F09F4"/>
    <w:rsid w:val="781B279B"/>
    <w:rsid w:val="786F31B2"/>
    <w:rsid w:val="78930443"/>
    <w:rsid w:val="789E23F6"/>
    <w:rsid w:val="78A82687"/>
    <w:rsid w:val="78A90480"/>
    <w:rsid w:val="791E10C4"/>
    <w:rsid w:val="794D3AD5"/>
    <w:rsid w:val="7951156B"/>
    <w:rsid w:val="79624E59"/>
    <w:rsid w:val="79627B67"/>
    <w:rsid w:val="797B1473"/>
    <w:rsid w:val="798516B2"/>
    <w:rsid w:val="79936B04"/>
    <w:rsid w:val="799E2021"/>
    <w:rsid w:val="79A05E1A"/>
    <w:rsid w:val="79AD1699"/>
    <w:rsid w:val="79C2277D"/>
    <w:rsid w:val="79FA2B69"/>
    <w:rsid w:val="7A155DD9"/>
    <w:rsid w:val="7A300199"/>
    <w:rsid w:val="7A36230E"/>
    <w:rsid w:val="7A364017"/>
    <w:rsid w:val="7A387B1E"/>
    <w:rsid w:val="7A423425"/>
    <w:rsid w:val="7A471D0E"/>
    <w:rsid w:val="7A495015"/>
    <w:rsid w:val="7A55484F"/>
    <w:rsid w:val="7A592544"/>
    <w:rsid w:val="7A72104C"/>
    <w:rsid w:val="7A8265E1"/>
    <w:rsid w:val="7ABB60DD"/>
    <w:rsid w:val="7AC20C70"/>
    <w:rsid w:val="7AC345A0"/>
    <w:rsid w:val="7AC976CC"/>
    <w:rsid w:val="7AFC32B9"/>
    <w:rsid w:val="7B365E4C"/>
    <w:rsid w:val="7B4B4581"/>
    <w:rsid w:val="7B544FF3"/>
    <w:rsid w:val="7B5C60F0"/>
    <w:rsid w:val="7B5D7674"/>
    <w:rsid w:val="7B686D42"/>
    <w:rsid w:val="7B841746"/>
    <w:rsid w:val="7B954A8C"/>
    <w:rsid w:val="7BA518A6"/>
    <w:rsid w:val="7BA73E35"/>
    <w:rsid w:val="7BAC2516"/>
    <w:rsid w:val="7BAE0225"/>
    <w:rsid w:val="7BB50FC7"/>
    <w:rsid w:val="7BC13B0E"/>
    <w:rsid w:val="7BC5229C"/>
    <w:rsid w:val="7BCD61A6"/>
    <w:rsid w:val="7BD173B3"/>
    <w:rsid w:val="7BD73868"/>
    <w:rsid w:val="7BD834BB"/>
    <w:rsid w:val="7BF87636"/>
    <w:rsid w:val="7C0D56F7"/>
    <w:rsid w:val="7C0F5D4C"/>
    <w:rsid w:val="7C111278"/>
    <w:rsid w:val="7C382D00"/>
    <w:rsid w:val="7C470717"/>
    <w:rsid w:val="7C6C5AC7"/>
    <w:rsid w:val="7C737A30"/>
    <w:rsid w:val="7C765F3D"/>
    <w:rsid w:val="7CA8270B"/>
    <w:rsid w:val="7CBB64B1"/>
    <w:rsid w:val="7CBD0544"/>
    <w:rsid w:val="7CC6544B"/>
    <w:rsid w:val="7CCE27F2"/>
    <w:rsid w:val="7CD129B0"/>
    <w:rsid w:val="7CE47169"/>
    <w:rsid w:val="7CEC5AE4"/>
    <w:rsid w:val="7CF03E45"/>
    <w:rsid w:val="7D0239FF"/>
    <w:rsid w:val="7D035FA9"/>
    <w:rsid w:val="7D0E0CE1"/>
    <w:rsid w:val="7D1650D9"/>
    <w:rsid w:val="7D23702C"/>
    <w:rsid w:val="7D320274"/>
    <w:rsid w:val="7D5E40CD"/>
    <w:rsid w:val="7D764ED4"/>
    <w:rsid w:val="7D787C32"/>
    <w:rsid w:val="7D830F78"/>
    <w:rsid w:val="7D850E9F"/>
    <w:rsid w:val="7D8C34B5"/>
    <w:rsid w:val="7D9C2717"/>
    <w:rsid w:val="7DB50947"/>
    <w:rsid w:val="7DB76FA7"/>
    <w:rsid w:val="7DCD56F2"/>
    <w:rsid w:val="7DEB5D45"/>
    <w:rsid w:val="7E0017CE"/>
    <w:rsid w:val="7E042AF6"/>
    <w:rsid w:val="7E0E7521"/>
    <w:rsid w:val="7E384245"/>
    <w:rsid w:val="7E4A0D41"/>
    <w:rsid w:val="7E8F2404"/>
    <w:rsid w:val="7E977608"/>
    <w:rsid w:val="7EBF5DA6"/>
    <w:rsid w:val="7ED45422"/>
    <w:rsid w:val="7F001CE7"/>
    <w:rsid w:val="7F093BBE"/>
    <w:rsid w:val="7F0A3B40"/>
    <w:rsid w:val="7F2638E1"/>
    <w:rsid w:val="7F3567A1"/>
    <w:rsid w:val="7F3818C3"/>
    <w:rsid w:val="7F3F0382"/>
    <w:rsid w:val="7F651B7D"/>
    <w:rsid w:val="7F733178"/>
    <w:rsid w:val="7F815454"/>
    <w:rsid w:val="7F89317B"/>
    <w:rsid w:val="7FB502E4"/>
    <w:rsid w:val="7FBC5DC8"/>
    <w:rsid w:val="7FD33A8B"/>
    <w:rsid w:val="7FD37543"/>
    <w:rsid w:val="7FE47E50"/>
    <w:rsid w:val="7FE94F6A"/>
    <w:rsid w:val="7FEE13F2"/>
    <w:rsid w:val="7FF1237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qFormat="1"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4">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qFormat/>
    <w:locked/>
    <w:uiPriority w:val="0"/>
    <w:pPr>
      <w:keepNext/>
      <w:keepLines/>
      <w:numPr>
        <w:ilvl w:val="1"/>
        <w:numId w:val="1"/>
      </w:numPr>
      <w:spacing w:before="260" w:beforeLines="0" w:beforeAutospacing="0" w:after="260" w:afterLines="0" w:afterAutospacing="0" w:line="413" w:lineRule="auto"/>
      <w:ind w:left="575" w:hanging="575" w:firstLineChars="0"/>
      <w:outlineLvl w:val="1"/>
    </w:pPr>
    <w:rPr>
      <w:rFonts w:ascii="Arial" w:hAnsi="Arial" w:eastAsia="黑体"/>
      <w:b/>
      <w:sz w:val="32"/>
    </w:rPr>
  </w:style>
  <w:style w:type="paragraph" w:styleId="6">
    <w:name w:val="heading 3"/>
    <w:basedOn w:val="1"/>
    <w:next w:val="1"/>
    <w:qFormat/>
    <w:locked/>
    <w:uiPriority w:val="0"/>
    <w:pPr>
      <w:keepNext/>
      <w:keepLines/>
      <w:numPr>
        <w:ilvl w:val="2"/>
        <w:numId w:val="2"/>
      </w:numPr>
      <w:ind w:left="720" w:hanging="720" w:firstLineChars="0"/>
      <w:outlineLvl w:val="2"/>
    </w:pPr>
    <w:rPr>
      <w:rFonts w:ascii="Times New Roman" w:hAnsi="Times New Roman" w:eastAsia="宋体" w:cs="Times New Roman"/>
      <w:b/>
      <w:bCs/>
      <w:sz w:val="28"/>
    </w:rPr>
  </w:style>
  <w:style w:type="paragraph" w:styleId="7">
    <w:name w:val="heading 4"/>
    <w:basedOn w:val="1"/>
    <w:next w:val="1"/>
    <w:qFormat/>
    <w:locked/>
    <w:uiPriority w:val="0"/>
    <w:pPr>
      <w:keepNext/>
      <w:keepLines/>
      <w:numPr>
        <w:ilvl w:val="3"/>
        <w:numId w:val="1"/>
      </w:numPr>
      <w:spacing w:before="280" w:beforeLines="0" w:beforeAutospacing="0" w:after="290" w:afterLines="0" w:afterAutospacing="0" w:line="372" w:lineRule="auto"/>
      <w:ind w:left="864" w:hanging="864" w:firstLineChars="0"/>
      <w:outlineLvl w:val="3"/>
    </w:pPr>
    <w:rPr>
      <w:rFonts w:ascii="Arial" w:hAnsi="Arial" w:eastAsia="黑体"/>
      <w:b/>
      <w:sz w:val="28"/>
    </w:rPr>
  </w:style>
  <w:style w:type="character" w:default="1" w:styleId="30">
    <w:name w:val="Default Paragraph Font"/>
    <w:semiHidden/>
    <w:qFormat/>
    <w:uiPriority w:val="0"/>
  </w:style>
  <w:style w:type="table" w:default="1" w:styleId="28">
    <w:name w:val="Normal Table"/>
    <w:semiHidden/>
    <w:qFormat/>
    <w:uiPriority w:val="0"/>
    <w:tblPr>
      <w:tblCellMar>
        <w:top w:w="0" w:type="dxa"/>
        <w:left w:w="108" w:type="dxa"/>
        <w:bottom w:w="0" w:type="dxa"/>
        <w:right w:w="108" w:type="dxa"/>
      </w:tblCellMar>
    </w:tblPr>
  </w:style>
  <w:style w:type="paragraph" w:customStyle="1" w:styleId="2">
    <w:name w:val="guo-正文缩进2"/>
    <w:basedOn w:val="3"/>
    <w:autoRedefine/>
    <w:qFormat/>
    <w:uiPriority w:val="0"/>
    <w:pPr>
      <w:tabs>
        <w:tab w:val="left" w:pos="1021"/>
      </w:tabs>
      <w:ind w:firstLine="562"/>
    </w:pPr>
  </w:style>
  <w:style w:type="paragraph" w:customStyle="1" w:styleId="3">
    <w:name w:val="guo-正文不缩进"/>
    <w:basedOn w:val="1"/>
    <w:autoRedefine/>
    <w:qFormat/>
    <w:uiPriority w:val="0"/>
    <w:pPr>
      <w:tabs>
        <w:tab w:val="left" w:pos="1021"/>
      </w:tabs>
      <w:ind w:firstLine="0"/>
    </w:pPr>
  </w:style>
  <w:style w:type="paragraph" w:styleId="8">
    <w:name w:val="table of authorities"/>
    <w:basedOn w:val="1"/>
    <w:next w:val="1"/>
    <w:qFormat/>
    <w:locked/>
    <w:uiPriority w:val="0"/>
    <w:pPr>
      <w:tabs>
        <w:tab w:val="left" w:pos="1021"/>
      </w:tabs>
      <w:ind w:left="420" w:leftChars="200"/>
    </w:pPr>
  </w:style>
  <w:style w:type="paragraph" w:styleId="9">
    <w:name w:val="Normal Indent"/>
    <w:basedOn w:val="10"/>
    <w:next w:val="1"/>
    <w:link w:val="92"/>
    <w:qFormat/>
    <w:locked/>
    <w:uiPriority w:val="0"/>
    <w:pPr>
      <w:ind w:firstLine="420"/>
    </w:pPr>
    <w:rPr>
      <w:rFonts w:ascii="Calibri"/>
      <w:kern w:val="2"/>
      <w:sz w:val="28"/>
    </w:rPr>
  </w:style>
  <w:style w:type="paragraph" w:styleId="10">
    <w:name w:val="Body Text First Indent"/>
    <w:basedOn w:val="11"/>
    <w:link w:val="93"/>
    <w:qFormat/>
    <w:locked/>
    <w:uiPriority w:val="0"/>
    <w:pPr>
      <w:ind w:firstLine="420" w:firstLineChars="100"/>
    </w:pPr>
  </w:style>
  <w:style w:type="paragraph" w:styleId="11">
    <w:name w:val="Body Text"/>
    <w:basedOn w:val="1"/>
    <w:link w:val="47"/>
    <w:qFormat/>
    <w:uiPriority w:val="0"/>
    <w:pPr>
      <w:widowControl/>
      <w:snapToGrid w:val="0"/>
      <w:spacing w:line="240" w:lineRule="auto"/>
      <w:ind w:right="0" w:firstLine="0" w:firstLineChars="0"/>
      <w:jc w:val="center"/>
    </w:pPr>
    <w:rPr>
      <w:kern w:val="0"/>
    </w:rPr>
  </w:style>
  <w:style w:type="paragraph" w:styleId="12">
    <w:name w:val="caption"/>
    <w:basedOn w:val="1"/>
    <w:next w:val="10"/>
    <w:qFormat/>
    <w:locked/>
    <w:uiPriority w:val="0"/>
    <w:rPr>
      <w:rFonts w:ascii="Cambria" w:hAnsi="Cambria" w:eastAsia="黑体" w:cs="Times New Roman"/>
      <w:sz w:val="20"/>
      <w:szCs w:val="20"/>
    </w:rPr>
  </w:style>
  <w:style w:type="paragraph" w:styleId="13">
    <w:name w:val="annotation text"/>
    <w:basedOn w:val="1"/>
    <w:link w:val="48"/>
    <w:semiHidden/>
    <w:qFormat/>
    <w:uiPriority w:val="0"/>
    <w:pPr>
      <w:jc w:val="left"/>
    </w:pPr>
    <w:rPr>
      <w:kern w:val="0"/>
      <w:sz w:val="24"/>
      <w:szCs w:val="20"/>
    </w:rPr>
  </w:style>
  <w:style w:type="paragraph" w:styleId="14">
    <w:name w:val="Body Text Indent"/>
    <w:basedOn w:val="1"/>
    <w:next w:val="15"/>
    <w:link w:val="49"/>
    <w:qFormat/>
    <w:uiPriority w:val="0"/>
    <w:pPr>
      <w:spacing w:after="120"/>
      <w:ind w:left="420" w:leftChars="200"/>
    </w:pPr>
    <w:rPr>
      <w:kern w:val="0"/>
      <w:sz w:val="24"/>
      <w:szCs w:val="20"/>
    </w:rPr>
  </w:style>
  <w:style w:type="paragraph" w:styleId="15">
    <w:name w:val="Body Text First Indent 2"/>
    <w:basedOn w:val="14"/>
    <w:next w:val="10"/>
    <w:qFormat/>
    <w:locked/>
    <w:uiPriority w:val="0"/>
    <w:pPr>
      <w:ind w:firstLine="210" w:firstLineChars="200"/>
    </w:pPr>
    <w:rPr>
      <w:kern w:val="2"/>
      <w:sz w:val="21"/>
      <w:szCs w:val="24"/>
    </w:rPr>
  </w:style>
  <w:style w:type="paragraph" w:styleId="16">
    <w:name w:val="Plain Text"/>
    <w:basedOn w:val="1"/>
    <w:qFormat/>
    <w:locked/>
    <w:uiPriority w:val="0"/>
    <w:pPr>
      <w:spacing w:line="380" w:lineRule="exact"/>
      <w:jc w:val="center"/>
    </w:pPr>
    <w:rPr>
      <w:rFonts w:hAnsi="宋体"/>
      <w:color w:val="000000"/>
      <w:kern w:val="21"/>
      <w:lang w:val="de-DE"/>
    </w:rPr>
  </w:style>
  <w:style w:type="paragraph" w:styleId="17">
    <w:name w:val="Date"/>
    <w:basedOn w:val="1"/>
    <w:next w:val="1"/>
    <w:link w:val="50"/>
    <w:qFormat/>
    <w:uiPriority w:val="0"/>
    <w:pPr>
      <w:ind w:left="100" w:leftChars="2500"/>
    </w:pPr>
    <w:rPr>
      <w:kern w:val="0"/>
      <w:sz w:val="24"/>
      <w:szCs w:val="20"/>
    </w:rPr>
  </w:style>
  <w:style w:type="paragraph" w:styleId="18">
    <w:name w:val="Body Text Indent 2"/>
    <w:basedOn w:val="1"/>
    <w:qFormat/>
    <w:locked/>
    <w:uiPriority w:val="0"/>
    <w:pPr>
      <w:tabs>
        <w:tab w:val="left" w:pos="660"/>
      </w:tabs>
      <w:spacing w:line="440" w:lineRule="atLeast"/>
      <w:ind w:firstLine="480"/>
    </w:pPr>
  </w:style>
  <w:style w:type="paragraph" w:styleId="19">
    <w:name w:val="Balloon Text"/>
    <w:basedOn w:val="1"/>
    <w:link w:val="51"/>
    <w:semiHidden/>
    <w:qFormat/>
    <w:uiPriority w:val="0"/>
    <w:rPr>
      <w:kern w:val="0"/>
      <w:sz w:val="18"/>
      <w:szCs w:val="20"/>
    </w:rPr>
  </w:style>
  <w:style w:type="paragraph" w:styleId="20">
    <w:name w:val="footer"/>
    <w:basedOn w:val="1"/>
    <w:link w:val="37"/>
    <w:qFormat/>
    <w:uiPriority w:val="99"/>
    <w:pPr>
      <w:tabs>
        <w:tab w:val="center" w:pos="4153"/>
        <w:tab w:val="right" w:pos="8306"/>
      </w:tabs>
      <w:snapToGrid w:val="0"/>
      <w:jc w:val="left"/>
    </w:pPr>
    <w:rPr>
      <w:kern w:val="0"/>
      <w:sz w:val="18"/>
      <w:szCs w:val="20"/>
    </w:rPr>
  </w:style>
  <w:style w:type="paragraph" w:styleId="21">
    <w:name w:val="header"/>
    <w:basedOn w:val="1"/>
    <w:link w:val="52"/>
    <w:qFormat/>
    <w:uiPriority w:val="0"/>
    <w:pPr>
      <w:pBdr>
        <w:bottom w:val="single" w:color="auto" w:sz="6" w:space="1"/>
      </w:pBdr>
      <w:tabs>
        <w:tab w:val="center" w:pos="4153"/>
        <w:tab w:val="right" w:pos="8306"/>
      </w:tabs>
      <w:snapToGrid w:val="0"/>
      <w:jc w:val="center"/>
    </w:pPr>
    <w:rPr>
      <w:kern w:val="0"/>
      <w:sz w:val="18"/>
      <w:szCs w:val="20"/>
    </w:rPr>
  </w:style>
  <w:style w:type="paragraph" w:styleId="22">
    <w:name w:val="toc 1"/>
    <w:basedOn w:val="1"/>
    <w:next w:val="1"/>
    <w:qFormat/>
    <w:locked/>
    <w:uiPriority w:val="0"/>
    <w:pPr>
      <w:ind w:firstLine="0" w:firstLineChars="0"/>
    </w:pPr>
  </w:style>
  <w:style w:type="paragraph" w:styleId="23">
    <w:name w:val="List"/>
    <w:basedOn w:val="1"/>
    <w:qFormat/>
    <w:locked/>
    <w:uiPriority w:val="0"/>
    <w:pPr>
      <w:ind w:left="200" w:hanging="200" w:hangingChars="200"/>
    </w:pPr>
  </w:style>
  <w:style w:type="paragraph" w:styleId="24">
    <w:name w:val="table of figures"/>
    <w:basedOn w:val="1"/>
    <w:next w:val="1"/>
    <w:qFormat/>
    <w:locked/>
    <w:uiPriority w:val="0"/>
    <w:pPr>
      <w:ind w:left="1920" w:leftChars="200"/>
      <w:jc w:val="center"/>
    </w:pPr>
    <w:rPr>
      <w:b/>
      <w:kern w:val="0"/>
      <w:szCs w:val="20"/>
    </w:rPr>
  </w:style>
  <w:style w:type="paragraph" w:styleId="25">
    <w:name w:val="toc 2"/>
    <w:basedOn w:val="1"/>
    <w:next w:val="1"/>
    <w:qFormat/>
    <w:locked/>
    <w:uiPriority w:val="0"/>
    <w:pPr>
      <w:tabs>
        <w:tab w:val="left" w:pos="426"/>
        <w:tab w:val="left" w:pos="567"/>
        <w:tab w:val="right" w:leader="dot" w:pos="8607"/>
      </w:tabs>
      <w:adjustRightInd w:val="0"/>
      <w:snapToGrid w:val="0"/>
      <w:spacing w:line="300" w:lineRule="auto"/>
    </w:pPr>
    <w:rPr>
      <w:rFonts w:ascii="Times New Roman" w:hAnsi="Times New Roman"/>
      <w:smallCaps/>
    </w:rPr>
  </w:style>
  <w:style w:type="paragraph" w:styleId="26">
    <w:name w:val="Normal (Web)"/>
    <w:basedOn w:val="1"/>
    <w:link w:val="53"/>
    <w:qFormat/>
    <w:uiPriority w:val="0"/>
    <w:pPr>
      <w:widowControl/>
      <w:spacing w:before="100" w:beforeAutospacing="1" w:after="100" w:afterAutospacing="1"/>
      <w:jc w:val="left"/>
    </w:pPr>
    <w:rPr>
      <w:rFonts w:ascii="宋体" w:hAnsi="宋体"/>
      <w:kern w:val="0"/>
      <w:sz w:val="24"/>
      <w:szCs w:val="20"/>
    </w:rPr>
  </w:style>
  <w:style w:type="paragraph" w:styleId="27">
    <w:name w:val="annotation subject"/>
    <w:basedOn w:val="13"/>
    <w:next w:val="13"/>
    <w:link w:val="54"/>
    <w:semiHidden/>
    <w:qFormat/>
    <w:uiPriority w:val="0"/>
    <w:rPr>
      <w:b/>
      <w:sz w:val="24"/>
      <w:szCs w:val="20"/>
    </w:rPr>
  </w:style>
  <w:style w:type="table" w:styleId="29">
    <w:name w:val="Table Grid"/>
    <w:basedOn w:val="28"/>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qFormat/>
    <w:locked/>
    <w:uiPriority w:val="0"/>
    <w:rPr>
      <w:b/>
    </w:rPr>
  </w:style>
  <w:style w:type="character" w:styleId="32">
    <w:name w:val="page number"/>
    <w:qFormat/>
    <w:locked/>
    <w:uiPriority w:val="0"/>
  </w:style>
  <w:style w:type="character" w:styleId="33">
    <w:name w:val="Hyperlink"/>
    <w:qFormat/>
    <w:locked/>
    <w:uiPriority w:val="0"/>
    <w:rPr>
      <w:color w:val="0000FF"/>
      <w:u w:val="single"/>
    </w:rPr>
  </w:style>
  <w:style w:type="character" w:styleId="34">
    <w:name w:val="annotation reference"/>
    <w:semiHidden/>
    <w:qFormat/>
    <w:uiPriority w:val="0"/>
    <w:rPr>
      <w:sz w:val="21"/>
    </w:rPr>
  </w:style>
  <w:style w:type="paragraph" w:customStyle="1" w:styleId="35">
    <w:name w:val="xl27"/>
    <w:basedOn w:val="8"/>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36">
    <w:name w:val="表格文字"/>
    <w:basedOn w:val="10"/>
    <w:next w:val="1"/>
    <w:qFormat/>
    <w:uiPriority w:val="0"/>
    <w:pPr>
      <w:snapToGrid w:val="0"/>
      <w:spacing w:line="240" w:lineRule="auto"/>
      <w:ind w:firstLine="0" w:firstLineChars="0"/>
      <w:jc w:val="both"/>
    </w:pPr>
    <w:rPr>
      <w:rFonts w:eastAsia="Times New Roman"/>
      <w:sz w:val="21"/>
      <w:szCs w:val="20"/>
    </w:rPr>
  </w:style>
  <w:style w:type="character" w:customStyle="1" w:styleId="37">
    <w:name w:val="页脚 Char"/>
    <w:link w:val="20"/>
    <w:qFormat/>
    <w:locked/>
    <w:uiPriority w:val="99"/>
    <w:rPr>
      <w:sz w:val="18"/>
    </w:rPr>
  </w:style>
  <w:style w:type="paragraph" w:customStyle="1" w:styleId="38">
    <w:name w:val="Default"/>
    <w:basedOn w:val="39"/>
    <w:qFormat/>
    <w:uiPriority w:val="0"/>
    <w:pPr>
      <w:autoSpaceDE w:val="0"/>
      <w:autoSpaceDN w:val="0"/>
      <w:adjustRightInd w:val="0"/>
    </w:pPr>
    <w:rPr>
      <w:rFonts w:ascii="宋体" w:cs="宋体"/>
      <w:color w:val="000000"/>
      <w:szCs w:val="24"/>
    </w:rPr>
  </w:style>
  <w:style w:type="paragraph" w:customStyle="1" w:styleId="39">
    <w:name w:val="纯文本1"/>
    <w:basedOn w:val="1"/>
    <w:qFormat/>
    <w:uiPriority w:val="0"/>
    <w:rPr>
      <w:rFonts w:hint="eastAsia" w:ascii="宋体" w:hAnsi="Courier New"/>
      <w:szCs w:val="22"/>
    </w:rPr>
  </w:style>
  <w:style w:type="paragraph" w:customStyle="1" w:styleId="40">
    <w:name w:val="xl44"/>
    <w:basedOn w:val="1"/>
    <w:qFormat/>
    <w:uiPriority w:val="0"/>
    <w:pPr>
      <w:widowControl/>
      <w:pBdr>
        <w:top w:val="single" w:color="auto" w:sz="8" w:space="0"/>
        <w:left w:val="single" w:color="auto" w:sz="4" w:space="0"/>
        <w:right w:val="single" w:color="auto" w:sz="8" w:space="0"/>
      </w:pBdr>
      <w:spacing w:before="100" w:beforeAutospacing="1" w:after="100" w:afterAutospacing="1"/>
      <w:jc w:val="center"/>
      <w:textAlignment w:val="center"/>
    </w:pPr>
    <w:rPr>
      <w:rFonts w:ascii="宋体"/>
      <w:kern w:val="0"/>
      <w:sz w:val="20"/>
      <w:szCs w:val="20"/>
    </w:rPr>
  </w:style>
  <w:style w:type="paragraph" w:customStyle="1" w:styleId="41">
    <w:name w:val="表格内容"/>
    <w:basedOn w:val="42"/>
    <w:next w:val="43"/>
    <w:qFormat/>
    <w:uiPriority w:val="99"/>
    <w:pPr>
      <w:spacing w:line="240" w:lineRule="auto"/>
      <w:ind w:firstLine="0" w:firstLineChars="0"/>
      <w:jc w:val="center"/>
    </w:pPr>
    <w:rPr>
      <w:rFonts w:eastAsia="宋体" w:cs="Times New Roman"/>
      <w:color w:val="000000"/>
      <w:sz w:val="21"/>
      <w:szCs w:val="21"/>
    </w:rPr>
  </w:style>
  <w:style w:type="paragraph" w:customStyle="1" w:styleId="42">
    <w:name w:val="表格"/>
    <w:basedOn w:val="23"/>
    <w:next w:val="1"/>
    <w:link w:val="55"/>
    <w:qFormat/>
    <w:uiPriority w:val="0"/>
    <w:pPr>
      <w:adjustRightInd w:val="0"/>
      <w:snapToGrid w:val="0"/>
      <w:spacing w:beforeLines="10" w:afterLines="10" w:line="259" w:lineRule="auto"/>
      <w:jc w:val="center"/>
    </w:pPr>
    <w:rPr>
      <w:rFonts w:ascii="宋体"/>
      <w:kern w:val="0"/>
      <w:szCs w:val="20"/>
    </w:rPr>
  </w:style>
  <w:style w:type="paragraph" w:customStyle="1" w:styleId="43">
    <w:name w:val="文本正文"/>
    <w:basedOn w:val="1"/>
    <w:qFormat/>
    <w:uiPriority w:val="0"/>
    <w:pPr>
      <w:spacing w:line="360" w:lineRule="auto"/>
      <w:ind w:firstLine="480" w:firstLineChars="200"/>
    </w:pPr>
    <w:rPr>
      <w:sz w:val="24"/>
      <w:szCs w:val="24"/>
    </w:rPr>
  </w:style>
  <w:style w:type="character" w:customStyle="1" w:styleId="44">
    <w:name w:val="标题 2 Char2"/>
    <w:qFormat/>
    <w:uiPriority w:val="0"/>
    <w:rPr>
      <w:rFonts w:ascii="Times New Roman" w:hAnsi="Times New Roman" w:eastAsia="宋体" w:cs="Times New Roman"/>
      <w:b/>
      <w:bCs/>
      <w:kern w:val="2"/>
      <w:sz w:val="32"/>
      <w:szCs w:val="32"/>
      <w:lang w:val="en-US" w:eastAsia="zh-CN" w:bidi="ar-SA"/>
    </w:rPr>
  </w:style>
  <w:style w:type="paragraph" w:customStyle="1" w:styleId="45">
    <w:name w:val="表文字"/>
    <w:basedOn w:val="1"/>
    <w:next w:val="36"/>
    <w:qFormat/>
    <w:uiPriority w:val="0"/>
    <w:pPr>
      <w:overflowPunct w:val="0"/>
      <w:autoSpaceDE w:val="0"/>
      <w:autoSpaceDN w:val="0"/>
      <w:adjustRightInd w:val="0"/>
      <w:spacing w:line="240" w:lineRule="atLeast"/>
      <w:jc w:val="center"/>
      <w:textAlignment w:val="baseline"/>
    </w:pPr>
    <w:rPr>
      <w:rFonts w:ascii="Calibri"/>
    </w:rPr>
  </w:style>
  <w:style w:type="paragraph" w:customStyle="1" w:styleId="46">
    <w:name w:val="表"/>
    <w:basedOn w:val="1"/>
    <w:qFormat/>
    <w:uiPriority w:val="0"/>
    <w:pPr>
      <w:adjustRightInd w:val="0"/>
      <w:snapToGrid w:val="0"/>
      <w:spacing w:line="240" w:lineRule="auto"/>
      <w:ind w:firstLine="0" w:firstLineChars="0"/>
      <w:jc w:val="center"/>
    </w:pPr>
    <w:rPr>
      <w:rFonts w:ascii="Times New Roman" w:hAnsi="Times New Roman" w:eastAsia="宋体"/>
      <w:spacing w:val="2"/>
      <w:sz w:val="21"/>
    </w:rPr>
  </w:style>
  <w:style w:type="character" w:customStyle="1" w:styleId="47">
    <w:name w:val="正文文本 Char"/>
    <w:basedOn w:val="30"/>
    <w:link w:val="11"/>
    <w:qFormat/>
    <w:locked/>
    <w:uiPriority w:val="0"/>
    <w:rPr>
      <w:rFonts w:eastAsia="宋体"/>
      <w:sz w:val="24"/>
      <w:szCs w:val="24"/>
    </w:rPr>
  </w:style>
  <w:style w:type="character" w:customStyle="1" w:styleId="48">
    <w:name w:val="批注文字 Char"/>
    <w:link w:val="13"/>
    <w:qFormat/>
    <w:locked/>
    <w:uiPriority w:val="0"/>
    <w:rPr>
      <w:rFonts w:ascii="Times New Roman" w:hAnsi="Times New Roman" w:eastAsia="宋体"/>
      <w:sz w:val="24"/>
    </w:rPr>
  </w:style>
  <w:style w:type="character" w:customStyle="1" w:styleId="49">
    <w:name w:val="正文文本缩进 Char"/>
    <w:link w:val="14"/>
    <w:autoRedefine/>
    <w:semiHidden/>
    <w:qFormat/>
    <w:locked/>
    <w:uiPriority w:val="0"/>
    <w:rPr>
      <w:rFonts w:ascii="Times New Roman" w:hAnsi="Times New Roman" w:eastAsia="宋体"/>
      <w:sz w:val="24"/>
    </w:rPr>
  </w:style>
  <w:style w:type="character" w:customStyle="1" w:styleId="50">
    <w:name w:val="日期 Char"/>
    <w:link w:val="17"/>
    <w:autoRedefine/>
    <w:qFormat/>
    <w:locked/>
    <w:uiPriority w:val="0"/>
    <w:rPr>
      <w:rFonts w:ascii="Times New Roman" w:hAnsi="Times New Roman" w:eastAsia="宋体"/>
      <w:sz w:val="24"/>
    </w:rPr>
  </w:style>
  <w:style w:type="character" w:customStyle="1" w:styleId="51">
    <w:name w:val="批注框文本 Char"/>
    <w:link w:val="19"/>
    <w:autoRedefine/>
    <w:semiHidden/>
    <w:qFormat/>
    <w:locked/>
    <w:uiPriority w:val="0"/>
    <w:rPr>
      <w:rFonts w:ascii="Times New Roman" w:hAnsi="Times New Roman" w:eastAsia="宋体"/>
      <w:sz w:val="18"/>
    </w:rPr>
  </w:style>
  <w:style w:type="character" w:customStyle="1" w:styleId="52">
    <w:name w:val="页眉 Char"/>
    <w:link w:val="21"/>
    <w:autoRedefine/>
    <w:qFormat/>
    <w:locked/>
    <w:uiPriority w:val="0"/>
    <w:rPr>
      <w:sz w:val="18"/>
    </w:rPr>
  </w:style>
  <w:style w:type="character" w:customStyle="1" w:styleId="53">
    <w:name w:val="普通(网站) Char"/>
    <w:link w:val="26"/>
    <w:autoRedefine/>
    <w:qFormat/>
    <w:locked/>
    <w:uiPriority w:val="0"/>
    <w:rPr>
      <w:rFonts w:ascii="宋体" w:hAnsi="宋体" w:eastAsia="宋体"/>
      <w:sz w:val="24"/>
    </w:rPr>
  </w:style>
  <w:style w:type="character" w:customStyle="1" w:styleId="54">
    <w:name w:val="批注主题 Char"/>
    <w:link w:val="27"/>
    <w:autoRedefine/>
    <w:semiHidden/>
    <w:qFormat/>
    <w:locked/>
    <w:uiPriority w:val="0"/>
    <w:rPr>
      <w:rFonts w:ascii="Times New Roman" w:hAnsi="Times New Roman" w:eastAsia="宋体"/>
      <w:b/>
      <w:kern w:val="2"/>
      <w:sz w:val="24"/>
    </w:rPr>
  </w:style>
  <w:style w:type="character" w:customStyle="1" w:styleId="55">
    <w:name w:val="表格 Char"/>
    <w:link w:val="42"/>
    <w:autoRedefine/>
    <w:qFormat/>
    <w:locked/>
    <w:uiPriority w:val="0"/>
    <w:rPr>
      <w:rFonts w:ascii="宋体"/>
      <w:sz w:val="21"/>
    </w:rPr>
  </w:style>
  <w:style w:type="character" w:customStyle="1" w:styleId="56">
    <w:name w:val="页脚 字符"/>
    <w:autoRedefine/>
    <w:qFormat/>
    <w:uiPriority w:val="99"/>
  </w:style>
  <w:style w:type="character" w:customStyle="1" w:styleId="57">
    <w:name w:val="样式 宋体 三号 红色"/>
    <w:autoRedefine/>
    <w:semiHidden/>
    <w:qFormat/>
    <w:uiPriority w:val="0"/>
    <w:rPr>
      <w:rFonts w:ascii="宋体" w:hAnsi="宋体" w:eastAsia="宋体"/>
      <w:color w:val="FF0000"/>
      <w:kern w:val="2"/>
      <w:sz w:val="24"/>
      <w:szCs w:val="21"/>
      <w:lang w:val="en-US" w:eastAsia="zh-CN" w:bidi="ar-SA"/>
    </w:rPr>
  </w:style>
  <w:style w:type="character" w:customStyle="1" w:styleId="58">
    <w:name w:val="正文文本 字符1"/>
    <w:autoRedefine/>
    <w:semiHidden/>
    <w:qFormat/>
    <w:uiPriority w:val="0"/>
    <w:rPr>
      <w:rFonts w:ascii="Times New Roman" w:hAnsi="Times New Roman" w:eastAsia="宋体"/>
      <w:sz w:val="24"/>
    </w:rPr>
  </w:style>
  <w:style w:type="character" w:customStyle="1" w:styleId="59">
    <w:name w:val="批注文字 字符1"/>
    <w:autoRedefine/>
    <w:semiHidden/>
    <w:qFormat/>
    <w:uiPriority w:val="0"/>
    <w:rPr>
      <w:rFonts w:ascii="Times New Roman" w:hAnsi="Times New Roman" w:eastAsia="宋体"/>
      <w:sz w:val="24"/>
    </w:rPr>
  </w:style>
  <w:style w:type="character" w:customStyle="1" w:styleId="60">
    <w:name w:val="日期 字符"/>
    <w:autoRedefine/>
    <w:semiHidden/>
    <w:qFormat/>
    <w:uiPriority w:val="0"/>
    <w:rPr>
      <w:rFonts w:ascii="Times New Roman" w:hAnsi="Times New Roman" w:eastAsia="宋体"/>
      <w:sz w:val="24"/>
    </w:rPr>
  </w:style>
  <w:style w:type="paragraph" w:customStyle="1" w:styleId="61">
    <w:name w:val="表格文字2"/>
    <w:basedOn w:val="1"/>
    <w:autoRedefine/>
    <w:qFormat/>
    <w:uiPriority w:val="0"/>
    <w:pPr>
      <w:tabs>
        <w:tab w:val="left" w:pos="277"/>
        <w:tab w:val="left" w:pos="600"/>
        <w:tab w:val="left" w:pos="780"/>
        <w:tab w:val="left" w:pos="2517"/>
      </w:tabs>
      <w:adjustRightInd w:val="0"/>
      <w:spacing w:before="60" w:line="240" w:lineRule="auto"/>
      <w:jc w:val="center"/>
      <w:textAlignment w:val="baseline"/>
    </w:pPr>
    <w:rPr>
      <w:rFonts w:ascii="Calibri"/>
      <w:sz w:val="21"/>
      <w:szCs w:val="21"/>
    </w:rPr>
  </w:style>
  <w:style w:type="paragraph" w:customStyle="1" w:styleId="62">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3">
    <w:name w:val="表文(G)"/>
    <w:basedOn w:val="1"/>
    <w:autoRedefine/>
    <w:semiHidden/>
    <w:qFormat/>
    <w:uiPriority w:val="0"/>
    <w:pPr>
      <w:tabs>
        <w:tab w:val="left" w:pos="1021"/>
      </w:tabs>
      <w:spacing w:line="240" w:lineRule="auto"/>
      <w:jc w:val="center"/>
    </w:pPr>
    <w:rPr>
      <w:rFonts w:ascii="Calibri" w:hAnsi="宋体"/>
      <w:position w:val="-24"/>
      <w:sz w:val="21"/>
      <w:szCs w:val="21"/>
    </w:rPr>
  </w:style>
  <w:style w:type="paragraph" w:customStyle="1" w:styleId="64">
    <w:name w:val="段落(G)"/>
    <w:basedOn w:val="1"/>
    <w:autoRedefine/>
    <w:qFormat/>
    <w:uiPriority w:val="0"/>
    <w:pPr>
      <w:tabs>
        <w:tab w:val="left" w:pos="1021"/>
        <w:tab w:val="left" w:pos="1320"/>
      </w:tabs>
      <w:spacing w:line="360" w:lineRule="auto"/>
      <w:ind w:firstLine="480" w:firstLineChars="200"/>
    </w:pPr>
    <w:rPr>
      <w:rFonts w:ascii="Calibri"/>
      <w:color w:val="000000"/>
      <w:kern w:val="24"/>
      <w:szCs w:val="24"/>
      <w:lang w:val="zh-CN"/>
    </w:rPr>
  </w:style>
  <w:style w:type="paragraph" w:customStyle="1" w:styleId="65">
    <w:name w:val="1文章"/>
    <w:basedOn w:val="1"/>
    <w:autoRedefine/>
    <w:qFormat/>
    <w:uiPriority w:val="0"/>
    <w:pPr>
      <w:snapToGrid w:val="0"/>
      <w:ind w:firstLine="573"/>
    </w:pPr>
    <w:rPr>
      <w:rFonts w:ascii="Calibri" w:eastAsia="仿宋_GB2312"/>
      <w:kern w:val="2"/>
      <w:sz w:val="28"/>
    </w:rPr>
  </w:style>
  <w:style w:type="paragraph" w:customStyle="1" w:styleId="66">
    <w:name w:val="表头（桑）"/>
    <w:basedOn w:val="1"/>
    <w:autoRedefine/>
    <w:qFormat/>
    <w:uiPriority w:val="0"/>
    <w:pPr>
      <w:overflowPunct w:val="0"/>
      <w:autoSpaceDE w:val="0"/>
      <w:autoSpaceDN w:val="0"/>
      <w:adjustRightInd w:val="0"/>
      <w:spacing w:line="300" w:lineRule="auto"/>
      <w:jc w:val="center"/>
      <w:textAlignment w:val="baseline"/>
    </w:pPr>
    <w:rPr>
      <w:rFonts w:ascii="黑体" w:hAnsi="宋体" w:eastAsia="黑体"/>
      <w:kern w:val="20"/>
    </w:rPr>
  </w:style>
  <w:style w:type="paragraph" w:customStyle="1" w:styleId="67">
    <w:name w:val="BG-表头"/>
    <w:basedOn w:val="1"/>
    <w:autoRedefine/>
    <w:qFormat/>
    <w:uiPriority w:val="0"/>
    <w:pPr>
      <w:spacing w:line="240" w:lineRule="auto"/>
      <w:ind w:firstLine="0" w:firstLineChars="0"/>
      <w:jc w:val="center"/>
    </w:pPr>
    <w:rPr>
      <w:b/>
      <w:sz w:val="21"/>
    </w:rPr>
  </w:style>
  <w:style w:type="paragraph" w:customStyle="1" w:styleId="68">
    <w:name w:val="S表格文字"/>
    <w:basedOn w:val="10"/>
    <w:autoRedefine/>
    <w:qFormat/>
    <w:uiPriority w:val="0"/>
    <w:pPr>
      <w:adjustRightInd w:val="0"/>
      <w:snapToGrid w:val="0"/>
      <w:spacing w:before="20" w:after="20"/>
      <w:ind w:firstLine="0" w:firstLineChars="0"/>
      <w:jc w:val="center"/>
    </w:pPr>
    <w:rPr>
      <w:szCs w:val="20"/>
    </w:rPr>
  </w:style>
  <w:style w:type="paragraph" w:customStyle="1" w:styleId="69">
    <w:name w:val="样式3"/>
    <w:basedOn w:val="1"/>
    <w:autoRedefine/>
    <w:qFormat/>
    <w:uiPriority w:val="0"/>
    <w:pPr>
      <w:autoSpaceDE w:val="0"/>
      <w:autoSpaceDN w:val="0"/>
      <w:adjustRightInd w:val="0"/>
      <w:snapToGrid w:val="0"/>
      <w:spacing w:before="120" w:line="460" w:lineRule="atLeast"/>
      <w:jc w:val="center"/>
    </w:pPr>
    <w:rPr>
      <w:rFonts w:eastAsia="黑体"/>
      <w:sz w:val="28"/>
    </w:rPr>
  </w:style>
  <w:style w:type="paragraph" w:customStyle="1" w:styleId="70">
    <w:name w:val="zwb-正文"/>
    <w:basedOn w:val="1"/>
    <w:autoRedefine/>
    <w:qFormat/>
    <w:uiPriority w:val="0"/>
    <w:pPr>
      <w:spacing w:line="360" w:lineRule="auto"/>
      <w:ind w:firstLine="480" w:firstLineChars="200"/>
    </w:pPr>
    <w:rPr>
      <w:rFonts w:ascii="Calibri"/>
      <w:kern w:val="2"/>
      <w:szCs w:val="24"/>
    </w:rPr>
  </w:style>
  <w:style w:type="paragraph" w:customStyle="1" w:styleId="71">
    <w:name w:val="标准正文"/>
    <w:basedOn w:val="1"/>
    <w:autoRedefine/>
    <w:qFormat/>
    <w:uiPriority w:val="0"/>
    <w:pPr>
      <w:ind w:firstLine="480"/>
    </w:pPr>
    <w:rPr>
      <w:rFonts w:ascii="宋体" w:hAnsi="宋体"/>
    </w:rPr>
  </w:style>
  <w:style w:type="paragraph" w:customStyle="1" w:styleId="72">
    <w:name w:val="11正文"/>
    <w:basedOn w:val="1"/>
    <w:autoRedefine/>
    <w:qFormat/>
    <w:uiPriority w:val="0"/>
    <w:pPr>
      <w:spacing w:line="360" w:lineRule="auto"/>
      <w:ind w:firstLine="200" w:firstLineChars="200"/>
    </w:pPr>
  </w:style>
  <w:style w:type="paragraph" w:customStyle="1" w:styleId="73">
    <w:name w:val="正文格式"/>
    <w:basedOn w:val="1"/>
    <w:autoRedefine/>
    <w:qFormat/>
    <w:uiPriority w:val="0"/>
    <w:pPr>
      <w:spacing w:line="360" w:lineRule="auto"/>
      <w:ind w:firstLine="482"/>
    </w:pPr>
    <w:rPr>
      <w:rFonts w:hAnsi="宋体"/>
      <w:kern w:val="2"/>
      <w:szCs w:val="24"/>
    </w:rPr>
  </w:style>
  <w:style w:type="paragraph" w:customStyle="1" w:styleId="74">
    <w:name w:val="表头"/>
    <w:basedOn w:val="11"/>
    <w:next w:val="1"/>
    <w:autoRedefine/>
    <w:qFormat/>
    <w:uiPriority w:val="0"/>
    <w:pPr>
      <w:spacing w:afterLines="50"/>
      <w:jc w:val="center"/>
    </w:pPr>
    <w:rPr>
      <w:rFonts w:eastAsia="黑体"/>
      <w:color w:val="000000"/>
      <w:spacing w:val="20"/>
      <w:sz w:val="24"/>
    </w:rPr>
  </w:style>
  <w:style w:type="paragraph" w:customStyle="1" w:styleId="75">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76">
    <w:name w:val="环评正文"/>
    <w:autoRedefine/>
    <w:qFormat/>
    <w:uiPriority w:val="0"/>
    <w:pPr>
      <w:spacing w:line="400" w:lineRule="exact"/>
      <w:ind w:firstLine="200" w:firstLineChars="200"/>
    </w:pPr>
    <w:rPr>
      <w:rFonts w:ascii="Times New Roman" w:hAnsi="Times New Roman" w:eastAsia="宋体" w:cs="Times New Roman"/>
      <w:kern w:val="2"/>
      <w:sz w:val="24"/>
      <w:szCs w:val="24"/>
      <w:lang w:val="en-US" w:eastAsia="zh-CN" w:bidi="ar-SA"/>
    </w:rPr>
  </w:style>
  <w:style w:type="paragraph" w:customStyle="1" w:styleId="77">
    <w:name w:val="S报告正文"/>
    <w:basedOn w:val="1"/>
    <w:autoRedefine/>
    <w:qFormat/>
    <w:uiPriority w:val="0"/>
    <w:pPr>
      <w:adjustRightInd w:val="0"/>
      <w:snapToGrid w:val="0"/>
      <w:spacing w:line="480" w:lineRule="exact"/>
      <w:ind w:firstLine="510"/>
      <w:jc w:val="left"/>
    </w:pPr>
    <w:rPr>
      <w:sz w:val="24"/>
    </w:rPr>
  </w:style>
  <w:style w:type="character" w:customStyle="1" w:styleId="78">
    <w:name w:val="content1"/>
    <w:autoRedefine/>
    <w:qFormat/>
    <w:uiPriority w:val="0"/>
    <w:rPr>
      <w:rFonts w:ascii="Times New Roman" w:hAnsi="Times New Roman" w:eastAsia="宋体" w:cs="Times New Roman"/>
      <w:color w:val="000000"/>
      <w:sz w:val="20"/>
      <w:szCs w:val="20"/>
    </w:rPr>
  </w:style>
  <w:style w:type="paragraph" w:customStyle="1" w:styleId="79">
    <w:name w:val="表格1"/>
    <w:basedOn w:val="1"/>
    <w:autoRedefine/>
    <w:qFormat/>
    <w:uiPriority w:val="0"/>
    <w:pPr>
      <w:adjustRightInd w:val="0"/>
      <w:spacing w:line="400" w:lineRule="atLeast"/>
      <w:jc w:val="center"/>
    </w:pPr>
    <w:rPr>
      <w:kern w:val="0"/>
      <w:sz w:val="24"/>
      <w:szCs w:val="24"/>
    </w:rPr>
  </w:style>
  <w:style w:type="paragraph" w:customStyle="1" w:styleId="80">
    <w:name w:val="S表名图名"/>
    <w:basedOn w:val="77"/>
    <w:autoRedefine/>
    <w:qFormat/>
    <w:uiPriority w:val="1"/>
    <w:pPr>
      <w:ind w:firstLine="0"/>
      <w:jc w:val="center"/>
    </w:pPr>
    <w:rPr>
      <w:b/>
      <w:szCs w:val="23"/>
    </w:rPr>
  </w:style>
  <w:style w:type="paragraph" w:customStyle="1" w:styleId="81">
    <w:name w:val="图表标注"/>
    <w:basedOn w:val="1"/>
    <w:autoRedefine/>
    <w:qFormat/>
    <w:uiPriority w:val="0"/>
    <w:pPr>
      <w:spacing w:line="480" w:lineRule="exact"/>
      <w:jc w:val="center"/>
    </w:pPr>
    <w:rPr>
      <w:rFonts w:eastAsia="黑体"/>
      <w:kern w:val="0"/>
      <w:sz w:val="20"/>
      <w:szCs w:val="20"/>
    </w:rPr>
  </w:style>
  <w:style w:type="paragraph" w:customStyle="1" w:styleId="82">
    <w:name w:val="正文小四"/>
    <w:autoRedefine/>
    <w:qFormat/>
    <w:uiPriority w:val="0"/>
    <w:pPr>
      <w:ind w:firstLine="360" w:firstLineChars="150"/>
    </w:pPr>
    <w:rPr>
      <w:rFonts w:ascii="宋体" w:hAnsi="宋体" w:eastAsia="宋体" w:cs="Times New Roman"/>
      <w:kern w:val="2"/>
      <w:sz w:val="24"/>
      <w:szCs w:val="24"/>
      <w:lang w:val="en-US" w:eastAsia="zh-CN" w:bidi="ar-SA"/>
    </w:rPr>
  </w:style>
  <w:style w:type="paragraph" w:customStyle="1" w:styleId="83">
    <w:name w:val="段落 Char1"/>
    <w:basedOn w:val="1"/>
    <w:autoRedefine/>
    <w:qFormat/>
    <w:uiPriority w:val="0"/>
    <w:pPr>
      <w:tabs>
        <w:tab w:val="left" w:pos="1021"/>
      </w:tabs>
      <w:spacing w:line="360" w:lineRule="auto"/>
      <w:ind w:firstLine="504" w:firstLineChars="200"/>
    </w:pPr>
    <w:rPr>
      <w:rFonts w:hAnsi="宋体"/>
      <w:bCs/>
      <w:color w:val="000000"/>
      <w:spacing w:val="6"/>
      <w:kern w:val="0"/>
      <w:sz w:val="24"/>
      <w:szCs w:val="28"/>
    </w:rPr>
  </w:style>
  <w:style w:type="paragraph" w:customStyle="1" w:styleId="84">
    <w:name w:val="正文样式1"/>
    <w:basedOn w:val="1"/>
    <w:autoRedefine/>
    <w:qFormat/>
    <w:uiPriority w:val="0"/>
    <w:pPr>
      <w:adjustRightInd w:val="0"/>
      <w:spacing w:line="288" w:lineRule="auto"/>
      <w:ind w:firstLine="360" w:firstLineChars="150"/>
      <w:textAlignment w:val="baseline"/>
    </w:pPr>
    <w:rPr>
      <w:szCs w:val="20"/>
    </w:rPr>
  </w:style>
  <w:style w:type="paragraph" w:customStyle="1" w:styleId="85">
    <w:name w:val="图表标题"/>
    <w:basedOn w:val="24"/>
    <w:next w:val="42"/>
    <w:autoRedefine/>
    <w:qFormat/>
    <w:uiPriority w:val="0"/>
    <w:pPr>
      <w:outlineLvl w:val="4"/>
    </w:pPr>
    <w:rPr>
      <w:bCs/>
      <w:snapToGrid w:val="0"/>
    </w:rPr>
  </w:style>
  <w:style w:type="paragraph" w:customStyle="1" w:styleId="86">
    <w:name w:val="报告表正文"/>
    <w:basedOn w:val="1"/>
    <w:autoRedefine/>
    <w:qFormat/>
    <w:uiPriority w:val="0"/>
    <w:pPr>
      <w:adjustRightInd w:val="0"/>
      <w:spacing w:line="312" w:lineRule="auto"/>
      <w:ind w:left="113" w:right="113" w:firstLine="482"/>
      <w:jc w:val="left"/>
      <w:textAlignment w:val="baseline"/>
    </w:pPr>
    <w:rPr>
      <w:kern w:val="0"/>
      <w:sz w:val="24"/>
    </w:rPr>
  </w:style>
  <w:style w:type="paragraph" w:customStyle="1" w:styleId="87">
    <w:name w:val="烟厂正文"/>
    <w:basedOn w:val="1"/>
    <w:autoRedefine/>
    <w:qFormat/>
    <w:uiPriority w:val="0"/>
    <w:pPr>
      <w:spacing w:before="20" w:beforeLines="20" w:after="20" w:afterLines="20" w:line="500" w:lineRule="exact"/>
      <w:ind w:firstLine="200" w:firstLineChars="200"/>
    </w:pPr>
  </w:style>
  <w:style w:type="paragraph" w:customStyle="1" w:styleId="88">
    <w:name w:val="表文"/>
    <w:basedOn w:val="1"/>
    <w:autoRedefine/>
    <w:qFormat/>
    <w:uiPriority w:val="0"/>
    <w:pPr>
      <w:tabs>
        <w:tab w:val="left" w:pos="1021"/>
      </w:tabs>
      <w:overflowPunct w:val="0"/>
      <w:autoSpaceDE w:val="0"/>
      <w:autoSpaceDN w:val="0"/>
      <w:adjustRightInd w:val="0"/>
      <w:ind w:left="-40" w:firstLine="17"/>
      <w:jc w:val="center"/>
      <w:textAlignment w:val="baseline"/>
    </w:pPr>
    <w:rPr>
      <w:rFonts w:ascii="仿宋_GB2312" w:eastAsia="仿宋_GB2312"/>
      <w:color w:val="FF0000"/>
      <w:spacing w:val="-12"/>
      <w:kern w:val="0"/>
      <w:position w:val="-24"/>
      <w:szCs w:val="21"/>
    </w:rPr>
  </w:style>
  <w:style w:type="paragraph" w:styleId="89">
    <w:name w:val="No Spacing"/>
    <w:autoRedefine/>
    <w:qFormat/>
    <w:uiPriority w:val="0"/>
    <w:pPr>
      <w:widowControl w:val="0"/>
      <w:jc w:val="center"/>
      <w:outlineLvl w:val="7"/>
    </w:pPr>
    <w:rPr>
      <w:rFonts w:ascii="Times New Roman" w:hAnsi="Times New Roman" w:eastAsia="宋体" w:cs="Times New Roman"/>
      <w:kern w:val="2"/>
      <w:sz w:val="21"/>
      <w:szCs w:val="24"/>
      <w:lang w:val="en-US" w:eastAsia="zh-CN" w:bidi="ar-SA"/>
    </w:rPr>
  </w:style>
  <w:style w:type="paragraph" w:customStyle="1" w:styleId="90">
    <w:name w:val="样式9"/>
    <w:basedOn w:val="1"/>
    <w:autoRedefine/>
    <w:qFormat/>
    <w:uiPriority w:val="0"/>
    <w:pPr>
      <w:adjustRightInd w:val="0"/>
      <w:snapToGrid w:val="0"/>
      <w:spacing w:line="460" w:lineRule="exact"/>
      <w:ind w:firstLine="520" w:firstLineChars="200"/>
    </w:pPr>
    <w:rPr>
      <w:sz w:val="26"/>
      <w:szCs w:val="26"/>
    </w:rPr>
  </w:style>
  <w:style w:type="paragraph" w:customStyle="1" w:styleId="91">
    <w:name w:val="p0"/>
    <w:basedOn w:val="1"/>
    <w:autoRedefine/>
    <w:qFormat/>
    <w:uiPriority w:val="0"/>
    <w:pPr>
      <w:widowControl/>
    </w:pPr>
    <w:rPr>
      <w:kern w:val="0"/>
      <w:szCs w:val="21"/>
    </w:rPr>
  </w:style>
  <w:style w:type="character" w:customStyle="1" w:styleId="92">
    <w:name w:val="正文缩进 Char"/>
    <w:basedOn w:val="93"/>
    <w:link w:val="9"/>
    <w:autoRedefine/>
    <w:qFormat/>
    <w:uiPriority w:val="0"/>
    <w:rPr>
      <w:rFonts w:ascii="Calibri"/>
      <w:kern w:val="2"/>
      <w:sz w:val="28"/>
    </w:rPr>
  </w:style>
  <w:style w:type="character" w:customStyle="1" w:styleId="93">
    <w:name w:val="正文首行缩进 Char"/>
    <w:basedOn w:val="47"/>
    <w:link w:val="10"/>
    <w:autoRedefine/>
    <w:qFormat/>
    <w:uiPriority w:val="99"/>
  </w:style>
  <w:style w:type="paragraph" w:customStyle="1" w:styleId="94">
    <w:name w:val="BG表头"/>
    <w:basedOn w:val="1"/>
    <w:autoRedefine/>
    <w:qFormat/>
    <w:uiPriority w:val="0"/>
    <w:pPr>
      <w:jc w:val="center"/>
    </w:pPr>
    <w:rPr>
      <w:rFonts w:ascii="宋体" w:hAnsi="宋体"/>
      <w:szCs w:val="21"/>
    </w:rPr>
  </w:style>
  <w:style w:type="table" w:customStyle="1" w:styleId="95">
    <w:name w:val="Table Normal"/>
    <w:autoRedefine/>
    <w:semiHidden/>
    <w:unhideWhenUsed/>
    <w:qFormat/>
    <w:uiPriority w:val="0"/>
    <w:tblPr>
      <w:tblCellMar>
        <w:top w:w="0" w:type="dxa"/>
        <w:left w:w="0" w:type="dxa"/>
        <w:bottom w:w="0" w:type="dxa"/>
        <w:right w:w="0" w:type="dxa"/>
      </w:tblCellMar>
    </w:tblPr>
  </w:style>
  <w:style w:type="character" w:customStyle="1" w:styleId="96">
    <w:name w:val="font21"/>
    <w:basedOn w:val="30"/>
    <w:autoRedefine/>
    <w:qFormat/>
    <w:uiPriority w:val="0"/>
    <w:rPr>
      <w:rFonts w:hint="eastAsia" w:ascii="宋体" w:hAnsi="宋体" w:eastAsia="宋体" w:cs="宋体"/>
      <w:color w:val="000000"/>
      <w:sz w:val="22"/>
      <w:szCs w:val="22"/>
      <w:u w:val="none"/>
    </w:rPr>
  </w:style>
  <w:style w:type="paragraph" w:customStyle="1" w:styleId="97">
    <w:name w:val="Table Paragraph"/>
    <w:basedOn w:val="1"/>
    <w:autoRedefine/>
    <w:qFormat/>
    <w:uiPriority w:val="1"/>
  </w:style>
  <w:style w:type="paragraph" w:customStyle="1" w:styleId="98">
    <w:name w:val="Table Text"/>
    <w:basedOn w:val="1"/>
    <w:autoRedefine/>
    <w:semiHidden/>
    <w:qFormat/>
    <w:uiPriority w:val="0"/>
    <w:rPr>
      <w:rFonts w:ascii="宋体" w:hAnsi="宋体" w:eastAsia="宋体" w:cs="宋体"/>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emf"/><Relationship Id="rId16" Type="http://schemas.openxmlformats.org/officeDocument/2006/relationships/oleObject" Target="embeddings/oleObject1.bin"/><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"/>
    </extobj>
    <extobj name="ECB019B1-382A-4266-B25C-5B523AA43C14-2">
      <extobjdata type="ECB019B1-382A-4266-B25C-5B523AA43C14" data="ewoJIkZpbGVJZCIgOiAiMzc0NjM1Mjc0NzMwIiwKCSJHcm91cElkIiA6ICI1NjA0NTQxMyIsCgkiSW1hZ2UiIDogImlWQk9SdzBLR2dvQUFBQU5TVWhFVWdBQUJJWUFBQVdtQ0FZQUFBRDlOS3VDQUFBQUFYTlNSMElBcnM0YzZRQUFJQUJKUkVGVWVKenMzWGQ4enRmLy8vSEhsY0dWSVRheEtyWm9LUWsrRktXdHJhV29XVkVVNlRCcXhZNFZpdHFqcUZsRktLWGlVeFFOVFl4YVZmVXBTczJHRUN0V2RuTDkvc2d2MTdkWHMxZWo4YnpmYnJuVmRkN25uUGM1a1RidnZ0N252QTZ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"/>
    </extobj>
    <extobj name="ECB019B1-382A-4266-B25C-5B523AA43C14-3">
      <extobjdata type="ECB019B1-382A-4266-B25C-5B523AA43C14" data="ewoJIkZpbGVJZCIgOiAiMzc5NTE4ODkzNDE3IiwKCSJHcm91cElkIiA6ICI1NjA0NTQxMyIsCgkiSW1hZ2UiIDogImlWQk9SdzBLR2dvQUFBQU5TVWhFVWdBQUE3UUFBQUtrQ0FZQUFBQXdabk9CQUFBQUFYTlNSMElBcnM0YzZRQUFJQUJKUkVGVWVKenMzWG1jamZYLy8vSG5kYzZaMVdETURMSXZJZHVNbWJHVXRaTHFveDJmTmlKVXNyUW9DcFdrb2o0ZldVcWhmT3dSSmIrb0NFV1VZYktNZlRDeWpXVm9ocEhCYk9kY3Z6K21PVjlqZHNhY09UenV0MXMzYzcydjkvVytYcGZtTXVjMTcwMEN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DWG9mOFBEcHI3amdLekRpMEFBQUFBU1VWT1JLNUNZSUk9IiwKCSJUaGVtZSIgOiAiIiwKCSJUeXBlIiA6ICJmbG93IiwKCSJWZXJzaW9uIiA6ICIiCn0K"/>
    </extobj>
    <extobj name="ECB019B1-382A-4266-B25C-5B523AA43C14-4">
      <extobjdata type="ECB019B1-382A-4266-B25C-5B523AA43C14" data="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72</Pages>
  <Words>12124</Words>
  <Characters>12734</Characters>
  <Lines>302</Lines>
  <Paragraphs>85</Paragraphs>
  <TotalTime>27</TotalTime>
  <ScaleCrop>false</ScaleCrop>
  <LinksUpToDate>false</LinksUpToDate>
  <CharactersWithSpaces>12753</CharactersWithSpaces>
  <Application>WPS Office_12.1.0.20754_F1E327BC-269C-435d-A152-05C5408002CA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雨后彩虹</cp:lastModifiedBy>
  <cp:lastPrinted>2020-12-29T02:43:00Z</cp:lastPrinted>
  <dcterms:modified xsi:type="dcterms:W3CDTF">2025-04-01T09:18:32Z</dcterms:modified>
  <dc:title>附件2</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2052-12.1.0.20754</vt:lpwstr>
  </property>
  <property fmtid="{D5CDD505-2E9C-101B-9397-08002B2CF9AE}" pid="3" name="ICV">
    <vt:lpwstr>F66A3EC8FFA949FD91BC4BE015683237_13</vt:lpwstr>
  </property>
  <property fmtid="{D5CDD505-2E9C-101B-9397-08002B2CF9AE}" pid="4" name="KSOTemplateDocerSaveRecord">
    <vt:lpwstr>eyJoZGlkIjoiMTFlN2Y0ZGVlZmY3MDViNGY5NjFkYWY3YzRmYzllOTIiLCJ1c2VySWQiOiIzMDU4OTg1In0=</vt:lpwstr>
  </property>
</Properties>
</file>