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sz w:val="36"/>
          <w:szCs w:val="36"/>
        </w:rPr>
      </w:pPr>
      <w:bookmarkStart w:id="0" w:name="_Hlk57883707"/>
    </w:p>
    <w:p>
      <w:pPr>
        <w:pStyle w:val="16"/>
        <w:rPr>
          <w:rFonts w:eastAsia="仿宋_GB2312"/>
          <w:sz w:val="36"/>
          <w:szCs w:val="36"/>
        </w:rPr>
      </w:pPr>
    </w:p>
    <w:p/>
    <w:p>
      <w:pPr>
        <w:rPr>
          <w:rFonts w:eastAsia="仿宋_GB2312"/>
          <w:sz w:val="36"/>
          <w:szCs w:val="36"/>
        </w:rPr>
      </w:pPr>
    </w:p>
    <w:p>
      <w:pPr>
        <w:adjustRightInd w:val="0"/>
        <w:snapToGrid w:val="0"/>
        <w:spacing w:afterAutospacing="0"/>
        <w:jc w:val="center"/>
        <w:outlineLvl w:val="0"/>
        <w:rPr>
          <w:rFonts w:eastAsia="方正小标宋_GBK"/>
          <w:bCs/>
          <w:sz w:val="72"/>
          <w:szCs w:val="72"/>
        </w:rPr>
      </w:pPr>
      <w:bookmarkStart w:id="1" w:name="_Toc26377"/>
      <w:r>
        <w:rPr>
          <w:rFonts w:eastAsia="方正小标宋_GBK"/>
          <w:bCs/>
          <w:sz w:val="72"/>
          <w:szCs w:val="72"/>
        </w:rPr>
        <w:t>建设项目环境影响报告表</w:t>
      </w:r>
      <w:bookmarkEnd w:id="1"/>
    </w:p>
    <w:p>
      <w:pPr>
        <w:adjustRightInd w:val="0"/>
        <w:snapToGrid w:val="0"/>
        <w:spacing w:beforeAutospacing="0"/>
        <w:jc w:val="center"/>
        <w:rPr>
          <w:rFonts w:hint="eastAsia" w:eastAsia="楷体_GB2312"/>
          <w:bCs/>
          <w:sz w:val="48"/>
          <w:szCs w:val="48"/>
        </w:rPr>
      </w:pPr>
      <w:r>
        <w:rPr>
          <w:rFonts w:hint="eastAsia" w:eastAsia="楷体_GB2312"/>
          <w:bCs/>
          <w:sz w:val="48"/>
          <w:szCs w:val="48"/>
        </w:rPr>
        <w:t>(</w:t>
      </w:r>
      <w:r>
        <w:rPr>
          <w:rFonts w:eastAsia="楷体_GB2312"/>
          <w:bCs/>
          <w:sz w:val="48"/>
          <w:szCs w:val="48"/>
        </w:rPr>
        <w:t>污染影响类</w:t>
      </w:r>
      <w:r>
        <w:rPr>
          <w:rFonts w:hint="eastAsia" w:eastAsia="楷体_GB2312"/>
          <w:bCs/>
          <w:sz w:val="48"/>
          <w:szCs w:val="48"/>
        </w:rPr>
        <w:t>)</w:t>
      </w:r>
    </w:p>
    <w:p>
      <w:pPr>
        <w:adjustRightInd w:val="0"/>
        <w:snapToGrid w:val="0"/>
        <w:spacing w:beforeAutospacing="0"/>
        <w:jc w:val="center"/>
        <w:rPr>
          <w:rFonts w:hint="eastAsia" w:ascii="仿宋" w:hAnsi="仿宋" w:eastAsia="仿宋" w:cs="仿宋"/>
          <w:kern w:val="44"/>
          <w:sz w:val="44"/>
          <w:szCs w:val="44"/>
        </w:rPr>
      </w:pPr>
      <w:r>
        <w:rPr>
          <w:rFonts w:hint="eastAsia" w:ascii="仿宋" w:hAnsi="仿宋" w:eastAsia="仿宋" w:cs="仿宋"/>
          <w:bCs/>
          <w:sz w:val="48"/>
          <w:szCs w:val="48"/>
          <w:lang w:val="en-US" w:eastAsia="zh-CN"/>
        </w:rPr>
        <w:t>报批稿</w:t>
      </w:r>
    </w:p>
    <w:p>
      <w:pPr>
        <w:rPr>
          <w:rFonts w:eastAsia="仿宋"/>
          <w:sz w:val="44"/>
          <w:szCs w:val="44"/>
        </w:rPr>
      </w:pPr>
    </w:p>
    <w:p/>
    <w:p>
      <w:pPr>
        <w:pStyle w:val="34"/>
        <w:rPr>
          <w:rFonts w:ascii="Times New Roman" w:hAnsi="Times New Roman"/>
        </w:rPr>
      </w:pPr>
    </w:p>
    <w:p>
      <w:pPr>
        <w:pStyle w:val="35"/>
      </w:pPr>
    </w:p>
    <w:p>
      <w:pPr>
        <w:ind w:firstLine="1040"/>
        <w:rPr>
          <w:rFonts w:eastAsia="仿宋"/>
          <w:sz w:val="44"/>
          <w:szCs w:val="44"/>
        </w:rPr>
      </w:pPr>
    </w:p>
    <w:p>
      <w:pPr>
        <w:widowControl/>
        <w:spacing w:line="240" w:lineRule="auto"/>
        <w:ind w:firstLine="280" w:firstLineChars="100"/>
        <w:jc w:val="left"/>
        <w:rPr>
          <w:rFonts w:eastAsia="仿宋_GB2312"/>
          <w:spacing w:val="-20"/>
          <w:sz w:val="32"/>
          <w:szCs w:val="32"/>
        </w:rPr>
      </w:pPr>
      <w:r>
        <w:rPr>
          <w:rFonts w:eastAsia="仿宋_GB2312"/>
          <w:spacing w:val="-20"/>
          <w:sz w:val="32"/>
          <w:szCs w:val="32"/>
        </w:rPr>
        <w:t>项目名称</w:t>
      </w:r>
      <w:r>
        <w:rPr>
          <w:rFonts w:hint="eastAsia" w:eastAsia="仿宋_GB2312"/>
          <w:spacing w:val="-20"/>
          <w:sz w:val="32"/>
          <w:szCs w:val="32"/>
        </w:rPr>
        <w:t>：</w:t>
      </w:r>
      <w:r>
        <w:rPr>
          <w:rFonts w:hint="eastAsia" w:eastAsia="仿宋_GB2312"/>
          <w:spacing w:val="-20"/>
          <w:sz w:val="32"/>
          <w:szCs w:val="32"/>
          <w:u w:val="single"/>
        </w:rPr>
        <w:t>新田县祥忠种养专业合作社牛蛙养殖项目</w:t>
      </w:r>
    </w:p>
    <w:p>
      <w:pPr>
        <w:adjustRightInd w:val="0"/>
        <w:snapToGrid w:val="0"/>
        <w:spacing w:line="288" w:lineRule="auto"/>
        <w:ind w:firstLine="280" w:firstLineChars="100"/>
        <w:jc w:val="left"/>
        <w:rPr>
          <w:rFonts w:eastAsia="仿宋_GB2312"/>
          <w:sz w:val="32"/>
          <w:szCs w:val="32"/>
        </w:rPr>
      </w:pPr>
      <w:r>
        <w:rPr>
          <w:rFonts w:eastAsia="仿宋_GB2312"/>
          <w:spacing w:val="-20"/>
          <w:sz w:val="32"/>
          <w:szCs w:val="32"/>
        </w:rPr>
        <w:t>建设单位(盖章)：</w:t>
      </w:r>
      <w:r>
        <w:rPr>
          <w:rFonts w:hint="eastAsia" w:eastAsia="仿宋_GB2312"/>
          <w:spacing w:val="-20"/>
          <w:sz w:val="32"/>
          <w:szCs w:val="32"/>
          <w:u w:val="single"/>
        </w:rPr>
        <w:t xml:space="preserve"> 新田县祥忠种养专业合作社</w:t>
      </w:r>
      <w:r>
        <w:rPr>
          <w:rFonts w:hint="eastAsia" w:eastAsia="仿宋_GB2312"/>
          <w:sz w:val="32"/>
          <w:szCs w:val="32"/>
          <w:u w:val="single"/>
        </w:rPr>
        <w:t xml:space="preserve">    </w:t>
      </w:r>
      <w:r>
        <w:rPr>
          <w:rFonts w:hint="eastAsia" w:eastAsia="仿宋_GB2312"/>
          <w:sz w:val="32"/>
          <w:szCs w:val="32"/>
        </w:rPr>
        <w:t xml:space="preserve">     </w:t>
      </w:r>
      <w:r>
        <w:rPr>
          <w:rFonts w:eastAsia="仿宋_GB2312"/>
          <w:spacing w:val="-20"/>
          <w:sz w:val="32"/>
          <w:szCs w:val="32"/>
        </w:rPr>
        <w:t xml:space="preserve"> </w:t>
      </w:r>
    </w:p>
    <w:p>
      <w:pPr>
        <w:adjustRightInd w:val="0"/>
        <w:snapToGrid w:val="0"/>
        <w:spacing w:line="288" w:lineRule="auto"/>
        <w:ind w:firstLine="320" w:firstLineChars="100"/>
        <w:jc w:val="left"/>
        <w:rPr>
          <w:rFonts w:eastAsia="仿宋_GB2312"/>
          <w:sz w:val="36"/>
          <w:szCs w:val="36"/>
        </w:rPr>
      </w:pPr>
      <w:r>
        <w:rPr>
          <w:rFonts w:eastAsia="仿宋_GB2312"/>
          <w:sz w:val="32"/>
          <w:szCs w:val="32"/>
        </w:rPr>
        <w:t xml:space="preserve">编制日期：  </w:t>
      </w:r>
      <w:r>
        <w:rPr>
          <w:rFonts w:eastAsia="仿宋_GB2312"/>
          <w:sz w:val="32"/>
          <w:szCs w:val="32"/>
          <w:u w:val="single"/>
        </w:rPr>
        <w:t xml:space="preserve">     </w:t>
      </w:r>
      <w:r>
        <w:rPr>
          <w:rFonts w:hint="eastAsia" w:eastAsia="仿宋_GB2312"/>
          <w:sz w:val="32"/>
          <w:szCs w:val="32"/>
          <w:u w:val="single"/>
        </w:rPr>
        <w:t xml:space="preserve">    </w:t>
      </w:r>
      <w:r>
        <w:rPr>
          <w:rFonts w:eastAsia="仿宋_GB2312"/>
          <w:sz w:val="32"/>
          <w:szCs w:val="32"/>
          <w:u w:val="single"/>
        </w:rPr>
        <w:t xml:space="preserve"> 202</w:t>
      </w:r>
      <w:r>
        <w:rPr>
          <w:rFonts w:hint="eastAsia" w:eastAsia="仿宋_GB2312"/>
          <w:sz w:val="32"/>
          <w:szCs w:val="32"/>
          <w:u w:val="single"/>
        </w:rPr>
        <w:t>4</w:t>
      </w:r>
      <w:r>
        <w:rPr>
          <w:rFonts w:eastAsia="仿宋_GB2312"/>
          <w:sz w:val="32"/>
          <w:szCs w:val="32"/>
          <w:u w:val="single"/>
        </w:rPr>
        <w:t>年</w:t>
      </w:r>
      <w:r>
        <w:rPr>
          <w:rFonts w:hint="eastAsia" w:eastAsia="仿宋_GB2312"/>
          <w:sz w:val="32"/>
          <w:szCs w:val="32"/>
          <w:u w:val="single"/>
          <w:lang w:val="en-US" w:eastAsia="zh-CN"/>
        </w:rPr>
        <w:t>8</w:t>
      </w:r>
      <w:r>
        <w:rPr>
          <w:rFonts w:eastAsia="仿宋_GB2312"/>
          <w:sz w:val="32"/>
          <w:szCs w:val="32"/>
          <w:u w:val="single"/>
        </w:rPr>
        <w:t xml:space="preserve">月 </w:t>
      </w:r>
      <w:r>
        <w:rPr>
          <w:rFonts w:hint="eastAsia" w:eastAsia="仿宋_GB2312"/>
          <w:sz w:val="32"/>
          <w:szCs w:val="32"/>
          <w:u w:val="single"/>
        </w:rPr>
        <w:t xml:space="preserve">   </w:t>
      </w:r>
      <w:r>
        <w:rPr>
          <w:rFonts w:eastAsia="仿宋_GB2312"/>
          <w:sz w:val="32"/>
          <w:szCs w:val="32"/>
          <w:u w:val="single"/>
        </w:rPr>
        <w:t xml:space="preserve">  </w:t>
      </w:r>
      <w:r>
        <w:rPr>
          <w:rFonts w:eastAsia="仿宋_GB2312"/>
          <w:sz w:val="32"/>
          <w:szCs w:val="32"/>
        </w:rPr>
        <w:t xml:space="preserve"> </w:t>
      </w:r>
      <w:r>
        <w:rPr>
          <w:rFonts w:eastAsia="仿宋_GB2312"/>
          <w:sz w:val="36"/>
          <w:szCs w:val="36"/>
        </w:rPr>
        <w:t xml:space="preserve">   </w:t>
      </w:r>
      <w:r>
        <w:rPr>
          <w:rFonts w:hint="eastAsia" w:eastAsia="仿宋_GB2312"/>
          <w:sz w:val="36"/>
          <w:szCs w:val="36"/>
        </w:rPr>
        <w:t xml:space="preserve"> </w:t>
      </w:r>
      <w:r>
        <w:rPr>
          <w:rFonts w:eastAsia="仿宋_GB2312"/>
          <w:sz w:val="36"/>
          <w:szCs w:val="36"/>
        </w:rPr>
        <w:t xml:space="preserve"> </w:t>
      </w:r>
      <w:r>
        <w:rPr>
          <w:rFonts w:hint="eastAsia" w:eastAsia="仿宋_GB2312"/>
          <w:sz w:val="36"/>
          <w:szCs w:val="36"/>
        </w:rPr>
        <w:t xml:space="preserve">    </w:t>
      </w:r>
      <w:r>
        <w:rPr>
          <w:rFonts w:eastAsia="仿宋_GB2312"/>
          <w:sz w:val="36"/>
          <w:szCs w:val="36"/>
        </w:rPr>
        <w:t xml:space="preserve">   </w:t>
      </w:r>
      <w:r>
        <w:rPr>
          <w:rFonts w:hint="eastAsia" w:eastAsia="仿宋_GB2312"/>
          <w:sz w:val="36"/>
          <w:szCs w:val="36"/>
        </w:rPr>
        <w:t xml:space="preserve"> </w:t>
      </w:r>
    </w:p>
    <w:p>
      <w:pPr>
        <w:adjustRightInd w:val="0"/>
        <w:snapToGrid w:val="0"/>
        <w:spacing w:line="288" w:lineRule="auto"/>
        <w:ind w:firstLine="1040"/>
        <w:jc w:val="left"/>
        <w:rPr>
          <w:rFonts w:eastAsia="仿宋_GB2312"/>
          <w:sz w:val="36"/>
          <w:szCs w:val="36"/>
        </w:rPr>
      </w:pPr>
      <w:bookmarkStart w:id="2" w:name="_Hlk57884087"/>
    </w:p>
    <w:p>
      <w:pPr>
        <w:adjustRightInd w:val="0"/>
        <w:snapToGrid w:val="0"/>
        <w:spacing w:line="288" w:lineRule="auto"/>
        <w:ind w:firstLine="1040"/>
        <w:rPr>
          <w:rFonts w:eastAsia="仿宋_GB2312"/>
          <w:sz w:val="36"/>
          <w:szCs w:val="36"/>
        </w:rPr>
      </w:pPr>
    </w:p>
    <w:p>
      <w:pPr>
        <w:adjustRightInd w:val="0"/>
        <w:snapToGrid w:val="0"/>
        <w:spacing w:line="288" w:lineRule="auto"/>
        <w:rPr>
          <w:rFonts w:eastAsia="仿宋_GB2312"/>
          <w:sz w:val="36"/>
          <w:szCs w:val="36"/>
        </w:rPr>
      </w:pPr>
    </w:p>
    <w:bookmarkEnd w:id="2"/>
    <w:p>
      <w:pPr>
        <w:adjustRightInd w:val="0"/>
        <w:snapToGrid w:val="0"/>
        <w:spacing w:line="288" w:lineRule="auto"/>
        <w:jc w:val="center"/>
        <w:rPr>
          <w:rFonts w:eastAsia="楷体_GB2312"/>
          <w:sz w:val="36"/>
          <w:szCs w:val="36"/>
        </w:rPr>
      </w:pPr>
      <w:r>
        <w:rPr>
          <w:rFonts w:eastAsia="楷体_GB2312"/>
          <w:sz w:val="36"/>
          <w:szCs w:val="36"/>
        </w:rPr>
        <w:t>中华人民共和国生态环境部制</w:t>
      </w:r>
    </w:p>
    <w:p>
      <w:pPr>
        <w:adjustRightInd w:val="0"/>
        <w:snapToGrid w:val="0"/>
        <w:spacing w:line="288" w:lineRule="auto"/>
        <w:rPr>
          <w:rFonts w:ascii="楷体_GB2312" w:eastAsia="楷体_GB2312"/>
          <w:sz w:val="36"/>
          <w:szCs w:val="36"/>
        </w:rPr>
      </w:pPr>
    </w:p>
    <w:p>
      <w:pPr>
        <w:adjustRightInd w:val="0"/>
        <w:snapToGrid w:val="0"/>
        <w:spacing w:line="288" w:lineRule="auto"/>
        <w:jc w:val="center"/>
        <w:rPr>
          <w:rFonts w:ascii="楷体_GB2312" w:eastAsia="楷体_GB2312"/>
          <w:sz w:val="36"/>
          <w:szCs w:val="36"/>
        </w:rPr>
        <w:sectPr>
          <w:headerReference r:id="rId7" w:type="first"/>
          <w:footerReference r:id="rId10" w:type="first"/>
          <w:headerReference r:id="rId5" w:type="default"/>
          <w:footerReference r:id="rId8" w:type="default"/>
          <w:headerReference r:id="rId6" w:type="even"/>
          <w:footerReference r:id="rId9" w:type="even"/>
          <w:pgSz w:w="11905" w:h="16838"/>
          <w:pgMar w:top="1440" w:right="1803" w:bottom="1440" w:left="1803" w:header="851" w:footer="992" w:gutter="0"/>
          <w:pgNumType w:start="3"/>
          <w:cols w:space="720" w:num="1"/>
          <w:docGrid w:type="lines" w:linePitch="312" w:charSpace="0"/>
        </w:sectPr>
      </w:pPr>
    </w:p>
    <w:p>
      <w:pPr>
        <w:adjustRightInd w:val="0"/>
        <w:snapToGrid w:val="0"/>
        <w:spacing w:line="288" w:lineRule="auto"/>
        <w:jc w:val="center"/>
        <w:rPr>
          <w:rFonts w:hint="eastAsia" w:ascii="楷体_GB2312" w:eastAsia="楷体_GB2312"/>
          <w:sz w:val="36"/>
          <w:szCs w:val="36"/>
          <w:lang w:eastAsia="zh-CN"/>
        </w:rPr>
        <w:sectPr>
          <w:pgSz w:w="11905" w:h="16838"/>
          <w:pgMar w:top="1440" w:right="1803" w:bottom="1440" w:left="1803" w:header="851" w:footer="992" w:gutter="0"/>
          <w:pgNumType w:start="3"/>
          <w:cols w:space="720" w:num="1"/>
          <w:docGrid w:type="lines" w:linePitch="312" w:charSpace="0"/>
        </w:sectPr>
      </w:pPr>
      <w:r>
        <w:rPr>
          <w:rFonts w:hint="eastAsia" w:ascii="楷体_GB2312" w:eastAsia="楷体_GB2312"/>
          <w:sz w:val="36"/>
          <w:szCs w:val="36"/>
          <w:lang w:eastAsia="zh-CN"/>
        </w:rPr>
        <w:drawing>
          <wp:inline distT="0" distB="0" distL="114300" distR="114300">
            <wp:extent cx="5268595" cy="7442835"/>
            <wp:effectExtent l="0" t="0" r="8255" b="5715"/>
            <wp:docPr id="45" name="图片 45" descr="DOC50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C505_00"/>
                    <pic:cNvPicPr>
                      <a:picLocks noChangeAspect="1"/>
                    </pic:cNvPicPr>
                  </pic:nvPicPr>
                  <pic:blipFill>
                    <a:blip r:embed="rId17"/>
                    <a:stretch>
                      <a:fillRect/>
                    </a:stretch>
                  </pic:blipFill>
                  <pic:spPr>
                    <a:xfrm>
                      <a:off x="0" y="0"/>
                      <a:ext cx="5268595" cy="7442835"/>
                    </a:xfrm>
                    <a:prstGeom prst="rect">
                      <a:avLst/>
                    </a:prstGeom>
                  </pic:spPr>
                </pic:pic>
              </a:graphicData>
            </a:graphic>
          </wp:inline>
        </w:drawing>
      </w:r>
    </w:p>
    <w:p>
      <w:pPr>
        <w:adjustRightInd w:val="0"/>
        <w:snapToGrid w:val="0"/>
        <w:spacing w:line="288" w:lineRule="auto"/>
        <w:jc w:val="center"/>
        <w:rPr>
          <w:rFonts w:hint="eastAsia" w:ascii="楷体_GB2312" w:eastAsia="楷体_GB2312"/>
          <w:sz w:val="36"/>
          <w:szCs w:val="36"/>
          <w:lang w:eastAsia="zh-CN"/>
        </w:rPr>
        <w:sectPr>
          <w:pgSz w:w="11905" w:h="16838"/>
          <w:pgMar w:top="1440" w:right="1803" w:bottom="1440" w:left="1803" w:header="851" w:footer="992" w:gutter="0"/>
          <w:pgNumType w:start="3"/>
          <w:cols w:space="720" w:num="1"/>
          <w:docGrid w:type="lines" w:linePitch="312" w:charSpace="0"/>
        </w:sectPr>
      </w:pPr>
      <w:r>
        <w:rPr>
          <w:rFonts w:hint="eastAsia" w:ascii="楷体_GB2312" w:eastAsia="楷体_GB2312"/>
          <w:sz w:val="36"/>
          <w:szCs w:val="36"/>
          <w:lang w:eastAsia="zh-CN"/>
        </w:rPr>
        <w:drawing>
          <wp:inline distT="0" distB="0" distL="114300" distR="114300">
            <wp:extent cx="5269230" cy="7452360"/>
            <wp:effectExtent l="0" t="0" r="7620" b="15240"/>
            <wp:docPr id="9" name="图片 9" descr="智鹿资质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智鹿资质页_01"/>
                    <pic:cNvPicPr>
                      <a:picLocks noChangeAspect="1"/>
                    </pic:cNvPicPr>
                  </pic:nvPicPr>
                  <pic:blipFill>
                    <a:blip r:embed="rId18"/>
                    <a:stretch>
                      <a:fillRect/>
                    </a:stretch>
                  </pic:blipFill>
                  <pic:spPr>
                    <a:xfrm>
                      <a:off x="0" y="0"/>
                      <a:ext cx="5269230" cy="7452360"/>
                    </a:xfrm>
                    <a:prstGeom prst="rect">
                      <a:avLst/>
                    </a:prstGeom>
                  </pic:spPr>
                </pic:pic>
              </a:graphicData>
            </a:graphic>
          </wp:inline>
        </w:drawing>
      </w:r>
    </w:p>
    <w:p>
      <w:pPr>
        <w:adjustRightInd w:val="0"/>
        <w:snapToGrid w:val="0"/>
        <w:spacing w:line="288" w:lineRule="auto"/>
        <w:jc w:val="center"/>
        <w:rPr>
          <w:rFonts w:hint="eastAsia" w:ascii="楷体_GB2312" w:eastAsia="楷体_GB2312"/>
          <w:sz w:val="36"/>
          <w:szCs w:val="36"/>
          <w:lang w:eastAsia="zh-CN"/>
        </w:rPr>
        <w:sectPr>
          <w:pgSz w:w="16838" w:h="11905" w:orient="landscape"/>
          <w:pgMar w:top="1803" w:right="1440" w:bottom="1803" w:left="1440" w:header="851" w:footer="992" w:gutter="0"/>
          <w:pgNumType w:start="3"/>
          <w:cols w:space="720" w:num="1"/>
          <w:docGrid w:type="lines" w:linePitch="312" w:charSpace="0"/>
        </w:sectPr>
      </w:pPr>
      <w:r>
        <w:rPr>
          <w:rFonts w:hint="eastAsia" w:ascii="楷体_GB2312" w:eastAsia="楷体_GB2312"/>
          <w:sz w:val="36"/>
          <w:szCs w:val="36"/>
          <w:lang w:eastAsia="zh-CN"/>
        </w:rPr>
        <w:drawing>
          <wp:inline distT="0" distB="0" distL="114300" distR="114300">
            <wp:extent cx="8377555" cy="5182870"/>
            <wp:effectExtent l="0" t="0" r="4445" b="17780"/>
            <wp:docPr id="13" name="图片 13" descr="智鹿资质页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智鹿资质页_02"/>
                    <pic:cNvPicPr>
                      <a:picLocks noChangeAspect="1"/>
                    </pic:cNvPicPr>
                  </pic:nvPicPr>
                  <pic:blipFill>
                    <a:blip r:embed="rId19"/>
                    <a:stretch>
                      <a:fillRect/>
                    </a:stretch>
                  </pic:blipFill>
                  <pic:spPr>
                    <a:xfrm>
                      <a:off x="0" y="0"/>
                      <a:ext cx="8377555" cy="5182870"/>
                    </a:xfrm>
                    <a:prstGeom prst="rect">
                      <a:avLst/>
                    </a:prstGeom>
                  </pic:spPr>
                </pic:pic>
              </a:graphicData>
            </a:graphic>
          </wp:inline>
        </w:drawing>
      </w:r>
    </w:p>
    <w:p>
      <w:pPr>
        <w:adjustRightInd w:val="0"/>
        <w:snapToGrid w:val="0"/>
        <w:spacing w:line="288" w:lineRule="auto"/>
        <w:jc w:val="center"/>
        <w:rPr>
          <w:rFonts w:hint="eastAsia" w:ascii="楷体_GB2312" w:eastAsia="楷体_GB2312"/>
          <w:sz w:val="36"/>
          <w:szCs w:val="36"/>
          <w:lang w:eastAsia="zh-CN"/>
        </w:rPr>
        <w:sectPr>
          <w:pgSz w:w="11905" w:h="16838"/>
          <w:pgMar w:top="1440" w:right="1803" w:bottom="1440" w:left="1803" w:header="851" w:footer="992" w:gutter="0"/>
          <w:pgNumType w:start="3"/>
          <w:cols w:space="720" w:num="1"/>
          <w:docGrid w:type="lines" w:linePitch="312" w:charSpace="0"/>
        </w:sectPr>
      </w:pPr>
      <w:r>
        <w:rPr>
          <w:rFonts w:hint="eastAsia" w:ascii="楷体_GB2312" w:eastAsia="楷体_GB2312"/>
          <w:sz w:val="36"/>
          <w:szCs w:val="36"/>
          <w:lang w:eastAsia="zh-CN"/>
        </w:rPr>
        <w:drawing>
          <wp:inline distT="0" distB="0" distL="114300" distR="114300">
            <wp:extent cx="5269230" cy="7452360"/>
            <wp:effectExtent l="0" t="0" r="7620" b="15240"/>
            <wp:docPr id="4" name="图片 4" descr="智鹿资质页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智鹿资质页_03"/>
                    <pic:cNvPicPr>
                      <a:picLocks noChangeAspect="1"/>
                    </pic:cNvPicPr>
                  </pic:nvPicPr>
                  <pic:blipFill>
                    <a:blip r:embed="rId20"/>
                    <a:stretch>
                      <a:fillRect/>
                    </a:stretch>
                  </pic:blipFill>
                  <pic:spPr>
                    <a:xfrm>
                      <a:off x="0" y="0"/>
                      <a:ext cx="5269230" cy="7452360"/>
                    </a:xfrm>
                    <a:prstGeom prst="rect">
                      <a:avLst/>
                    </a:prstGeom>
                  </pic:spPr>
                </pic:pic>
              </a:graphicData>
            </a:graphic>
          </wp:inline>
        </w:drawing>
      </w:r>
      <w:r>
        <w:rPr>
          <w:rFonts w:hint="eastAsia" w:ascii="楷体_GB2312" w:eastAsia="楷体_GB2312"/>
          <w:sz w:val="36"/>
          <w:szCs w:val="36"/>
          <w:lang w:eastAsia="zh-CN"/>
        </w:rPr>
        <w:drawing>
          <wp:inline distT="0" distB="0" distL="114300" distR="114300">
            <wp:extent cx="5269230" cy="7452360"/>
            <wp:effectExtent l="0" t="0" r="7620" b="15240"/>
            <wp:docPr id="3" name="图片 3" descr="智鹿资质页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智鹿资质页_04"/>
                    <pic:cNvPicPr>
                      <a:picLocks noChangeAspect="1"/>
                    </pic:cNvPicPr>
                  </pic:nvPicPr>
                  <pic:blipFill>
                    <a:blip r:embed="rId21"/>
                    <a:stretch>
                      <a:fillRect/>
                    </a:stretch>
                  </pic:blipFill>
                  <pic:spPr>
                    <a:xfrm>
                      <a:off x="0" y="0"/>
                      <a:ext cx="5269230" cy="7452360"/>
                    </a:xfrm>
                    <a:prstGeom prst="rect">
                      <a:avLst/>
                    </a:prstGeom>
                  </pic:spPr>
                </pic:pic>
              </a:graphicData>
            </a:graphic>
          </wp:inline>
        </w:drawing>
      </w:r>
    </w:p>
    <w:p>
      <w:pPr>
        <w:adjustRightInd w:val="0"/>
        <w:snapToGrid w:val="0"/>
        <w:spacing w:line="288" w:lineRule="auto"/>
        <w:jc w:val="center"/>
        <w:rPr>
          <w:rFonts w:hint="eastAsia" w:ascii="楷体_GB2312" w:eastAsia="楷体_GB2312"/>
          <w:sz w:val="36"/>
          <w:szCs w:val="36"/>
          <w:lang w:eastAsia="zh-CN"/>
        </w:rPr>
        <w:sectPr>
          <w:pgSz w:w="11905" w:h="16838"/>
          <w:pgMar w:top="1440" w:right="1803" w:bottom="1440" w:left="1803" w:header="851" w:footer="992" w:gutter="0"/>
          <w:pgNumType w:start="3"/>
          <w:cols w:space="720" w:num="1"/>
          <w:docGrid w:type="lines" w:linePitch="312" w:charSpace="0"/>
        </w:sectPr>
      </w:pPr>
      <w:r>
        <w:rPr>
          <w:rFonts w:hint="eastAsia" w:ascii="楷体_GB2312" w:eastAsia="楷体_GB2312"/>
          <w:sz w:val="36"/>
          <w:szCs w:val="36"/>
          <w:lang w:eastAsia="zh-CN"/>
        </w:rPr>
        <w:drawing>
          <wp:inline distT="0" distB="0" distL="114300" distR="114300">
            <wp:extent cx="5268595" cy="7442835"/>
            <wp:effectExtent l="0" t="0" r="8255" b="5715"/>
            <wp:docPr id="10" name="图片 10" descr="编制情况承诺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编制情况承诺书_00"/>
                    <pic:cNvPicPr>
                      <a:picLocks noChangeAspect="1"/>
                    </pic:cNvPicPr>
                  </pic:nvPicPr>
                  <pic:blipFill>
                    <a:blip r:embed="rId22"/>
                    <a:stretch>
                      <a:fillRect/>
                    </a:stretch>
                  </pic:blipFill>
                  <pic:spPr>
                    <a:xfrm>
                      <a:off x="0" y="0"/>
                      <a:ext cx="5268595" cy="7442835"/>
                    </a:xfrm>
                    <a:prstGeom prst="rect">
                      <a:avLst/>
                    </a:prstGeom>
                  </pic:spPr>
                </pic:pic>
              </a:graphicData>
            </a:graphic>
          </wp:inline>
        </w:drawing>
      </w:r>
    </w:p>
    <w:bookmarkEnd w:id="0"/>
    <w:p>
      <w:pPr>
        <w:widowControl/>
        <w:adjustRightInd w:val="0"/>
        <w:snapToGrid w:val="0"/>
        <w:spacing w:line="240" w:lineRule="auto"/>
        <w:jc w:val="center"/>
        <w:rPr>
          <w:b/>
          <w:sz w:val="36"/>
          <w:szCs w:val="36"/>
        </w:rPr>
      </w:pPr>
      <w:r>
        <w:rPr>
          <w:b/>
          <w:sz w:val="36"/>
          <w:szCs w:val="36"/>
        </w:rPr>
        <w:t>目 录</w:t>
      </w:r>
    </w:p>
    <w:p>
      <w:pPr>
        <w:pStyle w:val="33"/>
        <w:tabs>
          <w:tab w:val="right" w:leader="dot" w:pos="8289"/>
        </w:tabs>
        <w:jc w:val="left"/>
        <w:rPr>
          <w:rFonts w:asciiTheme="minorHAnsi" w:hAnsiTheme="minorHAnsi" w:eastAsiaTheme="minorEastAsia" w:cstheme="minorBidi"/>
          <w:sz w:val="21"/>
          <w:szCs w:val="22"/>
        </w:rPr>
      </w:pPr>
      <w:r>
        <w:fldChar w:fldCharType="begin"/>
      </w:r>
      <w:r>
        <w:instrText xml:space="preserve"> TOC \o "1-1" \h \z \u </w:instrText>
      </w:r>
      <w:r>
        <w:fldChar w:fldCharType="separate"/>
      </w:r>
      <w:r>
        <w:fldChar w:fldCharType="begin"/>
      </w:r>
      <w:r>
        <w:instrText xml:space="preserve"> HYPERLINK \l "_Toc159582690" </w:instrText>
      </w:r>
      <w:r>
        <w:fldChar w:fldCharType="separate"/>
      </w:r>
      <w:r>
        <w:rPr>
          <w:rStyle w:val="49"/>
          <w:rFonts w:hint="eastAsia" w:ascii="宋体" w:hAnsi="宋体" w:cs="宋体"/>
        </w:rPr>
        <w:t>一、建设项目基本情况</w:t>
      </w:r>
      <w:r>
        <w:tab/>
      </w:r>
      <w:r>
        <w:fldChar w:fldCharType="begin"/>
      </w:r>
      <w:r>
        <w:instrText xml:space="preserve"> PAGEREF _Toc159582690 \h </w:instrText>
      </w:r>
      <w:r>
        <w:fldChar w:fldCharType="separate"/>
      </w:r>
      <w:r>
        <w:t>1</w:t>
      </w:r>
      <w:r>
        <w:fldChar w:fldCharType="end"/>
      </w:r>
      <w:r>
        <w:fldChar w:fldCharType="end"/>
      </w:r>
    </w:p>
    <w:p>
      <w:pPr>
        <w:pStyle w:val="33"/>
        <w:tabs>
          <w:tab w:val="right" w:leader="dot" w:pos="8289"/>
        </w:tabs>
        <w:rPr>
          <w:rFonts w:asciiTheme="minorHAnsi" w:hAnsiTheme="minorHAnsi" w:eastAsiaTheme="minorEastAsia" w:cstheme="minorBidi"/>
          <w:sz w:val="21"/>
          <w:szCs w:val="22"/>
        </w:rPr>
      </w:pPr>
      <w:r>
        <w:fldChar w:fldCharType="begin"/>
      </w:r>
      <w:r>
        <w:instrText xml:space="preserve"> HYPERLINK \l "_Toc159582691" </w:instrText>
      </w:r>
      <w:r>
        <w:fldChar w:fldCharType="separate"/>
      </w:r>
      <w:r>
        <w:rPr>
          <w:rStyle w:val="49"/>
          <w:rFonts w:hint="eastAsia" w:ascii="宋体" w:hAnsi="宋体" w:cs="宋体"/>
        </w:rPr>
        <w:t>二、建设项目工程分析</w:t>
      </w:r>
      <w:r>
        <w:tab/>
      </w:r>
      <w:r>
        <w:fldChar w:fldCharType="begin"/>
      </w:r>
      <w:r>
        <w:instrText xml:space="preserve"> PAGEREF _Toc159582691 \h </w:instrText>
      </w:r>
      <w:r>
        <w:fldChar w:fldCharType="separate"/>
      </w:r>
      <w:r>
        <w:t>11</w:t>
      </w:r>
      <w:r>
        <w:fldChar w:fldCharType="end"/>
      </w:r>
      <w:r>
        <w:fldChar w:fldCharType="end"/>
      </w:r>
    </w:p>
    <w:p>
      <w:pPr>
        <w:pStyle w:val="33"/>
        <w:tabs>
          <w:tab w:val="right" w:leader="dot" w:pos="8289"/>
        </w:tabs>
        <w:rPr>
          <w:rFonts w:asciiTheme="minorHAnsi" w:hAnsiTheme="minorHAnsi" w:eastAsiaTheme="minorEastAsia" w:cstheme="minorBidi"/>
          <w:sz w:val="21"/>
          <w:szCs w:val="22"/>
        </w:rPr>
      </w:pPr>
      <w:r>
        <w:fldChar w:fldCharType="begin"/>
      </w:r>
      <w:r>
        <w:instrText xml:space="preserve"> HYPERLINK \l "_Toc159582692" </w:instrText>
      </w:r>
      <w:r>
        <w:fldChar w:fldCharType="separate"/>
      </w:r>
      <w:r>
        <w:rPr>
          <w:rStyle w:val="49"/>
          <w:rFonts w:hint="eastAsia" w:ascii="宋体" w:hAnsi="宋体" w:cs="宋体"/>
        </w:rPr>
        <w:t>三、区域环境质量现状、环境保护目标及评价标准</w:t>
      </w:r>
      <w:r>
        <w:tab/>
      </w:r>
      <w:r>
        <w:fldChar w:fldCharType="begin"/>
      </w:r>
      <w:r>
        <w:instrText xml:space="preserve"> PAGEREF _Toc159582692 \h </w:instrText>
      </w:r>
      <w:r>
        <w:fldChar w:fldCharType="separate"/>
      </w:r>
      <w:r>
        <w:t>19</w:t>
      </w:r>
      <w:r>
        <w:fldChar w:fldCharType="end"/>
      </w:r>
      <w:r>
        <w:fldChar w:fldCharType="end"/>
      </w:r>
    </w:p>
    <w:p>
      <w:pPr>
        <w:pStyle w:val="33"/>
        <w:tabs>
          <w:tab w:val="right" w:leader="dot" w:pos="8289"/>
        </w:tabs>
        <w:rPr>
          <w:rFonts w:asciiTheme="minorHAnsi" w:hAnsiTheme="minorHAnsi" w:eastAsiaTheme="minorEastAsia" w:cstheme="minorBidi"/>
          <w:sz w:val="21"/>
          <w:szCs w:val="22"/>
        </w:rPr>
      </w:pPr>
      <w:r>
        <w:fldChar w:fldCharType="begin"/>
      </w:r>
      <w:r>
        <w:instrText xml:space="preserve"> HYPERLINK \l "_Toc159582693" </w:instrText>
      </w:r>
      <w:r>
        <w:fldChar w:fldCharType="separate"/>
      </w:r>
      <w:r>
        <w:rPr>
          <w:rStyle w:val="49"/>
          <w:rFonts w:hint="eastAsia"/>
        </w:rPr>
        <w:t>四、主要环境影响和保护措施</w:t>
      </w:r>
      <w:r>
        <w:tab/>
      </w:r>
      <w:r>
        <w:fldChar w:fldCharType="begin"/>
      </w:r>
      <w:r>
        <w:instrText xml:space="preserve"> PAGEREF _Toc159582693 \h </w:instrText>
      </w:r>
      <w:r>
        <w:fldChar w:fldCharType="separate"/>
      </w:r>
      <w:r>
        <w:t>23</w:t>
      </w:r>
      <w:r>
        <w:fldChar w:fldCharType="end"/>
      </w:r>
      <w:r>
        <w:fldChar w:fldCharType="end"/>
      </w:r>
    </w:p>
    <w:p>
      <w:pPr>
        <w:pStyle w:val="33"/>
        <w:tabs>
          <w:tab w:val="right" w:leader="dot" w:pos="8289"/>
        </w:tabs>
        <w:rPr>
          <w:rFonts w:asciiTheme="minorHAnsi" w:hAnsiTheme="minorHAnsi" w:eastAsiaTheme="minorEastAsia" w:cstheme="minorBidi"/>
          <w:sz w:val="21"/>
          <w:szCs w:val="22"/>
        </w:rPr>
      </w:pPr>
      <w:r>
        <w:fldChar w:fldCharType="begin"/>
      </w:r>
      <w:r>
        <w:instrText xml:space="preserve"> HYPERLINK \l "_Toc159582694" </w:instrText>
      </w:r>
      <w:r>
        <w:fldChar w:fldCharType="separate"/>
      </w:r>
      <w:r>
        <w:rPr>
          <w:rStyle w:val="49"/>
          <w:rFonts w:hint="eastAsia"/>
        </w:rPr>
        <w:t>五、环境保护措施监督检查清单</w:t>
      </w:r>
      <w:r>
        <w:tab/>
      </w:r>
      <w:r>
        <w:fldChar w:fldCharType="begin"/>
      </w:r>
      <w:r>
        <w:instrText xml:space="preserve"> PAGEREF _Toc159582694 \h </w:instrText>
      </w:r>
      <w:r>
        <w:fldChar w:fldCharType="separate"/>
      </w:r>
      <w:r>
        <w:t>35</w:t>
      </w:r>
      <w:r>
        <w:fldChar w:fldCharType="end"/>
      </w:r>
      <w:r>
        <w:fldChar w:fldCharType="end"/>
      </w:r>
    </w:p>
    <w:p>
      <w:pPr>
        <w:pStyle w:val="33"/>
        <w:tabs>
          <w:tab w:val="right" w:leader="dot" w:pos="8289"/>
        </w:tabs>
        <w:rPr>
          <w:rFonts w:asciiTheme="minorHAnsi" w:hAnsiTheme="minorHAnsi" w:eastAsiaTheme="minorEastAsia" w:cstheme="minorBidi"/>
          <w:sz w:val="21"/>
          <w:szCs w:val="22"/>
        </w:rPr>
      </w:pPr>
      <w:r>
        <w:fldChar w:fldCharType="begin"/>
      </w:r>
      <w:r>
        <w:instrText xml:space="preserve"> HYPERLINK \l "_Toc159582695" </w:instrText>
      </w:r>
      <w:r>
        <w:fldChar w:fldCharType="separate"/>
      </w:r>
      <w:r>
        <w:rPr>
          <w:rStyle w:val="49"/>
          <w:rFonts w:hint="eastAsia" w:ascii="宋体" w:hAnsi="宋体" w:cs="宋体"/>
        </w:rPr>
        <w:t>六、结论</w:t>
      </w:r>
      <w:r>
        <w:tab/>
      </w:r>
      <w:r>
        <w:fldChar w:fldCharType="begin"/>
      </w:r>
      <w:r>
        <w:instrText xml:space="preserve"> PAGEREF _Toc159582695 \h </w:instrText>
      </w:r>
      <w:r>
        <w:fldChar w:fldCharType="separate"/>
      </w:r>
      <w:r>
        <w:t>37</w:t>
      </w:r>
      <w:r>
        <w:fldChar w:fldCharType="end"/>
      </w:r>
      <w:r>
        <w:fldChar w:fldCharType="end"/>
      </w:r>
    </w:p>
    <w:p>
      <w:pPr>
        <w:pStyle w:val="33"/>
        <w:tabs>
          <w:tab w:val="right" w:leader="dot" w:pos="8299"/>
        </w:tabs>
      </w:pPr>
      <w:r>
        <w:fldChar w:fldCharType="end"/>
      </w:r>
    </w:p>
    <w:p>
      <w:pPr>
        <w:pStyle w:val="33"/>
        <w:tabs>
          <w:tab w:val="right" w:leader="dot" w:pos="8299"/>
        </w:tabs>
        <w:spacing w:line="360" w:lineRule="auto"/>
      </w:pPr>
      <w:r>
        <w:fldChar w:fldCharType="begin"/>
      </w:r>
      <w:r>
        <w:instrText xml:space="preserve">TOC \o "1-1" \h \u </w:instrText>
      </w:r>
      <w:r>
        <w:fldChar w:fldCharType="separate"/>
      </w:r>
      <w:r>
        <w:fldChar w:fldCharType="begin"/>
      </w:r>
      <w:r>
        <w:instrText xml:space="preserve"> HYPERLINK \l "_Toc1966" </w:instrText>
      </w:r>
      <w:r>
        <w:fldChar w:fldCharType="separate"/>
      </w:r>
      <w:r>
        <w:rPr>
          <w:rFonts w:hint="eastAsia" w:ascii="宋体" w:hAnsi="宋体" w:cs="宋体"/>
          <w:bCs/>
          <w:kern w:val="13"/>
          <w:szCs w:val="32"/>
        </w:rPr>
        <w:t>附表</w:t>
      </w:r>
      <w:r>
        <w:rPr>
          <w:rFonts w:hint="eastAsia" w:ascii="宋体" w:hAnsi="宋体" w:cs="宋体"/>
          <w:bCs/>
          <w:kern w:val="13"/>
          <w:szCs w:val="32"/>
        </w:rPr>
        <w:fldChar w:fldCharType="end"/>
      </w:r>
    </w:p>
    <w:p>
      <w:pPr>
        <w:pStyle w:val="33"/>
        <w:tabs>
          <w:tab w:val="right" w:leader="dot" w:pos="8299"/>
        </w:tabs>
        <w:spacing w:line="360" w:lineRule="auto"/>
      </w:pPr>
      <w:r>
        <w:fldChar w:fldCharType="begin"/>
      </w:r>
      <w:r>
        <w:instrText xml:space="preserve"> HYPERLINK \l "_Toc30222" </w:instrText>
      </w:r>
      <w:r>
        <w:fldChar w:fldCharType="separate"/>
      </w:r>
      <w:r>
        <w:rPr>
          <w:rFonts w:hint="eastAsia" w:ascii="宋体" w:hAnsi="宋体" w:cs="宋体"/>
          <w:bCs/>
          <w:kern w:val="13"/>
          <w:szCs w:val="32"/>
        </w:rPr>
        <w:t>建设项目污染物排放量汇总表</w:t>
      </w:r>
      <w:r>
        <w:rPr>
          <w:rFonts w:hint="eastAsia" w:ascii="宋体" w:hAnsi="宋体" w:cs="宋体"/>
          <w:bCs/>
          <w:kern w:val="13"/>
          <w:szCs w:val="32"/>
        </w:rPr>
        <w:fldChar w:fldCharType="end"/>
      </w:r>
    </w:p>
    <w:p>
      <w:pPr>
        <w:pStyle w:val="33"/>
        <w:tabs>
          <w:tab w:val="right" w:leader="dot" w:pos="8299"/>
        </w:tabs>
        <w:spacing w:line="360" w:lineRule="auto"/>
      </w:pPr>
      <w:r>
        <w:fldChar w:fldCharType="begin"/>
      </w:r>
      <w:r>
        <w:instrText xml:space="preserve"> HYPERLINK \l "_Toc19328" </w:instrText>
      </w:r>
      <w:r>
        <w:fldChar w:fldCharType="separate"/>
      </w:r>
      <w:r>
        <w:rPr>
          <w:rFonts w:hint="eastAsia" w:ascii="宋体" w:hAnsi="宋体" w:cs="宋体"/>
          <w:bCs/>
          <w:kern w:val="13"/>
          <w:szCs w:val="32"/>
        </w:rPr>
        <w:t>附件</w:t>
      </w:r>
      <w:r>
        <w:rPr>
          <w:rFonts w:hint="eastAsia" w:ascii="宋体" w:hAnsi="宋体" w:cs="宋体"/>
          <w:bCs/>
          <w:kern w:val="13"/>
          <w:szCs w:val="32"/>
        </w:rPr>
        <w:fldChar w:fldCharType="end"/>
      </w:r>
    </w:p>
    <w:p>
      <w:pPr>
        <w:pStyle w:val="33"/>
        <w:tabs>
          <w:tab w:val="right" w:leader="dot" w:pos="8299"/>
        </w:tabs>
        <w:spacing w:line="360" w:lineRule="auto"/>
        <w:rPr>
          <w:bCs/>
          <w:szCs w:val="32"/>
        </w:rPr>
      </w:pPr>
      <w:r>
        <w:fldChar w:fldCharType="begin"/>
      </w:r>
      <w:r>
        <w:instrText xml:space="preserve"> HYPERLINK \l "_Toc21802" </w:instrText>
      </w:r>
      <w:r>
        <w:fldChar w:fldCharType="separate"/>
      </w:r>
      <w:r>
        <w:rPr>
          <w:rFonts w:hint="eastAsia"/>
          <w:bCs/>
          <w:szCs w:val="32"/>
        </w:rPr>
        <w:t>附件1环评委托书</w:t>
      </w:r>
      <w:r>
        <w:rPr>
          <w:rFonts w:hint="eastAsia"/>
          <w:bCs/>
          <w:szCs w:val="32"/>
        </w:rPr>
        <w:fldChar w:fldCharType="end"/>
      </w:r>
    </w:p>
    <w:p>
      <w:pPr>
        <w:spacing w:line="360" w:lineRule="auto"/>
      </w:pPr>
      <w:r>
        <w:rPr>
          <w:rFonts w:hint="eastAsia"/>
          <w:bCs/>
          <w:szCs w:val="32"/>
        </w:rPr>
        <w:t>附近2营业执照</w:t>
      </w:r>
    </w:p>
    <w:p>
      <w:pPr>
        <w:pStyle w:val="33"/>
        <w:tabs>
          <w:tab w:val="right" w:leader="dot" w:pos="8299"/>
        </w:tabs>
        <w:spacing w:line="360" w:lineRule="auto"/>
        <w:rPr>
          <w:bCs/>
          <w:szCs w:val="32"/>
        </w:rPr>
      </w:pPr>
      <w:r>
        <w:rPr>
          <w:rFonts w:hint="eastAsia"/>
          <w:bCs/>
          <w:szCs w:val="32"/>
        </w:rPr>
        <w:t>附件3项目行政处罚结案审批表及罚款收据</w:t>
      </w:r>
    </w:p>
    <w:p>
      <w:pPr>
        <w:pStyle w:val="33"/>
        <w:tabs>
          <w:tab w:val="right" w:leader="dot" w:pos="8299"/>
        </w:tabs>
        <w:spacing w:line="360" w:lineRule="auto"/>
      </w:pPr>
      <w:r>
        <w:rPr>
          <w:rFonts w:hint="eastAsia"/>
          <w:bCs/>
          <w:szCs w:val="32"/>
        </w:rPr>
        <w:t>附件4项目备案</w:t>
      </w:r>
    </w:p>
    <w:p>
      <w:pPr>
        <w:pStyle w:val="33"/>
        <w:tabs>
          <w:tab w:val="right" w:leader="dot" w:pos="8299"/>
        </w:tabs>
        <w:spacing w:line="360" w:lineRule="auto"/>
        <w:rPr>
          <w:bCs/>
          <w:szCs w:val="32"/>
        </w:rPr>
      </w:pPr>
      <w:r>
        <w:rPr>
          <w:rFonts w:hint="eastAsia"/>
          <w:bCs/>
          <w:szCs w:val="32"/>
        </w:rPr>
        <w:t>附件5使用林地审批同意书</w:t>
      </w:r>
    </w:p>
    <w:p>
      <w:pPr>
        <w:pStyle w:val="33"/>
        <w:tabs>
          <w:tab w:val="right" w:leader="dot" w:pos="8299"/>
        </w:tabs>
        <w:spacing w:line="360" w:lineRule="auto"/>
      </w:pPr>
      <w:r>
        <w:rPr>
          <w:rFonts w:hint="eastAsia"/>
          <w:bCs/>
          <w:szCs w:val="32"/>
        </w:rPr>
        <w:t>附件6项目符合规划说明</w:t>
      </w:r>
    </w:p>
    <w:p>
      <w:pPr>
        <w:pStyle w:val="33"/>
        <w:tabs>
          <w:tab w:val="right" w:leader="dot" w:pos="8299"/>
        </w:tabs>
        <w:spacing w:line="360" w:lineRule="auto"/>
      </w:pPr>
      <w:r>
        <w:rPr>
          <w:rFonts w:hint="eastAsia"/>
          <w:bCs/>
          <w:szCs w:val="32"/>
        </w:rPr>
        <w:t>附件7项目租赁协议</w:t>
      </w:r>
    </w:p>
    <w:p>
      <w:pPr>
        <w:pStyle w:val="33"/>
        <w:tabs>
          <w:tab w:val="right" w:leader="dot" w:pos="8299"/>
        </w:tabs>
        <w:spacing w:line="360" w:lineRule="auto"/>
        <w:rPr>
          <w:rFonts w:hint="eastAsia"/>
          <w:bCs/>
          <w:szCs w:val="32"/>
        </w:rPr>
      </w:pPr>
      <w:r>
        <w:rPr>
          <w:rFonts w:hint="eastAsia"/>
          <w:bCs/>
          <w:szCs w:val="32"/>
        </w:rPr>
        <w:t>附件8项目灌溉协议</w:t>
      </w:r>
    </w:p>
    <w:p>
      <w:pPr>
        <w:pStyle w:val="33"/>
        <w:tabs>
          <w:tab w:val="right" w:leader="dot" w:pos="8299"/>
        </w:tabs>
        <w:spacing w:line="360" w:lineRule="auto"/>
        <w:rPr>
          <w:rFonts w:hint="default" w:eastAsia="宋体"/>
          <w:lang w:val="en-US" w:eastAsia="zh-CN"/>
        </w:rPr>
      </w:pPr>
      <w:r>
        <w:rPr>
          <w:rFonts w:hint="eastAsia"/>
          <w:bCs/>
          <w:szCs w:val="32"/>
        </w:rPr>
        <w:t>附件9</w:t>
      </w:r>
      <w:r>
        <w:rPr>
          <w:rFonts w:hint="eastAsia"/>
          <w:bCs/>
          <w:szCs w:val="32"/>
          <w:lang w:val="en-US" w:eastAsia="zh-CN"/>
        </w:rPr>
        <w:t>专家评审意见</w:t>
      </w:r>
    </w:p>
    <w:p>
      <w:pPr>
        <w:pStyle w:val="33"/>
        <w:tabs>
          <w:tab w:val="right" w:leader="dot" w:pos="8299"/>
        </w:tabs>
        <w:spacing w:line="360" w:lineRule="auto"/>
      </w:pPr>
      <w:r>
        <w:rPr>
          <w:rFonts w:hint="eastAsia"/>
          <w:bCs/>
          <w:szCs w:val="32"/>
        </w:rPr>
        <w:t>附件</w:t>
      </w:r>
      <w:r>
        <w:rPr>
          <w:rFonts w:hint="eastAsia"/>
          <w:bCs/>
          <w:szCs w:val="32"/>
          <w:lang w:val="en-US" w:eastAsia="zh-CN"/>
        </w:rPr>
        <w:t>10</w:t>
      </w:r>
      <w:r>
        <w:rPr>
          <w:rFonts w:hint="eastAsia"/>
          <w:bCs/>
          <w:szCs w:val="32"/>
        </w:rPr>
        <w:t>项目公示</w:t>
      </w:r>
    </w:p>
    <w:p>
      <w:pPr>
        <w:pStyle w:val="33"/>
        <w:tabs>
          <w:tab w:val="right" w:leader="dot" w:pos="8299"/>
        </w:tabs>
        <w:spacing w:line="360" w:lineRule="auto"/>
      </w:pPr>
      <w:r>
        <w:fldChar w:fldCharType="begin"/>
      </w:r>
      <w:r>
        <w:instrText xml:space="preserve"> HYPERLINK \l "_Toc11519" </w:instrText>
      </w:r>
      <w:r>
        <w:fldChar w:fldCharType="separate"/>
      </w:r>
      <w:r>
        <w:rPr>
          <w:rFonts w:hint="eastAsia" w:ascii="宋体" w:hAnsi="宋体" w:cs="宋体"/>
          <w:bCs/>
          <w:kern w:val="13"/>
          <w:szCs w:val="32"/>
        </w:rPr>
        <w:t>附图</w:t>
      </w:r>
      <w:r>
        <w:rPr>
          <w:rFonts w:hint="eastAsia" w:ascii="宋体" w:hAnsi="宋体" w:cs="宋体"/>
          <w:bCs/>
          <w:kern w:val="13"/>
          <w:szCs w:val="32"/>
        </w:rPr>
        <w:fldChar w:fldCharType="end"/>
      </w:r>
    </w:p>
    <w:p>
      <w:pPr>
        <w:pStyle w:val="33"/>
        <w:tabs>
          <w:tab w:val="right" w:leader="dot" w:pos="8299"/>
        </w:tabs>
        <w:spacing w:line="360" w:lineRule="auto"/>
      </w:pPr>
      <w:r>
        <w:fldChar w:fldCharType="begin"/>
      </w:r>
      <w:r>
        <w:instrText xml:space="preserve"> HYPERLINK \l "_Toc15817" </w:instrText>
      </w:r>
      <w:r>
        <w:fldChar w:fldCharType="separate"/>
      </w:r>
      <w:r>
        <w:rPr>
          <w:rFonts w:hint="eastAsia"/>
          <w:bCs/>
          <w:szCs w:val="32"/>
        </w:rPr>
        <w:t>附图1项目地理位置图</w:t>
      </w:r>
      <w:r>
        <w:rPr>
          <w:rFonts w:hint="eastAsia"/>
          <w:bCs/>
          <w:szCs w:val="32"/>
        </w:rPr>
        <w:fldChar w:fldCharType="end"/>
      </w:r>
    </w:p>
    <w:p>
      <w:pPr>
        <w:snapToGrid w:val="0"/>
        <w:spacing w:line="360" w:lineRule="auto"/>
        <w:jc w:val="both"/>
        <w:rPr>
          <w:rFonts w:hint="eastAsia"/>
          <w:bCs/>
          <w:szCs w:val="32"/>
        </w:rPr>
      </w:pPr>
      <w:r>
        <w:fldChar w:fldCharType="begin"/>
      </w:r>
      <w:r>
        <w:instrText xml:space="preserve"> HYPERLINK \l "_Toc1231" </w:instrText>
      </w:r>
      <w:r>
        <w:fldChar w:fldCharType="separate"/>
      </w:r>
      <w:r>
        <w:rPr>
          <w:rFonts w:hint="eastAsia"/>
          <w:bCs/>
          <w:szCs w:val="32"/>
        </w:rPr>
        <w:t>附图2项目平面布置图</w:t>
      </w:r>
      <w:r>
        <w:rPr>
          <w:rFonts w:hint="eastAsia"/>
          <w:bCs/>
          <w:szCs w:val="32"/>
        </w:rPr>
        <w:fldChar w:fldCharType="end"/>
      </w:r>
    </w:p>
    <w:p>
      <w:pPr>
        <w:snapToGrid w:val="0"/>
        <w:spacing w:line="360" w:lineRule="auto"/>
        <w:jc w:val="both"/>
      </w:pPr>
      <w:r>
        <w:rPr>
          <w:rFonts w:hint="eastAsia"/>
        </w:rPr>
        <w:t>附图</w:t>
      </w:r>
      <w:r>
        <w:rPr>
          <w:rFonts w:hint="eastAsia"/>
          <w:lang w:val="en-US" w:eastAsia="zh-CN"/>
        </w:rPr>
        <w:t>3</w:t>
      </w:r>
      <w:r>
        <w:rPr>
          <w:rFonts w:hint="eastAsia"/>
        </w:rPr>
        <w:t>项目</w:t>
      </w:r>
      <w:r>
        <w:rPr>
          <w:rFonts w:hint="eastAsia"/>
          <w:lang w:val="en-US" w:eastAsia="zh-CN"/>
        </w:rPr>
        <w:t>排水路径</w:t>
      </w:r>
      <w:r>
        <w:rPr>
          <w:rFonts w:hint="eastAsia"/>
        </w:rPr>
        <w:t>图</w:t>
      </w:r>
    </w:p>
    <w:p>
      <w:pPr>
        <w:pStyle w:val="33"/>
        <w:tabs>
          <w:tab w:val="right" w:leader="dot" w:pos="8299"/>
        </w:tabs>
        <w:spacing w:line="360" w:lineRule="auto"/>
      </w:pPr>
      <w:r>
        <w:fldChar w:fldCharType="begin"/>
      </w:r>
      <w:r>
        <w:instrText xml:space="preserve"> HYPERLINK \l "_Toc78" </w:instrText>
      </w:r>
      <w:r>
        <w:fldChar w:fldCharType="separate"/>
      </w:r>
      <w:r>
        <w:rPr>
          <w:rFonts w:hint="eastAsia"/>
          <w:bCs/>
          <w:szCs w:val="32"/>
        </w:rPr>
        <w:t>附图</w:t>
      </w:r>
      <w:r>
        <w:rPr>
          <w:rFonts w:hint="eastAsia"/>
          <w:bCs/>
          <w:szCs w:val="32"/>
          <w:lang w:val="en-US" w:eastAsia="zh-CN"/>
        </w:rPr>
        <w:t>4</w:t>
      </w:r>
      <w:r>
        <w:rPr>
          <w:rFonts w:hint="eastAsia"/>
          <w:bCs/>
          <w:szCs w:val="32"/>
        </w:rPr>
        <w:t>项目及周边环境现状图</w:t>
      </w:r>
      <w:r>
        <w:rPr>
          <w:rFonts w:hint="eastAsia"/>
          <w:bCs/>
          <w:szCs w:val="32"/>
        </w:rPr>
        <w:fldChar w:fldCharType="end"/>
      </w:r>
    </w:p>
    <w:p>
      <w:pPr>
        <w:pStyle w:val="33"/>
        <w:tabs>
          <w:tab w:val="right" w:leader="dot" w:pos="8299"/>
        </w:tabs>
        <w:spacing w:line="360" w:lineRule="auto"/>
      </w:pPr>
      <w:r>
        <w:fldChar w:fldCharType="begin"/>
      </w:r>
      <w:r>
        <w:instrText xml:space="preserve"> HYPERLINK \l "_Toc7565" </w:instrText>
      </w:r>
      <w:r>
        <w:fldChar w:fldCharType="separate"/>
      </w:r>
      <w:r>
        <w:rPr>
          <w:rFonts w:hint="eastAsia"/>
          <w:bCs/>
          <w:szCs w:val="32"/>
        </w:rPr>
        <w:t>附图</w:t>
      </w:r>
      <w:r>
        <w:rPr>
          <w:rFonts w:hint="eastAsia"/>
          <w:bCs/>
          <w:szCs w:val="32"/>
          <w:lang w:val="en-US" w:eastAsia="zh-CN"/>
        </w:rPr>
        <w:t>5</w:t>
      </w:r>
      <w:r>
        <w:rPr>
          <w:rFonts w:hint="eastAsia"/>
          <w:bCs/>
          <w:szCs w:val="32"/>
        </w:rPr>
        <w:t>新田县用地规划图</w:t>
      </w:r>
      <w:r>
        <w:rPr>
          <w:rFonts w:hint="eastAsia"/>
          <w:bCs/>
          <w:szCs w:val="32"/>
        </w:rPr>
        <w:fldChar w:fldCharType="end"/>
      </w:r>
    </w:p>
    <w:p>
      <w:pPr>
        <w:spacing w:line="360" w:lineRule="auto"/>
        <w:rPr>
          <w:rFonts w:hint="default" w:eastAsia="宋体"/>
          <w:lang w:val="en-US" w:eastAsia="zh-CN"/>
        </w:rPr>
      </w:pPr>
      <w:r>
        <w:rPr>
          <w:rFonts w:hint="eastAsia"/>
        </w:rPr>
        <w:t>附图</w:t>
      </w:r>
      <w:r>
        <w:rPr>
          <w:rFonts w:hint="eastAsia"/>
          <w:lang w:val="en-US" w:eastAsia="zh-CN"/>
        </w:rPr>
        <w:t>6新田县水系图</w:t>
      </w:r>
    </w:p>
    <w:p>
      <w:pPr>
        <w:snapToGrid w:val="0"/>
        <w:spacing w:line="360" w:lineRule="auto"/>
        <w:jc w:val="both"/>
        <w:rPr>
          <w:rFonts w:hint="eastAsia"/>
        </w:rPr>
      </w:pPr>
      <w:r>
        <w:fldChar w:fldCharType="end"/>
      </w:r>
      <w:bookmarkStart w:id="3" w:name="_Toc68011910"/>
      <w:bookmarkStart w:id="4" w:name="_Toc21636"/>
      <w:bookmarkStart w:id="5" w:name="_Toc159582690"/>
      <w:r>
        <w:rPr>
          <w:rFonts w:hint="eastAsia"/>
        </w:rPr>
        <w:t>附图</w:t>
      </w:r>
      <w:r>
        <w:rPr>
          <w:rFonts w:hint="eastAsia"/>
          <w:lang w:val="en-US" w:eastAsia="zh-CN"/>
        </w:rPr>
        <w:t>7</w:t>
      </w:r>
      <w:r>
        <w:rPr>
          <w:rFonts w:hint="eastAsia"/>
        </w:rPr>
        <w:t>项目现场图</w:t>
      </w:r>
    </w:p>
    <w:p>
      <w:pPr>
        <w:pStyle w:val="2"/>
        <w:adjustRightInd w:val="0"/>
        <w:jc w:val="center"/>
        <w:rPr>
          <w:rFonts w:hint="eastAsia" w:ascii="宋体" w:hAnsi="宋体" w:cs="宋体"/>
          <w:bCs w:val="0"/>
          <w:sz w:val="32"/>
          <w:szCs w:val="32"/>
        </w:rPr>
        <w:sectPr>
          <w:footerReference r:id="rId11" w:type="default"/>
          <w:pgSz w:w="11905" w:h="16838"/>
          <w:pgMar w:top="1440" w:right="1803" w:bottom="1440" w:left="1803" w:header="851" w:footer="992" w:gutter="0"/>
          <w:cols w:space="720" w:num="1"/>
          <w:docGrid w:type="lines" w:linePitch="312" w:charSpace="0"/>
        </w:sectPr>
      </w:pPr>
    </w:p>
    <w:p>
      <w:pPr>
        <w:pStyle w:val="2"/>
        <w:adjustRightInd w:val="0"/>
        <w:jc w:val="center"/>
        <w:rPr>
          <w:rFonts w:ascii="宋体" w:hAnsi="宋体" w:cs="宋体"/>
          <w:bCs w:val="0"/>
          <w:sz w:val="32"/>
          <w:szCs w:val="32"/>
        </w:rPr>
      </w:pPr>
      <w:r>
        <w:rPr>
          <w:rFonts w:hint="eastAsia" w:ascii="宋体" w:hAnsi="宋体" w:cs="宋体"/>
          <w:bCs w:val="0"/>
          <w:sz w:val="32"/>
          <w:szCs w:val="32"/>
        </w:rPr>
        <w:t>一、建设项目基本情况</w:t>
      </w:r>
      <w:bookmarkEnd w:id="3"/>
      <w:bookmarkEnd w:id="4"/>
      <w:bookmarkEnd w:id="5"/>
    </w:p>
    <w:tbl>
      <w:tblPr>
        <w:tblStyle w:val="42"/>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74"/>
        <w:gridCol w:w="2245"/>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建设项目名称</w:t>
            </w:r>
          </w:p>
        </w:tc>
        <w:tc>
          <w:tcPr>
            <w:tcW w:w="7096" w:type="dxa"/>
            <w:gridSpan w:val="3"/>
            <w:vAlign w:val="center"/>
          </w:tcPr>
          <w:p>
            <w:pPr>
              <w:adjustRightInd w:val="0"/>
              <w:snapToGrid w:val="0"/>
              <w:spacing w:line="240" w:lineRule="auto"/>
              <w:jc w:val="center"/>
              <w:rPr>
                <w:rFonts w:cs="宋体"/>
                <w:szCs w:val="21"/>
              </w:rPr>
            </w:pPr>
            <w:r>
              <w:rPr>
                <w:rFonts w:hint="eastAsia" w:cs="宋体"/>
                <w:szCs w:val="21"/>
              </w:rPr>
              <w:t>新田县祥忠种养专业合作社牛蛙养殖项目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项目代码</w:t>
            </w:r>
          </w:p>
        </w:tc>
        <w:tc>
          <w:tcPr>
            <w:tcW w:w="7096" w:type="dxa"/>
            <w:gridSpan w:val="3"/>
            <w:vAlign w:val="center"/>
          </w:tcPr>
          <w:p>
            <w:pPr>
              <w:adjustRightInd w:val="0"/>
              <w:snapToGrid w:val="0"/>
              <w:spacing w:line="240" w:lineRule="auto"/>
              <w:jc w:val="center"/>
              <w:rPr>
                <w:rFonts w:cs="宋体"/>
                <w:szCs w:val="21"/>
              </w:rPr>
            </w:pPr>
            <w:r>
              <w:rPr>
                <w:rFonts w:hint="eastAsia"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建设单位联系人</w:t>
            </w:r>
          </w:p>
        </w:tc>
        <w:tc>
          <w:tcPr>
            <w:tcW w:w="2245" w:type="dxa"/>
            <w:vAlign w:val="center"/>
          </w:tcPr>
          <w:p>
            <w:pPr>
              <w:adjustRightInd w:val="0"/>
              <w:snapToGrid w:val="0"/>
              <w:spacing w:line="240" w:lineRule="auto"/>
              <w:jc w:val="center"/>
              <w:rPr>
                <w:rFonts w:cs="宋体"/>
                <w:szCs w:val="21"/>
              </w:rPr>
            </w:pPr>
            <w:r>
              <w:rPr>
                <w:rFonts w:hint="eastAsia" w:cs="宋体"/>
                <w:szCs w:val="21"/>
              </w:rPr>
              <w:t>胡祥忠</w:t>
            </w:r>
          </w:p>
        </w:tc>
        <w:tc>
          <w:tcPr>
            <w:tcW w:w="2212" w:type="dxa"/>
            <w:vAlign w:val="center"/>
          </w:tcPr>
          <w:p>
            <w:pPr>
              <w:adjustRightInd w:val="0"/>
              <w:snapToGrid w:val="0"/>
              <w:spacing w:line="240" w:lineRule="auto"/>
              <w:jc w:val="center"/>
              <w:rPr>
                <w:rFonts w:cs="宋体"/>
                <w:szCs w:val="21"/>
              </w:rPr>
            </w:pPr>
            <w:r>
              <w:rPr>
                <w:rFonts w:hint="eastAsia" w:cs="宋体"/>
                <w:szCs w:val="21"/>
              </w:rPr>
              <w:t>联系方式</w:t>
            </w:r>
          </w:p>
        </w:tc>
        <w:tc>
          <w:tcPr>
            <w:tcW w:w="2639" w:type="dxa"/>
            <w:vAlign w:val="center"/>
          </w:tcPr>
          <w:p>
            <w:pPr>
              <w:adjustRightInd w:val="0"/>
              <w:snapToGrid w:val="0"/>
              <w:spacing w:line="240" w:lineRule="auto"/>
              <w:jc w:val="center"/>
              <w:rPr>
                <w:rFonts w:cs="宋体"/>
                <w:szCs w:val="21"/>
              </w:rPr>
            </w:pPr>
            <w:r>
              <w:rPr>
                <w:rFonts w:hint="eastAsia" w:cs="宋体"/>
                <w:bCs/>
                <w:highlight w:val="none"/>
              </w:rPr>
              <w:t>13959634253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建设地点</w:t>
            </w:r>
          </w:p>
        </w:tc>
        <w:tc>
          <w:tcPr>
            <w:tcW w:w="7096" w:type="dxa"/>
            <w:gridSpan w:val="3"/>
            <w:vAlign w:val="center"/>
          </w:tcPr>
          <w:p>
            <w:pPr>
              <w:adjustRightInd w:val="0"/>
              <w:snapToGrid w:val="0"/>
              <w:spacing w:line="240" w:lineRule="auto"/>
              <w:jc w:val="center"/>
              <w:rPr>
                <w:rFonts w:cs="宋体"/>
                <w:szCs w:val="21"/>
              </w:rPr>
            </w:pPr>
            <w:r>
              <w:rPr>
                <w:rFonts w:hint="eastAsia" w:cs="宋体"/>
                <w:szCs w:val="21"/>
              </w:rPr>
              <w:t>永州市新田县大坪塘镇龙溪村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地理坐标</w:t>
            </w:r>
          </w:p>
        </w:tc>
        <w:tc>
          <w:tcPr>
            <w:tcW w:w="7096" w:type="dxa"/>
            <w:gridSpan w:val="3"/>
            <w:vAlign w:val="center"/>
          </w:tcPr>
          <w:p>
            <w:pPr>
              <w:spacing w:line="240" w:lineRule="auto"/>
              <w:jc w:val="center"/>
              <w:rPr>
                <w:rFonts w:cs="宋体"/>
                <w:szCs w:val="21"/>
              </w:rPr>
            </w:pPr>
            <w:r>
              <w:rPr>
                <w:rFonts w:hint="eastAsia" w:cs="宋体"/>
                <w:szCs w:val="21"/>
              </w:rPr>
              <w:t>（</w:t>
            </w:r>
            <w:r>
              <w:rPr>
                <w:rFonts w:cs="宋体"/>
                <w:szCs w:val="21"/>
                <w:u w:val="single"/>
              </w:rPr>
              <w:t xml:space="preserve"> </w:t>
            </w:r>
            <w:r>
              <w:rPr>
                <w:rFonts w:hint="eastAsia" w:cs="宋体"/>
                <w:szCs w:val="21"/>
                <w:u w:val="single"/>
              </w:rPr>
              <w:t>11</w:t>
            </w:r>
            <w:r>
              <w:rPr>
                <w:rFonts w:hint="eastAsia" w:cs="宋体"/>
                <w:szCs w:val="21"/>
                <w:u w:val="single"/>
                <w:lang w:val="en-US" w:eastAsia="zh-CN"/>
              </w:rPr>
              <w:t>2</w:t>
            </w:r>
            <w:r>
              <w:rPr>
                <w:rFonts w:hint="eastAsia" w:cs="宋体"/>
                <w:szCs w:val="21"/>
              </w:rPr>
              <w:t>度</w:t>
            </w:r>
            <w:r>
              <w:rPr>
                <w:rFonts w:hint="eastAsia" w:cs="宋体"/>
                <w:szCs w:val="21"/>
                <w:u w:val="single"/>
                <w:lang w:val="en-US" w:eastAsia="zh-CN"/>
              </w:rPr>
              <w:t>20</w:t>
            </w:r>
            <w:r>
              <w:rPr>
                <w:rFonts w:hint="eastAsia" w:cs="宋体"/>
                <w:szCs w:val="21"/>
              </w:rPr>
              <w:t>分</w:t>
            </w:r>
            <w:r>
              <w:rPr>
                <w:rFonts w:cs="宋体"/>
                <w:szCs w:val="21"/>
                <w:u w:val="single"/>
              </w:rPr>
              <w:t xml:space="preserve"> </w:t>
            </w:r>
            <w:r>
              <w:rPr>
                <w:rFonts w:hint="eastAsia" w:cs="宋体"/>
                <w:szCs w:val="21"/>
                <w:u w:val="single"/>
                <w:lang w:val="en-US" w:eastAsia="zh-CN"/>
              </w:rPr>
              <w:t>43.719</w:t>
            </w:r>
            <w:r>
              <w:rPr>
                <w:rFonts w:cs="宋体"/>
                <w:szCs w:val="21"/>
                <w:u w:val="single"/>
              </w:rPr>
              <w:t xml:space="preserve"> </w:t>
            </w:r>
            <w:r>
              <w:rPr>
                <w:rFonts w:hint="eastAsia" w:cs="宋体"/>
                <w:szCs w:val="21"/>
              </w:rPr>
              <w:t>秒，</w:t>
            </w:r>
            <w:r>
              <w:rPr>
                <w:rFonts w:cs="宋体"/>
                <w:szCs w:val="21"/>
                <w:u w:val="single"/>
              </w:rPr>
              <w:t xml:space="preserve"> </w:t>
            </w:r>
            <w:r>
              <w:rPr>
                <w:rFonts w:hint="eastAsia" w:cs="宋体"/>
                <w:szCs w:val="21"/>
                <w:u w:val="single"/>
              </w:rPr>
              <w:t>25</w:t>
            </w:r>
            <w:r>
              <w:rPr>
                <w:rFonts w:cs="宋体"/>
                <w:szCs w:val="21"/>
                <w:u w:val="single"/>
              </w:rPr>
              <w:t xml:space="preserve"> </w:t>
            </w:r>
            <w:r>
              <w:rPr>
                <w:rFonts w:hint="eastAsia" w:cs="宋体"/>
                <w:szCs w:val="21"/>
              </w:rPr>
              <w:t>度</w:t>
            </w:r>
            <w:r>
              <w:rPr>
                <w:rFonts w:cs="宋体"/>
                <w:szCs w:val="21"/>
                <w:u w:val="single"/>
              </w:rPr>
              <w:t xml:space="preserve"> </w:t>
            </w:r>
            <w:r>
              <w:rPr>
                <w:rFonts w:hint="eastAsia" w:cs="宋体"/>
                <w:szCs w:val="21"/>
                <w:u w:val="single"/>
                <w:lang w:val="en-US" w:eastAsia="zh-CN"/>
              </w:rPr>
              <w:t>50</w:t>
            </w:r>
            <w:r>
              <w:rPr>
                <w:rFonts w:cs="宋体"/>
                <w:szCs w:val="21"/>
                <w:u w:val="single"/>
              </w:rPr>
              <w:t xml:space="preserve"> </w:t>
            </w:r>
            <w:r>
              <w:rPr>
                <w:rFonts w:hint="eastAsia" w:cs="宋体"/>
                <w:szCs w:val="21"/>
              </w:rPr>
              <w:t>分</w:t>
            </w:r>
            <w:r>
              <w:rPr>
                <w:rFonts w:cs="宋体"/>
                <w:szCs w:val="21"/>
                <w:u w:val="single"/>
              </w:rPr>
              <w:t xml:space="preserve"> </w:t>
            </w:r>
            <w:r>
              <w:rPr>
                <w:rFonts w:hint="eastAsia" w:cs="宋体"/>
                <w:szCs w:val="21"/>
                <w:u w:val="single"/>
                <w:lang w:val="en-US" w:eastAsia="zh-CN"/>
              </w:rPr>
              <w:t>19.012</w:t>
            </w:r>
            <w:r>
              <w:rPr>
                <w:rFonts w:cs="宋体"/>
                <w:szCs w:val="21"/>
                <w:u w:val="single"/>
              </w:rPr>
              <w:t xml:space="preserve"> </w:t>
            </w:r>
            <w:r>
              <w:rPr>
                <w:rFonts w:hint="eastAsia" w:cs="宋体"/>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国民经济</w:t>
            </w:r>
          </w:p>
          <w:p>
            <w:pPr>
              <w:adjustRightInd w:val="0"/>
              <w:snapToGrid w:val="0"/>
              <w:spacing w:line="240" w:lineRule="auto"/>
              <w:jc w:val="center"/>
              <w:rPr>
                <w:rFonts w:cs="宋体"/>
                <w:szCs w:val="21"/>
              </w:rPr>
            </w:pPr>
            <w:r>
              <w:rPr>
                <w:rFonts w:hint="eastAsia" w:cs="宋体"/>
                <w:szCs w:val="21"/>
              </w:rPr>
              <w:t>行业类别</w:t>
            </w:r>
          </w:p>
        </w:tc>
        <w:tc>
          <w:tcPr>
            <w:tcW w:w="2245" w:type="dxa"/>
            <w:vAlign w:val="center"/>
          </w:tcPr>
          <w:p>
            <w:pPr>
              <w:adjustRightInd w:val="0"/>
              <w:snapToGrid w:val="0"/>
              <w:spacing w:line="240" w:lineRule="auto"/>
              <w:jc w:val="center"/>
              <w:rPr>
                <w:rFonts w:cs="宋体"/>
                <w:szCs w:val="21"/>
              </w:rPr>
            </w:pPr>
            <w:r>
              <w:rPr>
                <w:rFonts w:hint="eastAsia" w:cs="宋体"/>
                <w:szCs w:val="21"/>
              </w:rPr>
              <w:t>A0412 内陆养殖</w:t>
            </w:r>
          </w:p>
        </w:tc>
        <w:tc>
          <w:tcPr>
            <w:tcW w:w="2212" w:type="dxa"/>
            <w:vAlign w:val="center"/>
          </w:tcPr>
          <w:p>
            <w:pPr>
              <w:adjustRightInd w:val="0"/>
              <w:snapToGrid w:val="0"/>
              <w:spacing w:line="240" w:lineRule="auto"/>
              <w:jc w:val="center"/>
              <w:rPr>
                <w:rFonts w:cs="宋体"/>
                <w:szCs w:val="21"/>
              </w:rPr>
            </w:pPr>
            <w:bookmarkStart w:id="6" w:name="_Hlk49843745"/>
            <w:r>
              <w:rPr>
                <w:rFonts w:hint="eastAsia" w:cs="宋体"/>
                <w:szCs w:val="21"/>
              </w:rPr>
              <w:t>建设项目</w:t>
            </w:r>
          </w:p>
          <w:p>
            <w:pPr>
              <w:adjustRightInd w:val="0"/>
              <w:snapToGrid w:val="0"/>
              <w:spacing w:line="240" w:lineRule="auto"/>
              <w:jc w:val="center"/>
              <w:rPr>
                <w:rFonts w:cs="宋体"/>
                <w:szCs w:val="21"/>
              </w:rPr>
            </w:pPr>
            <w:r>
              <w:rPr>
                <w:rFonts w:hint="eastAsia" w:cs="宋体"/>
                <w:szCs w:val="21"/>
              </w:rPr>
              <w:t>行业类别</w:t>
            </w:r>
            <w:bookmarkEnd w:id="6"/>
          </w:p>
        </w:tc>
        <w:tc>
          <w:tcPr>
            <w:tcW w:w="2639" w:type="dxa"/>
            <w:vAlign w:val="center"/>
          </w:tcPr>
          <w:p>
            <w:pPr>
              <w:adjustRightInd w:val="0"/>
              <w:snapToGrid w:val="0"/>
              <w:spacing w:line="240" w:lineRule="auto"/>
              <w:rPr>
                <w:rFonts w:cs="宋体"/>
                <w:szCs w:val="21"/>
              </w:rPr>
            </w:pPr>
            <w:r>
              <w:rPr>
                <w:rFonts w:hint="eastAsia" w:cs="宋体"/>
                <w:szCs w:val="21"/>
              </w:rPr>
              <w:t>三、渔业 0412 内陆养殖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建设性质</w:t>
            </w:r>
          </w:p>
        </w:tc>
        <w:tc>
          <w:tcPr>
            <w:tcW w:w="2245" w:type="dxa"/>
            <w:vAlign w:val="center"/>
          </w:tcPr>
          <w:p>
            <w:pPr>
              <w:pStyle w:val="97"/>
              <w:spacing w:after="0" w:line="240" w:lineRule="auto"/>
              <w:ind w:left="0" w:leftChars="0"/>
              <w:jc w:val="both"/>
              <w:rPr>
                <w:sz w:val="24"/>
                <w:szCs w:val="24"/>
              </w:rPr>
            </w:pPr>
            <w:r>
              <w:rPr>
                <w:rFonts w:hint="eastAsia"/>
                <w:sz w:val="24"/>
                <w:szCs w:val="24"/>
              </w:rPr>
              <w:t>☑</w:t>
            </w:r>
            <w:r>
              <w:rPr>
                <w:rFonts w:ascii="宋体" w:hAnsi="宋体"/>
                <w:sz w:val="24"/>
                <w:szCs w:val="24"/>
              </w:rPr>
              <w:t>新建</w:t>
            </w:r>
            <w:r>
              <w:rPr>
                <w:rFonts w:hint="eastAsia" w:ascii="宋体" w:hAnsi="宋体"/>
                <w:sz w:val="24"/>
                <w:szCs w:val="24"/>
              </w:rPr>
              <w:t>（未批先建）</w:t>
            </w:r>
          </w:p>
          <w:p>
            <w:pPr>
              <w:pStyle w:val="97"/>
              <w:spacing w:after="0" w:line="240" w:lineRule="auto"/>
              <w:ind w:left="0" w:leftChars="0"/>
              <w:jc w:val="both"/>
              <w:rPr>
                <w:sz w:val="24"/>
                <w:szCs w:val="24"/>
              </w:rPr>
            </w:pPr>
            <w:r>
              <w:rPr>
                <w:rFonts w:hint="eastAsia" w:ascii="MS Mincho" w:hAnsi="MS Mincho" w:cs="MS Mincho"/>
                <w:sz w:val="24"/>
                <w:szCs w:val="24"/>
              </w:rPr>
              <w:t>□</w:t>
            </w:r>
            <w:r>
              <w:rPr>
                <w:rFonts w:ascii="宋体" w:hAnsi="宋体"/>
                <w:sz w:val="24"/>
                <w:szCs w:val="24"/>
              </w:rPr>
              <w:t>改建</w:t>
            </w:r>
          </w:p>
          <w:p>
            <w:pPr>
              <w:pStyle w:val="97"/>
              <w:spacing w:after="0" w:line="240" w:lineRule="auto"/>
              <w:ind w:left="0" w:leftChars="0"/>
              <w:jc w:val="both"/>
              <w:rPr>
                <w:sz w:val="24"/>
                <w:szCs w:val="24"/>
              </w:rPr>
            </w:pPr>
            <w:r>
              <w:rPr>
                <w:rFonts w:hint="eastAsia" w:ascii="MS Mincho" w:hAnsi="MS Mincho" w:cs="MS Mincho"/>
                <w:sz w:val="24"/>
                <w:szCs w:val="24"/>
              </w:rPr>
              <w:t>□</w:t>
            </w:r>
            <w:r>
              <w:rPr>
                <w:rFonts w:ascii="宋体" w:hAnsi="宋体"/>
                <w:sz w:val="24"/>
                <w:szCs w:val="24"/>
              </w:rPr>
              <w:t>扩建</w:t>
            </w:r>
          </w:p>
          <w:p>
            <w:pPr>
              <w:spacing w:line="240" w:lineRule="auto"/>
              <w:rPr>
                <w:sz w:val="21"/>
                <w:szCs w:val="21"/>
              </w:rPr>
            </w:pPr>
            <w:r>
              <w:rPr>
                <w:rFonts w:hint="eastAsia"/>
                <w:kern w:val="0"/>
              </w:rPr>
              <w:t>□</w:t>
            </w:r>
            <w:r>
              <w:rPr>
                <w:rFonts w:ascii="宋体" w:hAnsi="宋体"/>
                <w:kern w:val="0"/>
              </w:rPr>
              <w:t>技术改造</w:t>
            </w:r>
          </w:p>
          <w:p>
            <w:pPr>
              <w:spacing w:line="240" w:lineRule="auto"/>
              <w:jc w:val="left"/>
              <w:rPr>
                <w:rFonts w:cs="宋体"/>
                <w:szCs w:val="21"/>
              </w:rPr>
            </w:pPr>
          </w:p>
        </w:tc>
        <w:tc>
          <w:tcPr>
            <w:tcW w:w="2212" w:type="dxa"/>
            <w:vAlign w:val="center"/>
          </w:tcPr>
          <w:p>
            <w:pPr>
              <w:adjustRightInd w:val="0"/>
              <w:snapToGrid w:val="0"/>
              <w:spacing w:line="240" w:lineRule="auto"/>
              <w:jc w:val="center"/>
              <w:rPr>
                <w:rFonts w:cs="宋体"/>
                <w:szCs w:val="21"/>
              </w:rPr>
            </w:pPr>
            <w:r>
              <w:rPr>
                <w:rFonts w:hint="eastAsia" w:cs="宋体"/>
                <w:szCs w:val="21"/>
              </w:rPr>
              <w:t>建设项目</w:t>
            </w:r>
          </w:p>
          <w:p>
            <w:pPr>
              <w:adjustRightInd w:val="0"/>
              <w:snapToGrid w:val="0"/>
              <w:spacing w:line="240" w:lineRule="auto"/>
              <w:jc w:val="center"/>
              <w:rPr>
                <w:rFonts w:cs="宋体"/>
                <w:szCs w:val="21"/>
              </w:rPr>
            </w:pPr>
            <w:r>
              <w:rPr>
                <w:rFonts w:hint="eastAsia" w:cs="宋体"/>
                <w:szCs w:val="21"/>
              </w:rPr>
              <w:t>申报情形</w:t>
            </w:r>
          </w:p>
        </w:tc>
        <w:tc>
          <w:tcPr>
            <w:tcW w:w="2639" w:type="dxa"/>
            <w:vAlign w:val="center"/>
          </w:tcPr>
          <w:p>
            <w:pPr>
              <w:spacing w:line="240" w:lineRule="auto"/>
              <w:rPr>
                <w:rFonts w:ascii="宋体" w:hAnsi="宋体"/>
                <w:kern w:val="0"/>
              </w:rPr>
            </w:pPr>
            <w:r>
              <w:rPr>
                <w:rFonts w:hint="eastAsia" w:ascii="宋体" w:hAnsi="宋体"/>
                <w:kern w:val="0"/>
              </w:rPr>
              <w:t>☑</w:t>
            </w:r>
            <w:r>
              <w:rPr>
                <w:rFonts w:ascii="宋体" w:hAnsi="宋体"/>
                <w:kern w:val="0"/>
              </w:rPr>
              <w:t>首次申报项目</w:t>
            </w:r>
          </w:p>
          <w:p>
            <w:pPr>
              <w:spacing w:line="240" w:lineRule="auto"/>
              <w:rPr>
                <w:rFonts w:ascii="宋体" w:hAnsi="宋体"/>
                <w:kern w:val="0"/>
              </w:rPr>
            </w:pPr>
            <w:r>
              <w:rPr>
                <w:rFonts w:ascii="宋体" w:hAnsi="宋体"/>
                <w:kern w:val="0"/>
              </w:rPr>
              <w:t>□不予批准后再次申报项目</w:t>
            </w:r>
          </w:p>
          <w:p>
            <w:pPr>
              <w:spacing w:line="240" w:lineRule="auto"/>
              <w:rPr>
                <w:rFonts w:ascii="宋体" w:hAnsi="宋体"/>
                <w:kern w:val="0"/>
              </w:rPr>
            </w:pPr>
            <w:r>
              <w:rPr>
                <w:rFonts w:ascii="宋体" w:hAnsi="宋体"/>
                <w:kern w:val="0"/>
              </w:rPr>
              <w:t>□超五年重新审核项目</w:t>
            </w:r>
          </w:p>
          <w:p>
            <w:pPr>
              <w:spacing w:line="240" w:lineRule="auto"/>
              <w:rPr>
                <w:rFonts w:ascii="宋体" w:hAnsi="宋体"/>
                <w:kern w:val="0"/>
              </w:rPr>
            </w:pPr>
            <w:r>
              <w:rPr>
                <w:rFonts w:ascii="宋体" w:hAnsi="宋体"/>
                <w:kern w:val="0"/>
              </w:rPr>
              <w:t>□重大变动重新报批项目</w:t>
            </w:r>
          </w:p>
          <w:p>
            <w:pPr>
              <w:spacing w:line="240" w:lineRule="auto"/>
              <w:jc w:val="left"/>
              <w:rPr>
                <w:rFonts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项目审批（核准</w:t>
            </w:r>
            <w:r>
              <w:rPr>
                <w:rFonts w:cs="宋体"/>
                <w:szCs w:val="21"/>
              </w:rPr>
              <w:t>/</w:t>
            </w:r>
          </w:p>
          <w:p>
            <w:pPr>
              <w:adjustRightInd w:val="0"/>
              <w:snapToGrid w:val="0"/>
              <w:spacing w:line="240" w:lineRule="auto"/>
              <w:jc w:val="center"/>
              <w:rPr>
                <w:rFonts w:cs="宋体"/>
                <w:szCs w:val="21"/>
              </w:rPr>
            </w:pPr>
            <w:r>
              <w:rPr>
                <w:rFonts w:hint="eastAsia" w:cs="宋体"/>
                <w:szCs w:val="21"/>
              </w:rPr>
              <w:t>备案）部门（选填）</w:t>
            </w:r>
          </w:p>
        </w:tc>
        <w:tc>
          <w:tcPr>
            <w:tcW w:w="2245" w:type="dxa"/>
            <w:vAlign w:val="center"/>
          </w:tcPr>
          <w:p>
            <w:pPr>
              <w:adjustRightInd w:val="0"/>
              <w:snapToGrid w:val="0"/>
              <w:spacing w:line="240" w:lineRule="auto"/>
              <w:jc w:val="center"/>
              <w:rPr>
                <w:rFonts w:hint="default" w:eastAsia="宋体" w:cs="宋体"/>
                <w:szCs w:val="21"/>
                <w:lang w:val="en-US" w:eastAsia="zh-CN"/>
              </w:rPr>
            </w:pPr>
            <w:r>
              <w:rPr>
                <w:rFonts w:hint="eastAsia" w:cs="宋体"/>
                <w:szCs w:val="21"/>
                <w:lang w:val="en-US" w:eastAsia="zh-CN"/>
              </w:rPr>
              <w:t>新田县发展和改革局</w:t>
            </w:r>
          </w:p>
        </w:tc>
        <w:tc>
          <w:tcPr>
            <w:tcW w:w="2212" w:type="dxa"/>
            <w:vAlign w:val="center"/>
          </w:tcPr>
          <w:p>
            <w:pPr>
              <w:adjustRightInd w:val="0"/>
              <w:snapToGrid w:val="0"/>
              <w:spacing w:line="240" w:lineRule="auto"/>
              <w:jc w:val="center"/>
              <w:rPr>
                <w:rFonts w:cs="宋体"/>
                <w:szCs w:val="21"/>
              </w:rPr>
            </w:pPr>
            <w:r>
              <w:rPr>
                <w:rFonts w:hint="eastAsia" w:cs="宋体"/>
                <w:szCs w:val="21"/>
              </w:rPr>
              <w:t>项目审批（核准</w:t>
            </w:r>
            <w:r>
              <w:rPr>
                <w:rFonts w:cs="宋体"/>
                <w:szCs w:val="21"/>
              </w:rPr>
              <w:t>/</w:t>
            </w:r>
          </w:p>
          <w:p>
            <w:pPr>
              <w:adjustRightInd w:val="0"/>
              <w:snapToGrid w:val="0"/>
              <w:spacing w:line="240" w:lineRule="auto"/>
              <w:jc w:val="center"/>
              <w:rPr>
                <w:rFonts w:cs="宋体"/>
                <w:szCs w:val="21"/>
              </w:rPr>
            </w:pPr>
            <w:r>
              <w:rPr>
                <w:rFonts w:hint="eastAsia" w:cs="宋体"/>
                <w:szCs w:val="21"/>
              </w:rPr>
              <w:t>备案）文号（选填）</w:t>
            </w:r>
          </w:p>
        </w:tc>
        <w:tc>
          <w:tcPr>
            <w:tcW w:w="2639" w:type="dxa"/>
            <w:vAlign w:val="center"/>
          </w:tcPr>
          <w:p>
            <w:pPr>
              <w:adjustRightInd w:val="0"/>
              <w:snapToGrid w:val="0"/>
              <w:spacing w:line="240" w:lineRule="auto"/>
              <w:jc w:val="center"/>
              <w:rPr>
                <w:rFonts w:cs="宋体"/>
                <w:szCs w:val="21"/>
              </w:rPr>
            </w:pPr>
            <w:r>
              <w:rPr>
                <w:rFonts w:hint="eastAsia" w:cs="宋体"/>
                <w:szCs w:val="21"/>
                <w:lang w:val="en-US" w:eastAsia="zh-CN"/>
              </w:rPr>
              <w:t>新发改备案｛2024｝94号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总投资（万元）</w:t>
            </w:r>
          </w:p>
        </w:tc>
        <w:tc>
          <w:tcPr>
            <w:tcW w:w="2245" w:type="dxa"/>
            <w:vAlign w:val="center"/>
          </w:tcPr>
          <w:p>
            <w:pPr>
              <w:adjustRightInd w:val="0"/>
              <w:snapToGrid w:val="0"/>
              <w:spacing w:line="240" w:lineRule="auto"/>
              <w:jc w:val="center"/>
              <w:rPr>
                <w:rFonts w:cs="宋体"/>
                <w:szCs w:val="21"/>
              </w:rPr>
            </w:pPr>
            <w:r>
              <w:rPr>
                <w:rFonts w:hint="eastAsia" w:cs="宋体"/>
                <w:szCs w:val="21"/>
              </w:rPr>
              <w:t>850</w:t>
            </w:r>
          </w:p>
        </w:tc>
        <w:tc>
          <w:tcPr>
            <w:tcW w:w="2212"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环保投资（万元）</w:t>
            </w:r>
          </w:p>
        </w:tc>
        <w:tc>
          <w:tcPr>
            <w:tcW w:w="2639" w:type="dxa"/>
            <w:vAlign w:val="center"/>
          </w:tcPr>
          <w:p>
            <w:pPr>
              <w:adjustRightInd w:val="0"/>
              <w:snapToGrid w:val="0"/>
              <w:spacing w:line="240" w:lineRule="auto"/>
              <w:jc w:val="center"/>
              <w:rPr>
                <w:rFonts w:hint="default" w:eastAsia="宋体" w:cs="宋体"/>
                <w:szCs w:val="21"/>
                <w:lang w:val="en-US" w:eastAsia="zh-CN"/>
              </w:rPr>
            </w:pPr>
            <w:r>
              <w:rPr>
                <w:rFonts w:hint="eastAsia" w:cs="宋体"/>
                <w:szCs w:val="21"/>
                <w:lang w:val="en-US" w:eastAsia="zh-CN"/>
              </w:rPr>
              <w:t>38.5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环保投资占比（</w:t>
            </w:r>
            <w:r>
              <w:rPr>
                <w:rFonts w:cs="宋体"/>
                <w:szCs w:val="21"/>
              </w:rPr>
              <w:t>%</w:t>
            </w:r>
            <w:r>
              <w:rPr>
                <w:rFonts w:hint="eastAsia" w:cs="宋体"/>
                <w:szCs w:val="21"/>
              </w:rPr>
              <w:t>）</w:t>
            </w:r>
          </w:p>
        </w:tc>
        <w:tc>
          <w:tcPr>
            <w:tcW w:w="2245" w:type="dxa"/>
            <w:vAlign w:val="center"/>
          </w:tcPr>
          <w:p>
            <w:pPr>
              <w:adjustRightInd w:val="0"/>
              <w:snapToGrid w:val="0"/>
              <w:spacing w:line="240" w:lineRule="auto"/>
              <w:jc w:val="center"/>
              <w:rPr>
                <w:rFonts w:hint="default" w:eastAsia="宋体" w:cs="宋体"/>
                <w:szCs w:val="21"/>
                <w:lang w:val="en-US" w:eastAsia="zh-CN"/>
              </w:rPr>
            </w:pPr>
            <w:r>
              <w:rPr>
                <w:rFonts w:hint="eastAsia" w:cs="宋体"/>
                <w:szCs w:val="21"/>
                <w:lang w:val="en-US" w:eastAsia="zh-CN"/>
              </w:rPr>
              <w:t>4.5</w:t>
            </w:r>
          </w:p>
        </w:tc>
        <w:tc>
          <w:tcPr>
            <w:tcW w:w="2212"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pacing w:val="-6"/>
                <w:szCs w:val="21"/>
              </w:rPr>
              <w:t>用地面积（</w:t>
            </w:r>
            <w:r>
              <w:rPr>
                <w:rFonts w:cs="宋体"/>
                <w:spacing w:val="-6"/>
                <w:szCs w:val="21"/>
              </w:rPr>
              <w:t>m</w:t>
            </w:r>
            <w:r>
              <w:rPr>
                <w:rFonts w:cs="宋体"/>
                <w:spacing w:val="-6"/>
                <w:szCs w:val="21"/>
                <w:vertAlign w:val="superscript"/>
              </w:rPr>
              <w:t>2</w:t>
            </w:r>
            <w:r>
              <w:rPr>
                <w:rFonts w:hint="eastAsia" w:cs="宋体"/>
                <w:spacing w:val="-6"/>
                <w:szCs w:val="21"/>
              </w:rPr>
              <w:t>）</w:t>
            </w:r>
          </w:p>
        </w:tc>
        <w:tc>
          <w:tcPr>
            <w:tcW w:w="2639" w:type="dxa"/>
            <w:vAlign w:val="center"/>
          </w:tcPr>
          <w:p>
            <w:pPr>
              <w:adjustRightInd w:val="0"/>
              <w:snapToGrid w:val="0"/>
              <w:spacing w:line="240" w:lineRule="auto"/>
              <w:jc w:val="center"/>
              <w:rPr>
                <w:rFonts w:cs="宋体"/>
                <w:szCs w:val="21"/>
              </w:rPr>
            </w:pPr>
            <w:r>
              <w:rPr>
                <w:rFonts w:hint="eastAsia" w:cs="宋体"/>
                <w:spacing w:val="-6"/>
                <w:szCs w:val="21"/>
              </w:rPr>
              <w:t>16648m</w:t>
            </w:r>
            <w:r>
              <w:rPr>
                <w:rFonts w:hint="eastAsia" w:cs="宋体"/>
                <w:spacing w:val="-6"/>
                <w:szCs w:val="21"/>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74" w:type="dxa"/>
            <w:tcMar>
              <w:top w:w="16" w:type="dxa"/>
              <w:left w:w="16" w:type="dxa"/>
              <w:right w:w="16" w:type="dxa"/>
            </w:tcMar>
            <w:vAlign w:val="center"/>
          </w:tcPr>
          <w:p>
            <w:pPr>
              <w:adjustRightInd w:val="0"/>
              <w:snapToGrid w:val="0"/>
              <w:spacing w:line="240" w:lineRule="auto"/>
              <w:jc w:val="center"/>
              <w:rPr>
                <w:rFonts w:cs="宋体"/>
                <w:szCs w:val="21"/>
              </w:rPr>
            </w:pPr>
            <w:r>
              <w:rPr>
                <w:rFonts w:hint="eastAsia" w:cs="宋体"/>
                <w:szCs w:val="21"/>
              </w:rPr>
              <w:t>是否开工建设</w:t>
            </w:r>
          </w:p>
        </w:tc>
        <w:tc>
          <w:tcPr>
            <w:tcW w:w="7096" w:type="dxa"/>
            <w:gridSpan w:val="3"/>
            <w:vAlign w:val="center"/>
          </w:tcPr>
          <w:p>
            <w:pPr>
              <w:pStyle w:val="97"/>
              <w:spacing w:after="0" w:line="240" w:lineRule="auto"/>
              <w:ind w:left="0" w:leftChars="0"/>
              <w:jc w:val="both"/>
              <w:rPr>
                <w:sz w:val="24"/>
                <w:szCs w:val="24"/>
              </w:rPr>
            </w:pPr>
            <w:r>
              <w:rPr>
                <w:rFonts w:hint="eastAsia" w:ascii="MS Mincho" w:hAnsi="MS Mincho" w:cs="MS Mincho"/>
                <w:sz w:val="24"/>
                <w:szCs w:val="24"/>
              </w:rPr>
              <w:t>□</w:t>
            </w:r>
            <w:r>
              <w:rPr>
                <w:rFonts w:ascii="宋体" w:hAnsi="宋体"/>
                <w:sz w:val="24"/>
                <w:szCs w:val="24"/>
              </w:rPr>
              <w:t>否</w:t>
            </w:r>
          </w:p>
          <w:p>
            <w:pPr>
              <w:adjustRightInd w:val="0"/>
              <w:snapToGrid w:val="0"/>
              <w:spacing w:line="240" w:lineRule="auto"/>
              <w:jc w:val="left"/>
              <w:rPr>
                <w:rFonts w:hint="default" w:cs="宋体"/>
                <w:szCs w:val="21"/>
                <w:lang w:val="en-US"/>
              </w:rPr>
            </w:pPr>
            <w:r>
              <w:rPr>
                <w:rFonts w:hint="eastAsia"/>
                <w:kern w:val="0"/>
              </w:rPr>
              <w:t>☑</w:t>
            </w:r>
            <w:r>
              <w:rPr>
                <w:rFonts w:ascii="宋体" w:hAnsi="宋体"/>
                <w:kern w:val="0"/>
              </w:rPr>
              <w:t>是</w:t>
            </w:r>
            <w:r>
              <w:rPr>
                <w:kern w:val="0"/>
              </w:rPr>
              <w:t>:</w:t>
            </w:r>
            <w:r>
              <w:rPr>
                <w:rFonts w:hint="eastAsia" w:cs="宋体"/>
                <w:szCs w:val="21"/>
                <w:u w:val="single"/>
              </w:rPr>
              <w:t>项目已完成建设并投入生产，</w:t>
            </w:r>
            <w:r>
              <w:rPr>
                <w:rFonts w:hint="eastAsia" w:cs="宋体"/>
                <w:szCs w:val="21"/>
                <w:u w:val="single"/>
                <w:lang w:val="en-US" w:eastAsia="zh-CN"/>
              </w:rPr>
              <w:t>目前已被永州市生态环境局新田分局进行处罚。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74" w:type="dxa"/>
            <w:vAlign w:val="center"/>
          </w:tcPr>
          <w:p>
            <w:pPr>
              <w:autoSpaceDE w:val="0"/>
              <w:autoSpaceDN w:val="0"/>
              <w:adjustRightInd w:val="0"/>
              <w:snapToGrid w:val="0"/>
              <w:spacing w:line="240" w:lineRule="auto"/>
              <w:jc w:val="center"/>
              <w:rPr>
                <w:rFonts w:cs="宋体"/>
                <w:kern w:val="0"/>
                <w:szCs w:val="21"/>
              </w:rPr>
            </w:pPr>
            <w:r>
              <w:rPr>
                <w:rFonts w:hint="eastAsia" w:cs="宋体"/>
                <w:kern w:val="0"/>
                <w:szCs w:val="21"/>
              </w:rPr>
              <w:t>专项评价设置情况</w:t>
            </w:r>
          </w:p>
        </w:tc>
        <w:tc>
          <w:tcPr>
            <w:tcW w:w="7096" w:type="dxa"/>
            <w:gridSpan w:val="3"/>
            <w:vAlign w:val="center"/>
          </w:tcPr>
          <w:p>
            <w:pPr>
              <w:spacing w:beforeLines="50"/>
              <w:ind w:firstLine="480"/>
              <w:jc w:val="left"/>
              <w:rPr>
                <w:color w:val="000000"/>
              </w:rPr>
            </w:pPr>
            <w:r>
              <w:rPr>
                <w:rFonts w:hint="eastAsia"/>
                <w:color w:val="000000"/>
              </w:rPr>
              <w:t>根据《建设项目环境影响报告表编制技术指南》（污染影响类）（试行），本项目具体情况如下：</w:t>
            </w:r>
          </w:p>
          <w:p>
            <w:pPr>
              <w:tabs>
                <w:tab w:val="left" w:pos="1021"/>
              </w:tabs>
              <w:spacing w:line="240" w:lineRule="auto"/>
              <w:jc w:val="center"/>
              <w:rPr>
                <w:rFonts w:hAnsi="宋体"/>
                <w:b/>
              </w:rPr>
            </w:pPr>
            <w:r>
              <w:rPr>
                <w:rFonts w:hint="eastAsia" w:hAnsi="宋体"/>
                <w:b/>
              </w:rPr>
              <w:t>表1-1  专项评价设置原则表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8"/>
              <w:gridCol w:w="4092"/>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3" w:type="pct"/>
                  <w:vAlign w:val="center"/>
                </w:tcPr>
                <w:p>
                  <w:pPr>
                    <w:spacing w:line="240" w:lineRule="auto"/>
                    <w:jc w:val="center"/>
                    <w:rPr>
                      <w:b/>
                      <w:bCs/>
                      <w:sz w:val="21"/>
                    </w:rPr>
                  </w:pPr>
                  <w:r>
                    <w:rPr>
                      <w:rFonts w:hint="eastAsia"/>
                      <w:b/>
                      <w:bCs/>
                      <w:sz w:val="21"/>
                    </w:rPr>
                    <w:t>专项评价类别</w:t>
                  </w:r>
                </w:p>
              </w:tc>
              <w:tc>
                <w:tcPr>
                  <w:tcW w:w="2978" w:type="pct"/>
                  <w:vAlign w:val="center"/>
                </w:tcPr>
                <w:p>
                  <w:pPr>
                    <w:spacing w:line="240" w:lineRule="auto"/>
                    <w:jc w:val="center"/>
                    <w:rPr>
                      <w:b/>
                      <w:bCs/>
                      <w:sz w:val="21"/>
                    </w:rPr>
                  </w:pPr>
                  <w:r>
                    <w:rPr>
                      <w:rFonts w:hint="eastAsia"/>
                      <w:b/>
                      <w:bCs/>
                      <w:sz w:val="21"/>
                    </w:rPr>
                    <w:t>设置原则</w:t>
                  </w:r>
                </w:p>
              </w:tc>
              <w:tc>
                <w:tcPr>
                  <w:tcW w:w="939" w:type="pct"/>
                  <w:vAlign w:val="center"/>
                </w:tcPr>
                <w:p>
                  <w:pPr>
                    <w:spacing w:line="240" w:lineRule="auto"/>
                    <w:jc w:val="center"/>
                    <w:rPr>
                      <w:b/>
                      <w:bCs/>
                      <w:sz w:val="21"/>
                    </w:rPr>
                  </w:pPr>
                  <w:r>
                    <w:rPr>
                      <w:rFonts w:hint="eastAsia"/>
                      <w:b/>
                      <w:bCs/>
                      <w:sz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083" w:type="pct"/>
                  <w:vAlign w:val="center"/>
                </w:tcPr>
                <w:p>
                  <w:pPr>
                    <w:spacing w:line="240" w:lineRule="auto"/>
                    <w:jc w:val="center"/>
                    <w:rPr>
                      <w:sz w:val="21"/>
                    </w:rPr>
                  </w:pPr>
                  <w:r>
                    <w:rPr>
                      <w:rFonts w:hint="eastAsia"/>
                      <w:sz w:val="21"/>
                    </w:rPr>
                    <w:t>大气</w:t>
                  </w:r>
                </w:p>
              </w:tc>
              <w:tc>
                <w:tcPr>
                  <w:tcW w:w="2978" w:type="pct"/>
                  <w:vAlign w:val="center"/>
                </w:tcPr>
                <w:p>
                  <w:pPr>
                    <w:spacing w:line="240" w:lineRule="auto"/>
                    <w:jc w:val="center"/>
                    <w:rPr>
                      <w:sz w:val="21"/>
                    </w:rPr>
                  </w:pPr>
                  <w:r>
                    <w:rPr>
                      <w:rFonts w:hint="eastAsia"/>
                      <w:sz w:val="21"/>
                    </w:rPr>
                    <w:t>排放废气含有毒有害污染物</w:t>
                  </w:r>
                  <w:r>
                    <w:rPr>
                      <w:rFonts w:hint="eastAsia"/>
                      <w:sz w:val="21"/>
                      <w:vertAlign w:val="superscript"/>
                    </w:rPr>
                    <w:t>1</w:t>
                  </w:r>
                  <w:r>
                    <w:rPr>
                      <w:rFonts w:hint="eastAsia"/>
                      <w:sz w:val="21"/>
                    </w:rPr>
                    <w:t>、二噁英、苯并[a]芘、氰化物、氯气且厂界外500米范围内有环境空气保护目标</w:t>
                  </w:r>
                  <w:r>
                    <w:rPr>
                      <w:rFonts w:hint="eastAsia"/>
                      <w:sz w:val="21"/>
                      <w:vertAlign w:val="superscript"/>
                    </w:rPr>
                    <w:t>2</w:t>
                  </w:r>
                  <w:r>
                    <w:rPr>
                      <w:rFonts w:hint="eastAsia"/>
                      <w:sz w:val="21"/>
                    </w:rPr>
                    <w:t>的建设项目</w:t>
                  </w:r>
                </w:p>
              </w:tc>
              <w:tc>
                <w:tcPr>
                  <w:tcW w:w="939" w:type="pct"/>
                  <w:vAlign w:val="center"/>
                </w:tcPr>
                <w:p>
                  <w:pPr>
                    <w:spacing w:line="240" w:lineRule="auto"/>
                    <w:jc w:val="center"/>
                    <w:rPr>
                      <w:sz w:val="21"/>
                    </w:rPr>
                  </w:pPr>
                  <w:r>
                    <w:rPr>
                      <w:rFonts w:hint="eastAsia"/>
                      <w:sz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3" w:type="pct"/>
                  <w:vAlign w:val="center"/>
                </w:tcPr>
                <w:p>
                  <w:pPr>
                    <w:spacing w:line="240" w:lineRule="auto"/>
                    <w:jc w:val="center"/>
                    <w:rPr>
                      <w:sz w:val="21"/>
                    </w:rPr>
                  </w:pPr>
                  <w:r>
                    <w:rPr>
                      <w:rFonts w:hint="eastAsia"/>
                      <w:sz w:val="21"/>
                    </w:rPr>
                    <w:t>地表水</w:t>
                  </w:r>
                </w:p>
              </w:tc>
              <w:tc>
                <w:tcPr>
                  <w:tcW w:w="2978" w:type="pct"/>
                  <w:vAlign w:val="center"/>
                </w:tcPr>
                <w:p>
                  <w:pPr>
                    <w:spacing w:line="240" w:lineRule="auto"/>
                    <w:jc w:val="center"/>
                    <w:rPr>
                      <w:sz w:val="21"/>
                    </w:rPr>
                  </w:pPr>
                  <w:r>
                    <w:rPr>
                      <w:rFonts w:hint="eastAsia"/>
                      <w:sz w:val="21"/>
                    </w:rPr>
                    <w:t>新增工业废水直排建设项目（槽罐车外送污水处理厂的除外）；新增废水直排的污水集中处理厂</w:t>
                  </w:r>
                </w:p>
              </w:tc>
              <w:tc>
                <w:tcPr>
                  <w:tcW w:w="939" w:type="pct"/>
                  <w:vAlign w:val="center"/>
                </w:tcPr>
                <w:p>
                  <w:pPr>
                    <w:spacing w:line="240" w:lineRule="auto"/>
                    <w:jc w:val="center"/>
                    <w:rPr>
                      <w:sz w:val="21"/>
                    </w:rPr>
                  </w:pPr>
                  <w:r>
                    <w:rPr>
                      <w:rFonts w:hint="eastAsia"/>
                      <w:sz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3" w:type="pct"/>
                  <w:vAlign w:val="center"/>
                </w:tcPr>
                <w:p>
                  <w:pPr>
                    <w:spacing w:line="240" w:lineRule="auto"/>
                    <w:jc w:val="center"/>
                    <w:rPr>
                      <w:sz w:val="21"/>
                    </w:rPr>
                  </w:pPr>
                  <w:r>
                    <w:rPr>
                      <w:rFonts w:hint="eastAsia"/>
                      <w:sz w:val="21"/>
                    </w:rPr>
                    <w:t>环境风险</w:t>
                  </w:r>
                </w:p>
              </w:tc>
              <w:tc>
                <w:tcPr>
                  <w:tcW w:w="2978" w:type="pct"/>
                  <w:vAlign w:val="center"/>
                </w:tcPr>
                <w:p>
                  <w:pPr>
                    <w:spacing w:line="240" w:lineRule="auto"/>
                    <w:jc w:val="center"/>
                    <w:rPr>
                      <w:sz w:val="21"/>
                    </w:rPr>
                  </w:pPr>
                  <w:r>
                    <w:rPr>
                      <w:rFonts w:hint="eastAsia"/>
                      <w:sz w:val="21"/>
                    </w:rPr>
                    <w:t>有毒有害和易燃易爆危险物质存储量超过临界量</w:t>
                  </w:r>
                  <w:r>
                    <w:rPr>
                      <w:rFonts w:hint="eastAsia"/>
                      <w:sz w:val="21"/>
                      <w:vertAlign w:val="superscript"/>
                    </w:rPr>
                    <w:t>3</w:t>
                  </w:r>
                  <w:r>
                    <w:rPr>
                      <w:rFonts w:hint="eastAsia"/>
                      <w:sz w:val="21"/>
                    </w:rPr>
                    <w:t>的建设项目</w:t>
                  </w:r>
                </w:p>
              </w:tc>
              <w:tc>
                <w:tcPr>
                  <w:tcW w:w="939" w:type="pct"/>
                  <w:vAlign w:val="center"/>
                </w:tcPr>
                <w:p>
                  <w:pPr>
                    <w:spacing w:line="240" w:lineRule="auto"/>
                    <w:jc w:val="center"/>
                    <w:rPr>
                      <w:rFonts w:hint="eastAsia" w:eastAsia="宋体"/>
                      <w:sz w:val="21"/>
                      <w:szCs w:val="21"/>
                      <w:lang w:eastAsia="zh-CN"/>
                    </w:rPr>
                  </w:pPr>
                  <w:r>
                    <w:rPr>
                      <w:rFonts w:hint="eastAsia"/>
                      <w:kern w:val="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3" w:type="pct"/>
                  <w:vAlign w:val="center"/>
                </w:tcPr>
                <w:p>
                  <w:pPr>
                    <w:spacing w:line="240" w:lineRule="auto"/>
                    <w:jc w:val="center"/>
                    <w:rPr>
                      <w:sz w:val="21"/>
                    </w:rPr>
                  </w:pPr>
                  <w:r>
                    <w:rPr>
                      <w:rFonts w:hint="eastAsia"/>
                      <w:sz w:val="21"/>
                    </w:rPr>
                    <w:t>生态</w:t>
                  </w:r>
                </w:p>
              </w:tc>
              <w:tc>
                <w:tcPr>
                  <w:tcW w:w="2978" w:type="pct"/>
                  <w:vAlign w:val="center"/>
                </w:tcPr>
                <w:p>
                  <w:pPr>
                    <w:spacing w:line="240" w:lineRule="auto"/>
                    <w:jc w:val="center"/>
                    <w:rPr>
                      <w:sz w:val="21"/>
                    </w:rPr>
                  </w:pPr>
                  <w:r>
                    <w:rPr>
                      <w:rFonts w:hint="eastAsia"/>
                      <w:sz w:val="21"/>
                    </w:rPr>
                    <w:t>取水口下游50米范围内有重要水生物的自然产卵场、索饵场、越冬场和洄游通道的新增河道取水的污染类建设项目</w:t>
                  </w:r>
                </w:p>
              </w:tc>
              <w:tc>
                <w:tcPr>
                  <w:tcW w:w="939" w:type="pct"/>
                  <w:vAlign w:val="center"/>
                </w:tcPr>
                <w:p>
                  <w:pPr>
                    <w:spacing w:line="240" w:lineRule="auto"/>
                    <w:jc w:val="center"/>
                    <w:rPr>
                      <w:sz w:val="21"/>
                    </w:rPr>
                  </w:pPr>
                  <w:r>
                    <w:rPr>
                      <w:rFonts w:hint="eastAsia"/>
                      <w:sz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083" w:type="pct"/>
                  <w:vAlign w:val="center"/>
                </w:tcPr>
                <w:p>
                  <w:pPr>
                    <w:spacing w:line="240" w:lineRule="auto"/>
                    <w:jc w:val="center"/>
                    <w:rPr>
                      <w:sz w:val="21"/>
                    </w:rPr>
                  </w:pPr>
                  <w:r>
                    <w:rPr>
                      <w:rFonts w:hint="eastAsia"/>
                      <w:sz w:val="21"/>
                    </w:rPr>
                    <w:t>海洋</w:t>
                  </w:r>
                </w:p>
              </w:tc>
              <w:tc>
                <w:tcPr>
                  <w:tcW w:w="2978" w:type="pct"/>
                  <w:vAlign w:val="center"/>
                </w:tcPr>
                <w:p>
                  <w:pPr>
                    <w:spacing w:line="240" w:lineRule="auto"/>
                    <w:jc w:val="center"/>
                    <w:rPr>
                      <w:sz w:val="21"/>
                    </w:rPr>
                  </w:pPr>
                  <w:r>
                    <w:rPr>
                      <w:rFonts w:hint="eastAsia"/>
                      <w:sz w:val="21"/>
                    </w:rPr>
                    <w:t>直接向海排放污染物的海洋工程建设项目</w:t>
                  </w:r>
                </w:p>
              </w:tc>
              <w:tc>
                <w:tcPr>
                  <w:tcW w:w="939" w:type="pct"/>
                  <w:vAlign w:val="center"/>
                </w:tcPr>
                <w:p>
                  <w:pPr>
                    <w:spacing w:line="240" w:lineRule="auto"/>
                    <w:jc w:val="center"/>
                    <w:rPr>
                      <w:sz w:val="21"/>
                    </w:rPr>
                  </w:pPr>
                  <w:r>
                    <w:rPr>
                      <w:rFonts w:hint="eastAsia"/>
                      <w:sz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3"/>
                  <w:vAlign w:val="center"/>
                </w:tcPr>
                <w:p>
                  <w:pPr>
                    <w:spacing w:line="240" w:lineRule="auto"/>
                    <w:jc w:val="left"/>
                    <w:rPr>
                      <w:sz w:val="21"/>
                    </w:rPr>
                  </w:pPr>
                  <w:r>
                    <w:rPr>
                      <w:rFonts w:hint="eastAsia"/>
                      <w:sz w:val="21"/>
                    </w:rPr>
                    <w:t>注：</w:t>
                  </w:r>
                </w:p>
                <w:p>
                  <w:pPr>
                    <w:spacing w:line="240" w:lineRule="auto"/>
                    <w:jc w:val="left"/>
                    <w:rPr>
                      <w:sz w:val="21"/>
                    </w:rPr>
                  </w:pPr>
                  <w:r>
                    <w:rPr>
                      <w:rFonts w:hint="eastAsia"/>
                      <w:sz w:val="21"/>
                    </w:rPr>
                    <w:t>1.废气中有毒有害污染物指纳入《有毒有害大气污染物名录》的污染物（不包括无排放标准的污染物）。</w:t>
                  </w:r>
                </w:p>
                <w:p>
                  <w:pPr>
                    <w:spacing w:line="240" w:lineRule="auto"/>
                    <w:jc w:val="left"/>
                    <w:rPr>
                      <w:sz w:val="21"/>
                    </w:rPr>
                  </w:pPr>
                  <w:r>
                    <w:rPr>
                      <w:rFonts w:hint="eastAsia"/>
                      <w:sz w:val="21"/>
                    </w:rPr>
                    <w:t>2.环境空气保护目标指自然保护区、风景名胜区、居住区、文化区和农村地区中人群较集中的区域。</w:t>
                  </w:r>
                </w:p>
                <w:p>
                  <w:pPr>
                    <w:spacing w:line="240" w:lineRule="auto"/>
                    <w:jc w:val="left"/>
                    <w:rPr>
                      <w:sz w:val="21"/>
                    </w:rPr>
                  </w:pPr>
                  <w:r>
                    <w:rPr>
                      <w:rFonts w:hint="eastAsia"/>
                      <w:sz w:val="21"/>
                    </w:rPr>
                    <w:t>3.临界量及其计算方法可参考《建设项目环境风险评价技术导则》（HJ 169）附录B、附录C。</w:t>
                  </w:r>
                </w:p>
              </w:tc>
            </w:tr>
          </w:tbl>
          <w:p>
            <w:pPr>
              <w:widowControl/>
              <w:adjustRightInd w:val="0"/>
              <w:snapToGrid w:val="0"/>
              <w:ind w:firstLine="480"/>
              <w:rPr>
                <w:rFonts w:cs="宋体"/>
                <w:kern w:val="0"/>
                <w:szCs w:val="21"/>
              </w:rPr>
            </w:pPr>
            <w:r>
              <w:rPr>
                <w:rFonts w:hint="eastAsia"/>
                <w:kern w:val="0"/>
              </w:rPr>
              <w:t>综上所述，本项目无需进行专项评价。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74" w:type="dxa"/>
            <w:vAlign w:val="center"/>
          </w:tcPr>
          <w:p>
            <w:pPr>
              <w:autoSpaceDE w:val="0"/>
              <w:autoSpaceDN w:val="0"/>
              <w:adjustRightInd w:val="0"/>
              <w:snapToGrid w:val="0"/>
              <w:spacing w:line="240" w:lineRule="auto"/>
              <w:jc w:val="center"/>
              <w:rPr>
                <w:rFonts w:cs="宋体"/>
                <w:kern w:val="0"/>
                <w:szCs w:val="21"/>
              </w:rPr>
            </w:pPr>
            <w:r>
              <w:rPr>
                <w:rFonts w:hint="eastAsia" w:cs="宋体"/>
                <w:szCs w:val="21"/>
              </w:rPr>
              <w:t>规划情况</w:t>
            </w:r>
          </w:p>
        </w:tc>
        <w:tc>
          <w:tcPr>
            <w:tcW w:w="7096" w:type="dxa"/>
            <w:gridSpan w:val="3"/>
            <w:vAlign w:val="center"/>
          </w:tcPr>
          <w:p>
            <w:pPr>
              <w:widowControl/>
              <w:adjustRightInd w:val="0"/>
              <w:snapToGrid w:val="0"/>
              <w:spacing w:line="240" w:lineRule="auto"/>
              <w:jc w:val="center"/>
              <w:rPr>
                <w:rFonts w:hint="default" w:eastAsia="宋体"/>
                <w:lang w:val="en-US" w:eastAsia="zh-CN"/>
              </w:rPr>
            </w:pPr>
            <w:r>
              <w:rPr>
                <w:rFonts w:hint="eastAsia"/>
                <w:lang w:val="en-US" w:eastAsia="zh-CN"/>
              </w:rPr>
              <w:t>本项目符合新田县大坪塘镇龙溪村村庄规划（附件6）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74" w:type="dxa"/>
            <w:vAlign w:val="center"/>
          </w:tcPr>
          <w:p>
            <w:pPr>
              <w:adjustRightInd w:val="0"/>
              <w:snapToGrid w:val="0"/>
              <w:spacing w:line="240" w:lineRule="auto"/>
              <w:jc w:val="center"/>
              <w:rPr>
                <w:rFonts w:cs="宋体"/>
                <w:kern w:val="0"/>
                <w:szCs w:val="21"/>
              </w:rPr>
            </w:pPr>
            <w:r>
              <w:rPr>
                <w:rFonts w:hint="eastAsia" w:cs="宋体"/>
                <w:szCs w:val="21"/>
              </w:rPr>
              <w:t>规划环境影响评价情况</w:t>
            </w:r>
          </w:p>
        </w:tc>
        <w:tc>
          <w:tcPr>
            <w:tcW w:w="7096" w:type="dxa"/>
            <w:gridSpan w:val="3"/>
            <w:vAlign w:val="center"/>
          </w:tcPr>
          <w:p>
            <w:pPr>
              <w:widowControl/>
              <w:adjustRightInd w:val="0"/>
              <w:snapToGrid w:val="0"/>
              <w:spacing w:line="240" w:lineRule="auto"/>
              <w:jc w:val="center"/>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2" w:hRule="atLeast"/>
          <w:jc w:val="center"/>
        </w:trPr>
        <w:tc>
          <w:tcPr>
            <w:tcW w:w="1774" w:type="dxa"/>
            <w:vAlign w:val="center"/>
          </w:tcPr>
          <w:p>
            <w:pPr>
              <w:autoSpaceDE w:val="0"/>
              <w:autoSpaceDN w:val="0"/>
              <w:adjustRightInd w:val="0"/>
              <w:snapToGrid w:val="0"/>
              <w:spacing w:line="240" w:lineRule="auto"/>
              <w:jc w:val="center"/>
              <w:rPr>
                <w:rFonts w:cs="宋体"/>
                <w:kern w:val="0"/>
                <w:szCs w:val="21"/>
              </w:rPr>
            </w:pPr>
            <w:r>
              <w:rPr>
                <w:rFonts w:hint="eastAsia" w:cs="宋体"/>
                <w:kern w:val="0"/>
                <w:szCs w:val="21"/>
              </w:rPr>
              <w:t>规划及规划环境影响评价符合性分析</w:t>
            </w:r>
          </w:p>
        </w:tc>
        <w:tc>
          <w:tcPr>
            <w:tcW w:w="7096" w:type="dxa"/>
            <w:gridSpan w:val="3"/>
            <w:vAlign w:val="center"/>
          </w:tcPr>
          <w:p>
            <w:pPr>
              <w:widowControl/>
              <w:spacing w:line="240" w:lineRule="auto"/>
              <w:jc w:val="center"/>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74" w:type="dxa"/>
            <w:vAlign w:val="center"/>
          </w:tcPr>
          <w:p>
            <w:pPr>
              <w:autoSpaceDE w:val="0"/>
              <w:autoSpaceDN w:val="0"/>
              <w:adjustRightInd w:val="0"/>
              <w:snapToGrid w:val="0"/>
              <w:spacing w:line="240" w:lineRule="auto"/>
              <w:jc w:val="center"/>
              <w:rPr>
                <w:rFonts w:cs="宋体"/>
                <w:kern w:val="0"/>
                <w:szCs w:val="21"/>
              </w:rPr>
            </w:pPr>
            <w:r>
              <w:rPr>
                <w:rFonts w:hint="eastAsia" w:cs="宋体"/>
                <w:kern w:val="0"/>
                <w:szCs w:val="21"/>
              </w:rPr>
              <w:t>其他符合性分析</w:t>
            </w:r>
          </w:p>
        </w:tc>
        <w:tc>
          <w:tcPr>
            <w:tcW w:w="7096" w:type="dxa"/>
            <w:gridSpan w:val="3"/>
            <w:vAlign w:val="center"/>
          </w:tcPr>
          <w:p>
            <w:pPr>
              <w:widowControl/>
              <w:adjustRightInd w:val="0"/>
              <w:snapToGrid w:val="0"/>
              <w:rPr>
                <w:b/>
                <w:bCs/>
                <w:szCs w:val="21"/>
              </w:rPr>
            </w:pPr>
            <w:r>
              <w:rPr>
                <w:rFonts w:hint="eastAsia"/>
                <w:b/>
                <w:bCs/>
                <w:szCs w:val="21"/>
              </w:rPr>
              <w:t>1、产业政策的符合性分析</w:t>
            </w:r>
          </w:p>
          <w:p>
            <w:pPr>
              <w:widowControl/>
              <w:adjustRightInd w:val="0"/>
              <w:snapToGrid w:val="0"/>
              <w:ind w:firstLine="480" w:firstLineChars="200"/>
            </w:pPr>
            <w:r>
              <w:rPr>
                <w:rFonts w:hint="eastAsia"/>
              </w:rPr>
              <w:t>根据《国民经济行业分类》（GB/T4754-2017），本项目行业类别</w:t>
            </w:r>
            <w:r>
              <w:t>为</w:t>
            </w:r>
            <w:r>
              <w:rPr>
                <w:rFonts w:hint="eastAsia"/>
              </w:rPr>
              <w:t>A0412 内陆养殖</w:t>
            </w:r>
            <w:r>
              <w:t>，</w:t>
            </w:r>
            <w:r>
              <w:rPr>
                <w:rFonts w:hint="eastAsia"/>
              </w:rPr>
              <w:t>位于</w:t>
            </w:r>
            <w:r>
              <w:rPr>
                <w:rFonts w:hint="eastAsia" w:cs="宋体"/>
                <w:szCs w:val="21"/>
              </w:rPr>
              <w:t>永州市新田县大坪塘镇龙溪村</w:t>
            </w:r>
            <w:r>
              <w:rPr>
                <w:rFonts w:hint="eastAsia"/>
              </w:rPr>
              <w:t>，为</w:t>
            </w:r>
            <w:r>
              <w:rPr>
                <w:rFonts w:hint="eastAsia" w:cs="宋体"/>
                <w:szCs w:val="21"/>
              </w:rPr>
              <w:t>新田县祥忠种养专业合作社养殖项目</w:t>
            </w:r>
            <w:r>
              <w:rPr>
                <w:rFonts w:hint="eastAsia"/>
              </w:rPr>
              <w:t>，不属于《产业结构调整指导目录（2024年本）》文件中规定的限制类和淘汰类生产项目，根据《市场准入负面清单》（2022年版），本项目不在该负面清单里。因此本项目符合国家产业政策，具有较好的社会效益、经济效益和发展前景。</w:t>
            </w:r>
          </w:p>
          <w:p>
            <w:pPr>
              <w:widowControl/>
              <w:adjustRightInd w:val="0"/>
              <w:snapToGrid w:val="0"/>
              <w:rPr>
                <w:b/>
                <w:bCs/>
                <w:szCs w:val="21"/>
              </w:rPr>
            </w:pPr>
            <w:r>
              <w:rPr>
                <w:rFonts w:hint="eastAsia"/>
                <w:b/>
                <w:bCs/>
                <w:szCs w:val="21"/>
              </w:rPr>
              <w:t>2、本项目与“三线一单”相符性分析</w:t>
            </w:r>
          </w:p>
          <w:p>
            <w:pPr>
              <w:widowControl/>
              <w:adjustRightInd w:val="0"/>
              <w:snapToGrid w:val="0"/>
              <w:ind w:firstLine="480"/>
            </w:pPr>
            <w:r>
              <w:rPr>
                <w:rFonts w:hint="eastAsia"/>
              </w:rPr>
              <w:t>（1）生态保护红线</w:t>
            </w:r>
          </w:p>
          <w:p>
            <w:pPr>
              <w:widowControl/>
              <w:adjustRightInd w:val="0"/>
              <w:snapToGrid w:val="0"/>
              <w:ind w:firstLine="480"/>
            </w:pPr>
            <w:r>
              <w:rPr>
                <w:rFonts w:hint="eastAsia"/>
              </w:rPr>
              <w:t>本项目位于</w:t>
            </w:r>
            <w:r>
              <w:rPr>
                <w:rFonts w:hint="eastAsia" w:cs="宋体"/>
                <w:szCs w:val="21"/>
              </w:rPr>
              <w:t>永州市新田县大坪塘镇龙溪村</w:t>
            </w:r>
            <w:r>
              <w:rPr>
                <w:rFonts w:hint="eastAsia"/>
              </w:rPr>
              <w:t>，不属于</w:t>
            </w:r>
            <w:r>
              <w:rPr>
                <w:rFonts w:hint="eastAsia"/>
                <w:bCs/>
                <w:snapToGrid w:val="0"/>
                <w:szCs w:val="21"/>
              </w:rPr>
              <w:t>《湖南省生态保护红线》（湘政发[2018]20号）</w:t>
            </w:r>
            <w:r>
              <w:rPr>
                <w:rFonts w:hint="eastAsia"/>
              </w:rPr>
              <w:t>中的重点生态功能区生态保护红线、生态敏感区生态保护红线、国家级和省级禁止开发区态保护红线、其他各类保护地生态保护红线，不会导致评价范围内生态服务功能下降。</w:t>
            </w:r>
          </w:p>
          <w:p>
            <w:pPr>
              <w:widowControl/>
              <w:adjustRightInd w:val="0"/>
              <w:snapToGrid w:val="0"/>
              <w:ind w:firstLine="480"/>
            </w:pPr>
            <w:r>
              <w:rPr>
                <w:rFonts w:hint="eastAsia"/>
              </w:rPr>
              <w:t>（2）环境质量底线</w:t>
            </w:r>
          </w:p>
          <w:p>
            <w:pPr>
              <w:widowControl/>
              <w:adjustRightInd w:val="0"/>
              <w:snapToGrid w:val="0"/>
              <w:ind w:firstLine="480"/>
            </w:pPr>
            <w:r>
              <w:rPr>
                <w:rFonts w:hint="eastAsia"/>
              </w:rPr>
              <w:t>根据永州市生态环境局发布的《关于2022年全市环境质量状况的通报》（永生环委办[2023]6号）。根据现状调查资料显示，项目所在地空气环境质量、地表水环境质量均较好，尚有一定的环境容量。项目产生的污染物经本环评提出的采取相应的防护措施后可做到达标排放，不会降低区域环境质量等级，对环境影响不大，符合环境质量底线要求。</w:t>
            </w:r>
          </w:p>
          <w:p>
            <w:pPr>
              <w:widowControl/>
              <w:adjustRightInd w:val="0"/>
              <w:snapToGrid w:val="0"/>
              <w:ind w:firstLine="480"/>
            </w:pPr>
            <w:r>
              <w:rPr>
                <w:rFonts w:hint="eastAsia"/>
              </w:rPr>
              <w:t>（3）资源利用上线</w:t>
            </w:r>
          </w:p>
          <w:p>
            <w:pPr>
              <w:widowControl/>
              <w:adjustRightInd w:val="0"/>
              <w:snapToGrid w:val="0"/>
              <w:ind w:firstLine="480"/>
            </w:pPr>
            <w:r>
              <w:rPr>
                <w:rFonts w:hint="eastAsia"/>
              </w:rPr>
              <w:t>本项目运营过程中消耗一定量的电力资源，项目采用较先进的技术装备，并注重节能减耗，资源能源利用率较高，项目不属于高耗能和资源消耗型，项目建设运营不会导致项目区域资源需求突破区域资源可利用量，因此，本项目的建设符合资源利用上线要求。</w:t>
            </w:r>
          </w:p>
          <w:p>
            <w:pPr>
              <w:widowControl/>
              <w:adjustRightInd w:val="0"/>
              <w:snapToGrid w:val="0"/>
              <w:ind w:firstLine="480"/>
            </w:pPr>
            <w:r>
              <w:rPr>
                <w:rFonts w:hint="eastAsia"/>
              </w:rPr>
              <w:t>（4）生态环境准入清单</w:t>
            </w:r>
          </w:p>
          <w:p>
            <w:pPr>
              <w:widowControl/>
              <w:adjustRightInd w:val="0"/>
              <w:snapToGrid w:val="0"/>
              <w:ind w:firstLine="480"/>
            </w:pPr>
            <w:r>
              <w:rPr>
                <w:rFonts w:hint="eastAsia"/>
              </w:rPr>
              <w:t>本项目位于</w:t>
            </w:r>
            <w:r>
              <w:rPr>
                <w:rFonts w:hint="eastAsia" w:cs="宋体"/>
                <w:szCs w:val="21"/>
              </w:rPr>
              <w:t>永州市新田县大坪塘镇龙溪村</w:t>
            </w:r>
            <w:r>
              <w:rPr>
                <w:rFonts w:hint="eastAsia"/>
              </w:rPr>
              <w:t>，符合《永州市人民政府关于实施“三线一单”生态环境分区管控的意见》（永政发[2020]11号）提出的环境准入条件。</w:t>
            </w:r>
          </w:p>
          <w:p>
            <w:pPr>
              <w:widowControl/>
              <w:adjustRightInd w:val="0"/>
              <w:snapToGrid w:val="0"/>
              <w:rPr>
                <w:b/>
                <w:bCs/>
                <w:szCs w:val="21"/>
              </w:rPr>
            </w:pPr>
            <w:r>
              <w:rPr>
                <w:rFonts w:hint="eastAsia"/>
                <w:b/>
                <w:bCs/>
                <w:szCs w:val="21"/>
              </w:rPr>
              <w:t>3、本项目与《永州市人民政府关于实施“三线一单”生态环境分区管控的意见》（永政发[2020]11号）符合性分析</w:t>
            </w:r>
          </w:p>
          <w:p>
            <w:pPr>
              <w:widowControl/>
              <w:adjustRightInd w:val="0"/>
              <w:snapToGrid w:val="0"/>
              <w:ind w:firstLine="480"/>
            </w:pPr>
            <w:r>
              <w:rPr>
                <w:rFonts w:hint="eastAsia"/>
              </w:rPr>
              <w:t>2020年12月28日，永州市人民政府发布了《永州市人民政府关于实施“三线一单”生态环境分区管控的意见》（永政发[2020]11号），对全市按行政区域实行生态环境分区管控。全市共划定82个环境管控单元，其中，优先保护单元30个，面积占比45.3%重点管控单元28个，面积占比11.7%，一般管控单元24个，面积占比43%。</w:t>
            </w:r>
          </w:p>
          <w:p>
            <w:pPr>
              <w:widowControl/>
              <w:adjustRightInd w:val="0"/>
              <w:snapToGrid w:val="0"/>
              <w:ind w:firstLine="480"/>
            </w:pPr>
            <w:r>
              <w:rPr>
                <w:rFonts w:hint="eastAsia"/>
              </w:rPr>
              <w:t>本项目位于</w:t>
            </w:r>
            <w:r>
              <w:rPr>
                <w:rFonts w:hint="eastAsia" w:cs="宋体"/>
                <w:szCs w:val="21"/>
              </w:rPr>
              <w:t>永州市新田县大坪塘镇龙溪村</w:t>
            </w:r>
            <w:r>
              <w:rPr>
                <w:rFonts w:hint="eastAsia"/>
              </w:rPr>
              <w:t>，为环境管控单元中的重点管控单元，项目与《永州市人民政府关于实施“三线一单”生态环境分区管控的意见》（永政发[2020]11号）符合性分析如下。</w:t>
            </w:r>
          </w:p>
          <w:p>
            <w:pPr>
              <w:spacing w:line="240" w:lineRule="auto"/>
              <w:jc w:val="center"/>
              <w:rPr>
                <w:rFonts w:hint="eastAsia"/>
                <w:b/>
                <w:sz w:val="18"/>
                <w:szCs w:val="18"/>
              </w:rPr>
            </w:pPr>
            <w:r>
              <w:rPr>
                <w:b/>
                <w:sz w:val="18"/>
                <w:szCs w:val="18"/>
              </w:rPr>
              <w:t xml:space="preserve">表1-1  </w:t>
            </w:r>
            <w:r>
              <w:rPr>
                <w:rFonts w:hint="eastAsia"/>
                <w:b/>
                <w:sz w:val="18"/>
                <w:szCs w:val="18"/>
                <w:lang w:val="en-US" w:eastAsia="zh-CN"/>
              </w:rPr>
              <w:t>项目与</w:t>
            </w:r>
            <w:r>
              <w:rPr>
                <w:rFonts w:hint="eastAsia"/>
                <w:b/>
                <w:sz w:val="18"/>
                <w:szCs w:val="18"/>
              </w:rPr>
              <w:t>《永州市人民政府关于实施“三线一单”生态环境分区管控的意见》</w:t>
            </w:r>
          </w:p>
          <w:p>
            <w:pPr>
              <w:spacing w:line="240" w:lineRule="auto"/>
              <w:jc w:val="center"/>
            </w:pPr>
            <w:r>
              <w:rPr>
                <w:rFonts w:hint="eastAsia"/>
                <w:b/>
                <w:sz w:val="18"/>
                <w:szCs w:val="18"/>
              </w:rPr>
              <w:t>（永政发[2020]11号）</w:t>
            </w:r>
            <w:r>
              <w:rPr>
                <w:b/>
                <w:sz w:val="18"/>
                <w:szCs w:val="18"/>
              </w:rPr>
              <w:t>符合性分析</w:t>
            </w:r>
          </w:p>
          <w:tbl>
            <w:tblPr>
              <w:tblStyle w:val="42"/>
              <w:tblW w:w="63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365"/>
              <w:gridCol w:w="939"/>
              <w:gridCol w:w="998"/>
              <w:gridCol w:w="1013"/>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0" w:type="dxa"/>
                  <w:gridSpan w:val="6"/>
                  <w:vAlign w:val="center"/>
                </w:tcPr>
                <w:p>
                  <w:pPr>
                    <w:spacing w:line="240" w:lineRule="auto"/>
                    <w:jc w:val="center"/>
                    <w:rPr>
                      <w:rFonts w:hint="default" w:eastAsia="宋体"/>
                      <w:b/>
                      <w:bCs/>
                      <w:sz w:val="21"/>
                      <w:lang w:val="en-US" w:eastAsia="zh-CN"/>
                    </w:rPr>
                  </w:pPr>
                  <w:r>
                    <w:rPr>
                      <w:rFonts w:hint="eastAsia"/>
                      <w:sz w:val="21"/>
                      <w:szCs w:val="21"/>
                    </w:rPr>
                    <w:t>（永政发[2020]11号）</w:t>
                  </w:r>
                  <w:r>
                    <w:rPr>
                      <w:rFonts w:hint="eastAsia"/>
                      <w:sz w:val="21"/>
                      <w:szCs w:val="21"/>
                      <w:lang w:val="en-US" w:eastAsia="zh-CN"/>
                    </w:rPr>
                    <w:t>中通用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keepNext w:val="0"/>
                    <w:keepLines w:val="0"/>
                    <w:pageBreakBefore w:val="0"/>
                    <w:widowControl w:val="0"/>
                    <w:kinsoku/>
                    <w:wordWrap/>
                    <w:overflowPunct/>
                    <w:topLinePunct w:val="0"/>
                    <w:autoSpaceDN/>
                    <w:bidi w:val="0"/>
                    <w:snapToGrid w:val="0"/>
                    <w:spacing w:line="240" w:lineRule="auto"/>
                    <w:textAlignment w:val="auto"/>
                    <w:rPr>
                      <w:b/>
                      <w:bCs/>
                      <w:sz w:val="21"/>
                      <w:u w:val="none" w:color="auto"/>
                    </w:rPr>
                  </w:pPr>
                  <w:r>
                    <w:rPr>
                      <w:rFonts w:hint="default" w:ascii="Times New Roman" w:hAnsi="Times New Roman" w:eastAsia="宋体" w:cs="Times New Roman"/>
                      <w:color w:val="000000"/>
                      <w:sz w:val="21"/>
                      <w:szCs w:val="21"/>
                      <w:u w:val="none" w:color="auto"/>
                    </w:rPr>
                    <w:t>空间布局约束</w:t>
                  </w:r>
                </w:p>
              </w:tc>
              <w:tc>
                <w:tcPr>
                  <w:tcW w:w="2304" w:type="dxa"/>
                  <w:gridSpan w:val="2"/>
                  <w:vAlign w:val="center"/>
                </w:tcPr>
                <w:p>
                  <w:pPr>
                    <w:keepNext w:val="0"/>
                    <w:keepLines w:val="0"/>
                    <w:pageBreakBefore w:val="0"/>
                    <w:widowControl w:val="0"/>
                    <w:kinsoku/>
                    <w:wordWrap/>
                    <w:overflowPunct/>
                    <w:topLinePunct w:val="0"/>
                    <w:autoSpaceDE w:val="0"/>
                    <w:autoSpaceDN/>
                    <w:bidi w:val="0"/>
                    <w:adjustRightInd w:val="0"/>
                    <w:snapToGrid w:val="0"/>
                    <w:spacing w:line="240" w:lineRule="auto"/>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（1.1）产业准入应符合“新田县产业准入负面清单”的规定。</w:t>
                  </w:r>
                </w:p>
                <w:p>
                  <w:pPr>
                    <w:keepNext w:val="0"/>
                    <w:keepLines w:val="0"/>
                    <w:pageBreakBefore w:val="0"/>
                    <w:widowControl w:val="0"/>
                    <w:kinsoku/>
                    <w:wordWrap/>
                    <w:overflowPunct/>
                    <w:topLinePunct w:val="0"/>
                    <w:autoSpaceDE w:val="0"/>
                    <w:autoSpaceDN/>
                    <w:bidi w:val="0"/>
                    <w:adjustRightInd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（1.2）畜禽养殖产业布局应符合《湖南省新田县畜禽规模养殖“三区”划定方案》。</w:t>
                  </w:r>
                </w:p>
              </w:tc>
              <w:tc>
                <w:tcPr>
                  <w:tcW w:w="2795" w:type="dxa"/>
                  <w:gridSpan w:val="3"/>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本项目为</w:t>
                  </w:r>
                  <w:r>
                    <w:rPr>
                      <w:rFonts w:hint="eastAsia" w:ascii="Times New Roman" w:hAnsi="Times New Roman" w:eastAsia="宋体" w:cs="Times New Roman"/>
                      <w:color w:val="000000"/>
                      <w:sz w:val="21"/>
                      <w:szCs w:val="21"/>
                      <w:u w:val="none" w:color="auto"/>
                      <w:lang w:val="en-US" w:eastAsia="zh-CN"/>
                    </w:rPr>
                    <w:t>内陆养殖行业</w:t>
                  </w:r>
                  <w:r>
                    <w:rPr>
                      <w:rFonts w:hint="default" w:ascii="Times New Roman" w:hAnsi="Times New Roman" w:eastAsia="宋体" w:cs="Times New Roman"/>
                      <w:color w:val="000000"/>
                      <w:sz w:val="21"/>
                      <w:szCs w:val="21"/>
                      <w:u w:val="none" w:color="auto"/>
                    </w:rPr>
                    <w:t>，</w:t>
                  </w:r>
                  <w:r>
                    <w:rPr>
                      <w:rFonts w:hint="default" w:ascii="Times New Roman" w:hAnsi="Times New Roman" w:eastAsia="宋体" w:cs="Times New Roman"/>
                      <w:color w:val="000000"/>
                      <w:sz w:val="21"/>
                      <w:szCs w:val="21"/>
                      <w:u w:val="none" w:color="auto"/>
                      <w:lang w:val="en-US" w:eastAsia="zh-CN"/>
                    </w:rPr>
                    <w:t>未纳入“</w:t>
                  </w:r>
                  <w:r>
                    <w:rPr>
                      <w:rFonts w:hint="default" w:ascii="Times New Roman" w:hAnsi="Times New Roman" w:eastAsia="宋体" w:cs="Times New Roman"/>
                      <w:color w:val="000000"/>
                      <w:sz w:val="21"/>
                      <w:szCs w:val="21"/>
                      <w:u w:val="none" w:color="auto"/>
                    </w:rPr>
                    <w:t>新田县产业准入负面清单”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keepNext w:val="0"/>
                    <w:keepLines w:val="0"/>
                    <w:pageBreakBefore w:val="0"/>
                    <w:widowControl w:val="0"/>
                    <w:kinsoku/>
                    <w:wordWrap/>
                    <w:overflowPunct/>
                    <w:topLinePunct w:val="0"/>
                    <w:autoSpaceDN/>
                    <w:bidi w:val="0"/>
                    <w:snapToGrid w:val="0"/>
                    <w:spacing w:line="240" w:lineRule="auto"/>
                    <w:textAlignment w:val="auto"/>
                    <w:rPr>
                      <w:b/>
                      <w:bCs/>
                      <w:sz w:val="21"/>
                      <w:u w:val="none" w:color="auto"/>
                    </w:rPr>
                  </w:pPr>
                  <w:r>
                    <w:rPr>
                      <w:rFonts w:hint="default" w:ascii="Times New Roman" w:hAnsi="Times New Roman" w:eastAsia="宋体" w:cs="Times New Roman"/>
                      <w:color w:val="000000"/>
                      <w:sz w:val="21"/>
                      <w:szCs w:val="21"/>
                      <w:u w:val="none" w:color="auto"/>
                    </w:rPr>
                    <w:t>污染物排放管控</w:t>
                  </w:r>
                </w:p>
              </w:tc>
              <w:tc>
                <w:tcPr>
                  <w:tcW w:w="2304" w:type="dxa"/>
                  <w:gridSpan w:val="2"/>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default" w:ascii="Times New Roman" w:hAnsi="Times New Roman" w:eastAsia="宋体" w:cs="Times New Roman"/>
                      <w:color w:val="000000"/>
                      <w:sz w:val="21"/>
                      <w:szCs w:val="21"/>
                      <w:u w:val="none" w:color="auto"/>
                    </w:rPr>
                  </w:pPr>
                  <w:r>
                    <w:rPr>
                      <w:rFonts w:hint="default" w:ascii="Times New Roman" w:hAnsi="Times New Roman" w:eastAsia="宋体" w:cs="Times New Roman"/>
                      <w:color w:val="000000"/>
                      <w:sz w:val="21"/>
                      <w:szCs w:val="21"/>
                      <w:u w:val="none" w:color="auto"/>
                    </w:rPr>
                    <w:t>（2.1）有关行业新建项目必须执行《新田县环境突出问题集中整治重点行业操作规范》（试行），现有项目必须在规定期限内达到《规范》要求，否则自行淘汰退出。</w:t>
                  </w:r>
                </w:p>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（2.2）统筹推进生活垃圾和农业生产废弃物利用、处理，推行垃圾就地分类减量和资源化利用，实现“户分类、村收集、镇转运、县处理”垃圾处理模式。禁止露天焚烧秸秆。</w:t>
                  </w:r>
                </w:p>
              </w:tc>
              <w:tc>
                <w:tcPr>
                  <w:tcW w:w="2795" w:type="dxa"/>
                  <w:gridSpan w:val="3"/>
                  <w:vAlign w:val="center"/>
                </w:tcPr>
                <w:p>
                  <w:pPr>
                    <w:keepNext w:val="0"/>
                    <w:keepLines w:val="0"/>
                    <w:pageBreakBefore w:val="0"/>
                    <w:widowControl w:val="0"/>
                    <w:kinsoku/>
                    <w:wordWrap/>
                    <w:overflowPunct/>
                    <w:topLinePunct w:val="0"/>
                    <w:autoSpaceDN/>
                    <w:bidi w:val="0"/>
                    <w:snapToGrid w:val="0"/>
                    <w:spacing w:line="240" w:lineRule="auto"/>
                    <w:jc w:val="center"/>
                    <w:textAlignment w:val="auto"/>
                    <w:rPr>
                      <w:rFonts w:hint="eastAsia"/>
                      <w:b/>
                      <w:bCs/>
                      <w:sz w:val="21"/>
                      <w:u w:val="none" w:color="auto"/>
                    </w:rPr>
                  </w:pPr>
                  <w:r>
                    <w:rPr>
                      <w:rFonts w:hint="default" w:ascii="Times New Roman" w:hAnsi="Times New Roman" w:eastAsia="宋体" w:cs="Times New Roman"/>
                      <w:color w:val="000000"/>
                      <w:sz w:val="21"/>
                      <w:szCs w:val="21"/>
                      <w:u w:val="none" w:color="auto"/>
                      <w:lang w:val="en-US" w:eastAsia="zh-CN"/>
                    </w:rPr>
                    <w:t>本项目属于项目为</w:t>
                  </w:r>
                  <w:r>
                    <w:rPr>
                      <w:rFonts w:hint="eastAsia" w:ascii="Times New Roman" w:hAnsi="Times New Roman" w:eastAsia="宋体" w:cs="Times New Roman"/>
                      <w:color w:val="000000"/>
                      <w:sz w:val="21"/>
                      <w:szCs w:val="21"/>
                      <w:u w:val="none" w:color="auto"/>
                      <w:lang w:val="en-US" w:eastAsia="zh-CN"/>
                    </w:rPr>
                    <w:t>内陆养殖行</w:t>
                  </w:r>
                  <w:r>
                    <w:rPr>
                      <w:rFonts w:hint="default" w:ascii="Times New Roman" w:hAnsi="Times New Roman" w:eastAsia="宋体" w:cs="Times New Roman"/>
                      <w:color w:val="000000"/>
                      <w:sz w:val="21"/>
                      <w:szCs w:val="21"/>
                      <w:u w:val="none" w:color="auto"/>
                      <w:lang w:val="en-US" w:eastAsia="zh-CN"/>
                    </w:rPr>
                    <w:t>，不涉及危险化学品生产、储存等</w:t>
                  </w:r>
                  <w:r>
                    <w:rPr>
                      <w:rFonts w:hint="eastAsia" w:ascii="Times New Roman" w:hAnsi="Times New Roman" w:eastAsia="宋体" w:cs="Times New Roman"/>
                      <w:color w:val="000000"/>
                      <w:sz w:val="21"/>
                      <w:szCs w:val="21"/>
                      <w:u w:val="none" w:color="auto"/>
                      <w:lang w:val="en-US" w:eastAsia="zh-CN"/>
                    </w:rPr>
                    <w:t>。</w:t>
                  </w:r>
                  <w:r>
                    <w:rPr>
                      <w:rFonts w:hint="default" w:ascii="Times New Roman" w:hAnsi="Times New Roman" w:eastAsia="宋体" w:cs="Times New Roman"/>
                      <w:color w:val="000000"/>
                      <w:sz w:val="21"/>
                      <w:szCs w:val="21"/>
                      <w:u w:val="none" w:color="auto"/>
                      <w:lang w:val="en-US" w:eastAsia="zh-CN"/>
                    </w:rPr>
                    <w:t>企业治污能够满足环保要求</w:t>
                  </w:r>
                  <w:r>
                    <w:rPr>
                      <w:rFonts w:hint="eastAsia" w:ascii="Times New Roman" w:hAnsi="Times New Roman" w:eastAsia="宋体" w:cs="Times New Roman"/>
                      <w:color w:val="000000"/>
                      <w:sz w:val="21"/>
                      <w:szCs w:val="21"/>
                      <w:u w:val="none" w:color="auto"/>
                      <w:lang w:val="en-US" w:eastAsia="zh-CN"/>
                    </w:rPr>
                    <w:t>，本</w:t>
                  </w:r>
                  <w:r>
                    <w:rPr>
                      <w:rFonts w:hint="default" w:ascii="Times New Roman" w:hAnsi="Times New Roman" w:eastAsia="宋体" w:cs="Times New Roman"/>
                      <w:color w:val="000000"/>
                      <w:sz w:val="21"/>
                      <w:szCs w:val="21"/>
                      <w:u w:val="none" w:color="auto"/>
                      <w:lang w:val="en-US" w:eastAsia="zh-CN"/>
                    </w:rPr>
                    <w:t>工程拟严格参照</w:t>
                  </w:r>
                  <w:r>
                    <w:rPr>
                      <w:rFonts w:hint="default" w:ascii="Times New Roman" w:hAnsi="Times New Roman" w:eastAsia="宋体" w:cs="Times New Roman"/>
                      <w:color w:val="000000"/>
                      <w:sz w:val="21"/>
                      <w:szCs w:val="21"/>
                      <w:u w:val="none" w:color="auto"/>
                    </w:rPr>
                    <w:t>《规范》</w:t>
                  </w:r>
                  <w:r>
                    <w:rPr>
                      <w:rFonts w:hint="default" w:ascii="Times New Roman" w:hAnsi="Times New Roman" w:eastAsia="宋体" w:cs="Times New Roman"/>
                      <w:color w:val="000000"/>
                      <w:sz w:val="21"/>
                      <w:szCs w:val="21"/>
                      <w:u w:val="none" w:color="auto"/>
                      <w:lang w:val="en-US" w:eastAsia="zh-CN"/>
                    </w:rPr>
                    <w:t>要求执行；项目产生的生活垃圾经垃圾桶收集后，全部送至村垃圾站暂存，交由环卫部门清运处置。</w:t>
                  </w:r>
                  <w:r>
                    <w:rPr>
                      <w:rFonts w:hint="eastAsia" w:ascii="Times New Roman" w:hAnsi="Times New Roman" w:eastAsia="宋体" w:cs="Times New Roman"/>
                      <w:color w:val="000000"/>
                      <w:sz w:val="21"/>
                      <w:szCs w:val="21"/>
                      <w:u w:val="none" w:color="auto"/>
                      <w:lang w:val="en-US" w:eastAsia="zh-CN"/>
                    </w:rPr>
                    <w:t>项目一般固废均能得到妥善处置，</w:t>
                  </w:r>
                  <w:r>
                    <w:rPr>
                      <w:rFonts w:hint="default" w:ascii="Times New Roman" w:hAnsi="Times New Roman" w:eastAsia="宋体" w:cs="Times New Roman"/>
                      <w:color w:val="000000"/>
                      <w:sz w:val="21"/>
                      <w:szCs w:val="21"/>
                      <w:u w:val="none" w:color="auto"/>
                      <w:lang w:val="en-US" w:eastAsia="zh-CN"/>
                    </w:rPr>
                    <w:t>其他均不涉及</w:t>
                  </w:r>
                  <w:r>
                    <w:rPr>
                      <w:rFonts w:hint="eastAsia" w:ascii="Times New Roman" w:hAnsi="Times New Roman" w:eastAsia="宋体" w:cs="Times New Roman"/>
                      <w:color w:val="000000"/>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keepNext w:val="0"/>
                    <w:keepLines w:val="0"/>
                    <w:pageBreakBefore w:val="0"/>
                    <w:widowControl w:val="0"/>
                    <w:kinsoku/>
                    <w:wordWrap/>
                    <w:overflowPunct/>
                    <w:topLinePunct w:val="0"/>
                    <w:autoSpaceDN/>
                    <w:bidi w:val="0"/>
                    <w:snapToGrid w:val="0"/>
                    <w:spacing w:line="240" w:lineRule="auto"/>
                    <w:textAlignment w:val="auto"/>
                    <w:rPr>
                      <w:b/>
                      <w:bCs/>
                      <w:sz w:val="21"/>
                      <w:u w:val="none" w:color="auto"/>
                    </w:rPr>
                  </w:pPr>
                  <w:r>
                    <w:rPr>
                      <w:rFonts w:hint="default" w:ascii="Times New Roman" w:hAnsi="Times New Roman" w:eastAsia="宋体" w:cs="Times New Roman"/>
                      <w:color w:val="000000"/>
                      <w:kern w:val="0"/>
                      <w:sz w:val="21"/>
                      <w:szCs w:val="21"/>
                      <w:u w:val="none" w:color="auto"/>
                    </w:rPr>
                    <w:t>环境风险防控</w:t>
                  </w:r>
                </w:p>
              </w:tc>
              <w:tc>
                <w:tcPr>
                  <w:tcW w:w="2304" w:type="dxa"/>
                  <w:gridSpan w:val="2"/>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（3.1）执行湖南省总体要求、永州市基本要求中与环境风险防控有关的规定。</w:t>
                  </w:r>
                </w:p>
              </w:tc>
              <w:tc>
                <w:tcPr>
                  <w:tcW w:w="2795" w:type="dxa"/>
                  <w:gridSpan w:val="3"/>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严格按照防控要求执行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keepNext w:val="0"/>
                    <w:keepLines w:val="0"/>
                    <w:pageBreakBefore w:val="0"/>
                    <w:widowControl w:val="0"/>
                    <w:kinsoku/>
                    <w:wordWrap/>
                    <w:overflowPunct/>
                    <w:topLinePunct w:val="0"/>
                    <w:autoSpaceDN/>
                    <w:bidi w:val="0"/>
                    <w:snapToGrid w:val="0"/>
                    <w:spacing w:line="240" w:lineRule="auto"/>
                    <w:textAlignment w:val="auto"/>
                    <w:rPr>
                      <w:b/>
                      <w:bCs/>
                      <w:sz w:val="21"/>
                      <w:u w:val="none" w:color="auto"/>
                    </w:rPr>
                  </w:pPr>
                  <w:r>
                    <w:rPr>
                      <w:rFonts w:hint="default" w:ascii="Times New Roman" w:hAnsi="Times New Roman" w:eastAsia="宋体" w:cs="Times New Roman"/>
                      <w:color w:val="000000"/>
                      <w:sz w:val="21"/>
                      <w:szCs w:val="21"/>
                      <w:u w:val="none" w:color="auto"/>
                    </w:rPr>
                    <w:t>资源开发效率要求</w:t>
                  </w:r>
                </w:p>
              </w:tc>
              <w:tc>
                <w:tcPr>
                  <w:tcW w:w="2304" w:type="dxa"/>
                  <w:gridSpan w:val="2"/>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（4.1）执行湖南省总体要求、永州市基本要求中与资源开发有关的规定。</w:t>
                  </w:r>
                </w:p>
              </w:tc>
              <w:tc>
                <w:tcPr>
                  <w:tcW w:w="2795" w:type="dxa"/>
                  <w:gridSpan w:val="3"/>
                  <w:vAlign w:val="center"/>
                </w:tcPr>
                <w:p>
                  <w:pPr>
                    <w:keepNext w:val="0"/>
                    <w:keepLines w:val="0"/>
                    <w:pageBreakBefore w:val="0"/>
                    <w:widowControl w:val="0"/>
                    <w:kinsoku/>
                    <w:wordWrap/>
                    <w:overflowPunct/>
                    <w:topLinePunct w:val="0"/>
                    <w:autoSpaceDN/>
                    <w:bidi w:val="0"/>
                    <w:snapToGrid w:val="0"/>
                    <w:spacing w:line="240" w:lineRule="auto"/>
                    <w:textAlignment w:val="auto"/>
                    <w:rPr>
                      <w:rFonts w:hint="eastAsia"/>
                      <w:b/>
                      <w:bCs/>
                      <w:sz w:val="21"/>
                      <w:u w:val="none" w:color="auto"/>
                    </w:rPr>
                  </w:pPr>
                  <w:r>
                    <w:rPr>
                      <w:rFonts w:hint="default" w:ascii="Times New Roman" w:hAnsi="Times New Roman" w:eastAsia="宋体" w:cs="Times New Roman"/>
                      <w:color w:val="000000"/>
                      <w:sz w:val="21"/>
                      <w:szCs w:val="21"/>
                      <w:u w:val="none" w:color="auto"/>
                    </w:rPr>
                    <w:t>本项目不涉及锅炉供热。</w:t>
                  </w:r>
                  <w:r>
                    <w:rPr>
                      <w:rFonts w:hint="default" w:ascii="Times New Roman" w:hAnsi="Times New Roman" w:eastAsia="宋体" w:cs="Times New Roman"/>
                      <w:color w:val="000000"/>
                      <w:sz w:val="21"/>
                      <w:szCs w:val="21"/>
                      <w:u w:val="none" w:color="auto"/>
                      <w:lang w:val="en-US" w:eastAsia="zh-CN"/>
                    </w:rPr>
                    <w:t>生产日常涉及的资源主要为水资源和电力资源，项目优先选型节能环保型设备，同时加强日常维护保养，保证设备效率；同时项目</w:t>
                  </w:r>
                  <w:r>
                    <w:rPr>
                      <w:rFonts w:hint="eastAsia" w:ascii="Times New Roman" w:hAnsi="Times New Roman" w:eastAsia="宋体" w:cs="Times New Roman"/>
                      <w:color w:val="000000"/>
                      <w:sz w:val="21"/>
                      <w:szCs w:val="21"/>
                      <w:u w:val="none" w:color="auto"/>
                      <w:lang w:val="en-US" w:eastAsia="zh-CN"/>
                    </w:rPr>
                    <w:t>养殖</w:t>
                  </w:r>
                  <w:r>
                    <w:rPr>
                      <w:rFonts w:hint="default" w:ascii="Times New Roman" w:hAnsi="Times New Roman" w:eastAsia="宋体" w:cs="Times New Roman"/>
                      <w:color w:val="000000"/>
                      <w:sz w:val="21"/>
                      <w:szCs w:val="21"/>
                      <w:u w:val="none" w:color="auto"/>
                      <w:lang w:val="en-US" w:eastAsia="zh-CN"/>
                    </w:rPr>
                    <w:t>过程产生的废水</w:t>
                  </w:r>
                  <w:r>
                    <w:rPr>
                      <w:rFonts w:hint="eastAsia" w:cs="Times New Roman"/>
                      <w:color w:val="000000"/>
                      <w:sz w:val="21"/>
                      <w:szCs w:val="21"/>
                      <w:u w:val="none" w:color="auto"/>
                      <w:lang w:val="en-US" w:eastAsia="zh-CN"/>
                    </w:rPr>
                    <w:t>经（三级过滤沉淀池+一体化污水处理设备+清水池）处理后不外排，一部分回用于生产</w:t>
                  </w:r>
                  <w:r>
                    <w:rPr>
                      <w:rFonts w:hint="eastAsia" w:ascii="Times New Roman" w:hAnsi="Times New Roman" w:eastAsia="宋体" w:cs="Times New Roman"/>
                      <w:color w:val="000000"/>
                      <w:sz w:val="21"/>
                      <w:szCs w:val="21"/>
                      <w:u w:val="none" w:color="auto"/>
                      <w:lang w:val="en-US" w:eastAsia="zh-CN"/>
                    </w:rPr>
                    <w:t>，</w:t>
                  </w:r>
                  <w:r>
                    <w:rPr>
                      <w:rFonts w:hint="eastAsia" w:cs="Times New Roman"/>
                      <w:color w:val="000000"/>
                      <w:sz w:val="21"/>
                      <w:szCs w:val="21"/>
                      <w:u w:val="none" w:color="auto"/>
                      <w:lang w:val="en-US" w:eastAsia="zh-CN"/>
                    </w:rPr>
                    <w:t>一部分用作周边农林果木灌溉。</w:t>
                  </w:r>
                  <w:r>
                    <w:rPr>
                      <w:rFonts w:hint="default" w:ascii="Times New Roman" w:hAnsi="Times New Roman" w:eastAsia="宋体" w:cs="Times New Roman"/>
                      <w:color w:val="000000"/>
                      <w:sz w:val="21"/>
                      <w:szCs w:val="21"/>
                      <w:u w:val="none" w:color="auto"/>
                    </w:rPr>
                    <w:t>满足资源开发效率要求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0" w:type="dxa"/>
                  <w:gridSpan w:val="6"/>
                  <w:vAlign w:val="center"/>
                </w:tcPr>
                <w:p>
                  <w:pPr>
                    <w:spacing w:line="240" w:lineRule="auto"/>
                    <w:jc w:val="center"/>
                    <w:rPr>
                      <w:rFonts w:hint="eastAsia"/>
                      <w:b/>
                      <w:bCs/>
                      <w:sz w:val="21"/>
                    </w:rPr>
                  </w:pPr>
                  <w:r>
                    <w:rPr>
                      <w:rFonts w:hint="eastAsia"/>
                      <w:sz w:val="21"/>
                      <w:lang w:val="en-US" w:eastAsia="zh-CN"/>
                    </w:rPr>
                    <w:t>新田县</w:t>
                  </w:r>
                  <w:r>
                    <w:rPr>
                      <w:rFonts w:hint="eastAsia"/>
                      <w:sz w:val="21"/>
                    </w:rPr>
                    <w:t>ZH43112820001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jc w:val="center"/>
                    <w:rPr>
                      <w:b/>
                      <w:bCs/>
                      <w:sz w:val="21"/>
                    </w:rPr>
                  </w:pPr>
                  <w:r>
                    <w:rPr>
                      <w:b/>
                      <w:bCs/>
                      <w:sz w:val="21"/>
                    </w:rPr>
                    <w:t>环境管控单元编码</w:t>
                  </w:r>
                </w:p>
              </w:tc>
              <w:tc>
                <w:tcPr>
                  <w:tcW w:w="1365" w:type="dxa"/>
                  <w:vAlign w:val="center"/>
                </w:tcPr>
                <w:p>
                  <w:pPr>
                    <w:spacing w:line="240" w:lineRule="auto"/>
                    <w:jc w:val="center"/>
                    <w:rPr>
                      <w:b/>
                      <w:bCs/>
                      <w:sz w:val="21"/>
                    </w:rPr>
                  </w:pPr>
                  <w:r>
                    <w:rPr>
                      <w:b/>
                      <w:bCs/>
                      <w:sz w:val="21"/>
                    </w:rPr>
                    <w:t>单元名称</w:t>
                  </w:r>
                </w:p>
              </w:tc>
              <w:tc>
                <w:tcPr>
                  <w:tcW w:w="939" w:type="dxa"/>
                  <w:vAlign w:val="center"/>
                </w:tcPr>
                <w:p>
                  <w:pPr>
                    <w:spacing w:line="240" w:lineRule="auto"/>
                    <w:jc w:val="center"/>
                    <w:rPr>
                      <w:b/>
                      <w:bCs/>
                      <w:sz w:val="21"/>
                    </w:rPr>
                  </w:pPr>
                  <w:r>
                    <w:rPr>
                      <w:rFonts w:hint="eastAsia"/>
                      <w:b/>
                      <w:bCs/>
                      <w:sz w:val="21"/>
                    </w:rPr>
                    <w:t>单元分类</w:t>
                  </w:r>
                </w:p>
              </w:tc>
              <w:tc>
                <w:tcPr>
                  <w:tcW w:w="998" w:type="dxa"/>
                  <w:vAlign w:val="center"/>
                </w:tcPr>
                <w:p>
                  <w:pPr>
                    <w:spacing w:line="240" w:lineRule="auto"/>
                    <w:jc w:val="center"/>
                    <w:rPr>
                      <w:b/>
                      <w:bCs/>
                      <w:sz w:val="21"/>
                    </w:rPr>
                  </w:pPr>
                  <w:r>
                    <w:rPr>
                      <w:rFonts w:hint="eastAsia"/>
                      <w:b/>
                      <w:bCs/>
                      <w:sz w:val="21"/>
                    </w:rPr>
                    <w:t>单元面积</w:t>
                  </w:r>
                </w:p>
                <w:p>
                  <w:pPr>
                    <w:spacing w:line="240" w:lineRule="auto"/>
                    <w:jc w:val="center"/>
                    <w:rPr>
                      <w:b/>
                      <w:bCs/>
                      <w:sz w:val="21"/>
                    </w:rPr>
                  </w:pPr>
                  <w:r>
                    <w:rPr>
                      <w:rFonts w:hint="eastAsia"/>
                      <w:b/>
                      <w:bCs/>
                      <w:sz w:val="21"/>
                    </w:rPr>
                    <w:t>（</w:t>
                  </w:r>
                  <w:r>
                    <w:rPr>
                      <w:b/>
                      <w:bCs/>
                      <w:sz w:val="21"/>
                    </w:rPr>
                    <w:t>km</w:t>
                  </w:r>
                  <w:r>
                    <w:rPr>
                      <w:b/>
                      <w:bCs/>
                      <w:sz w:val="21"/>
                      <w:vertAlign w:val="superscript"/>
                    </w:rPr>
                    <w:t>2</w:t>
                  </w:r>
                  <w:r>
                    <w:rPr>
                      <w:rFonts w:hint="eastAsia"/>
                      <w:b/>
                      <w:bCs/>
                      <w:sz w:val="21"/>
                    </w:rPr>
                    <w:t>）</w:t>
                  </w:r>
                </w:p>
              </w:tc>
              <w:tc>
                <w:tcPr>
                  <w:tcW w:w="1013" w:type="dxa"/>
                  <w:vAlign w:val="center"/>
                </w:tcPr>
                <w:p>
                  <w:pPr>
                    <w:spacing w:line="240" w:lineRule="auto"/>
                    <w:jc w:val="center"/>
                    <w:rPr>
                      <w:b/>
                      <w:bCs/>
                      <w:sz w:val="21"/>
                    </w:rPr>
                  </w:pPr>
                  <w:r>
                    <w:rPr>
                      <w:rFonts w:hint="eastAsia"/>
                      <w:b/>
                      <w:bCs/>
                      <w:sz w:val="21"/>
                    </w:rPr>
                    <w:t>涉及乡镇</w:t>
                  </w:r>
                </w:p>
                <w:p>
                  <w:pPr>
                    <w:spacing w:line="240" w:lineRule="auto"/>
                    <w:jc w:val="center"/>
                    <w:rPr>
                      <w:b/>
                      <w:bCs/>
                      <w:sz w:val="21"/>
                    </w:rPr>
                  </w:pPr>
                  <w:r>
                    <w:rPr>
                      <w:rFonts w:hint="eastAsia"/>
                      <w:b/>
                      <w:bCs/>
                      <w:sz w:val="21"/>
                    </w:rPr>
                    <w:t>（街道）</w:t>
                  </w:r>
                </w:p>
              </w:tc>
              <w:tc>
                <w:tcPr>
                  <w:tcW w:w="784" w:type="dxa"/>
                  <w:vAlign w:val="center"/>
                </w:tcPr>
                <w:p>
                  <w:pPr>
                    <w:spacing w:line="240" w:lineRule="auto"/>
                    <w:jc w:val="center"/>
                    <w:rPr>
                      <w:b/>
                      <w:bCs/>
                      <w:sz w:val="21"/>
                    </w:rPr>
                  </w:pPr>
                  <w:r>
                    <w:rPr>
                      <w:rFonts w:hint="eastAsia"/>
                      <w:b/>
                      <w:bCs/>
                      <w:sz w:val="21"/>
                    </w:rPr>
                    <w:t>区域主体功能定位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rPr>
                      <w:sz w:val="21"/>
                    </w:rPr>
                  </w:pPr>
                  <w:r>
                    <w:rPr>
                      <w:rFonts w:hint="eastAsia"/>
                      <w:sz w:val="21"/>
                    </w:rPr>
                    <w:t>ZH43112820001</w:t>
                  </w:r>
                </w:p>
              </w:tc>
              <w:tc>
                <w:tcPr>
                  <w:tcW w:w="1365" w:type="dxa"/>
                  <w:vAlign w:val="center"/>
                </w:tcPr>
                <w:p>
                  <w:pPr>
                    <w:spacing w:line="240" w:lineRule="auto"/>
                    <w:jc w:val="center"/>
                    <w:rPr>
                      <w:sz w:val="21"/>
                    </w:rPr>
                  </w:pPr>
                  <w:r>
                    <w:rPr>
                      <w:rFonts w:hint="eastAsia"/>
                      <w:sz w:val="21"/>
                    </w:rPr>
                    <w:t>大坪塘镇</w:t>
                  </w:r>
                </w:p>
              </w:tc>
              <w:tc>
                <w:tcPr>
                  <w:tcW w:w="939" w:type="dxa"/>
                  <w:vAlign w:val="center"/>
                </w:tcPr>
                <w:p>
                  <w:pPr>
                    <w:spacing w:line="240" w:lineRule="auto"/>
                    <w:jc w:val="center"/>
                    <w:rPr>
                      <w:sz w:val="21"/>
                    </w:rPr>
                  </w:pPr>
                  <w:r>
                    <w:rPr>
                      <w:rFonts w:hint="eastAsia"/>
                      <w:sz w:val="21"/>
                    </w:rPr>
                    <w:t>重点管控单元</w:t>
                  </w:r>
                </w:p>
              </w:tc>
              <w:tc>
                <w:tcPr>
                  <w:tcW w:w="998" w:type="dxa"/>
                  <w:vAlign w:val="center"/>
                </w:tcPr>
                <w:p>
                  <w:pPr>
                    <w:spacing w:line="240" w:lineRule="auto"/>
                    <w:jc w:val="center"/>
                    <w:rPr>
                      <w:sz w:val="21"/>
                    </w:rPr>
                  </w:pPr>
                  <w:r>
                    <w:rPr>
                      <w:rFonts w:hint="eastAsia"/>
                      <w:sz w:val="21"/>
                    </w:rPr>
                    <w:t>77.31</w:t>
                  </w:r>
                </w:p>
              </w:tc>
              <w:tc>
                <w:tcPr>
                  <w:tcW w:w="1013" w:type="dxa"/>
                  <w:vAlign w:val="center"/>
                </w:tcPr>
                <w:p>
                  <w:pPr>
                    <w:spacing w:line="240" w:lineRule="auto"/>
                    <w:jc w:val="center"/>
                    <w:rPr>
                      <w:sz w:val="21"/>
                    </w:rPr>
                  </w:pPr>
                  <w:r>
                    <w:rPr>
                      <w:rFonts w:hint="eastAsia"/>
                      <w:sz w:val="21"/>
                    </w:rPr>
                    <w:t>大坪塘镇</w:t>
                  </w:r>
                </w:p>
              </w:tc>
              <w:tc>
                <w:tcPr>
                  <w:tcW w:w="784" w:type="dxa"/>
                  <w:vAlign w:val="center"/>
                </w:tcPr>
                <w:p>
                  <w:pPr>
                    <w:spacing w:line="240" w:lineRule="auto"/>
                    <w:jc w:val="center"/>
                    <w:rPr>
                      <w:sz w:val="21"/>
                    </w:rPr>
                  </w:pPr>
                  <w:r>
                    <w:rPr>
                      <w:rFonts w:hint="eastAsia"/>
                      <w:sz w:val="21"/>
                    </w:rPr>
                    <w:t>国家重点生态功能区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jc w:val="center"/>
                    <w:rPr>
                      <w:sz w:val="21"/>
                    </w:rPr>
                  </w:pPr>
                  <w:r>
                    <w:rPr>
                      <w:sz w:val="21"/>
                    </w:rPr>
                    <w:t>主导产业</w:t>
                  </w:r>
                </w:p>
              </w:tc>
              <w:tc>
                <w:tcPr>
                  <w:tcW w:w="5099" w:type="dxa"/>
                  <w:gridSpan w:val="5"/>
                  <w:vAlign w:val="center"/>
                </w:tcPr>
                <w:p>
                  <w:pPr>
                    <w:spacing w:line="240" w:lineRule="auto"/>
                    <w:jc w:val="center"/>
                    <w:rPr>
                      <w:sz w:val="21"/>
                    </w:rPr>
                  </w:pPr>
                  <w:r>
                    <w:rPr>
                      <w:rFonts w:hint="eastAsia"/>
                      <w:sz w:val="21"/>
                    </w:rPr>
                    <w:t>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jc w:val="center"/>
                    <w:rPr>
                      <w:b/>
                      <w:bCs/>
                      <w:sz w:val="21"/>
                    </w:rPr>
                  </w:pPr>
                  <w:r>
                    <w:rPr>
                      <w:rFonts w:hint="eastAsia"/>
                      <w:b/>
                      <w:bCs/>
                      <w:sz w:val="21"/>
                    </w:rPr>
                    <w:t>管控维度</w:t>
                  </w:r>
                </w:p>
              </w:tc>
              <w:tc>
                <w:tcPr>
                  <w:tcW w:w="2304" w:type="dxa"/>
                  <w:gridSpan w:val="2"/>
                  <w:vAlign w:val="center"/>
                </w:tcPr>
                <w:p>
                  <w:pPr>
                    <w:spacing w:line="240" w:lineRule="auto"/>
                    <w:jc w:val="center"/>
                    <w:rPr>
                      <w:b/>
                      <w:bCs/>
                      <w:sz w:val="21"/>
                    </w:rPr>
                  </w:pPr>
                  <w:r>
                    <w:rPr>
                      <w:rFonts w:hint="eastAsia"/>
                      <w:b/>
                      <w:bCs/>
                      <w:sz w:val="21"/>
                    </w:rPr>
                    <w:t>管控要求</w:t>
                  </w:r>
                </w:p>
              </w:tc>
              <w:tc>
                <w:tcPr>
                  <w:tcW w:w="2011" w:type="dxa"/>
                  <w:gridSpan w:val="2"/>
                  <w:vAlign w:val="center"/>
                </w:tcPr>
                <w:p>
                  <w:pPr>
                    <w:spacing w:line="240" w:lineRule="auto"/>
                    <w:jc w:val="center"/>
                    <w:rPr>
                      <w:b/>
                      <w:bCs/>
                      <w:sz w:val="21"/>
                    </w:rPr>
                  </w:pPr>
                  <w:r>
                    <w:rPr>
                      <w:rFonts w:hint="eastAsia"/>
                      <w:b/>
                      <w:bCs/>
                      <w:sz w:val="21"/>
                    </w:rPr>
                    <w:t>本项目情况</w:t>
                  </w:r>
                </w:p>
              </w:tc>
              <w:tc>
                <w:tcPr>
                  <w:tcW w:w="784" w:type="dxa"/>
                  <w:vAlign w:val="center"/>
                </w:tcPr>
                <w:p>
                  <w:pPr>
                    <w:spacing w:line="240" w:lineRule="auto"/>
                    <w:jc w:val="center"/>
                    <w:rPr>
                      <w:b/>
                      <w:bCs/>
                      <w:sz w:val="21"/>
                    </w:rPr>
                  </w:pPr>
                  <w:r>
                    <w:rPr>
                      <w:rFonts w:hint="eastAsia"/>
                      <w:b/>
                      <w:bCs/>
                      <w:sz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Merge w:val="restart"/>
                  <w:vAlign w:val="center"/>
                </w:tcPr>
                <w:p>
                  <w:pPr>
                    <w:spacing w:line="240" w:lineRule="auto"/>
                    <w:jc w:val="center"/>
                    <w:rPr>
                      <w:sz w:val="21"/>
                    </w:rPr>
                  </w:pPr>
                  <w:r>
                    <w:rPr>
                      <w:sz w:val="21"/>
                    </w:rPr>
                    <w:t>空间布局约束</w:t>
                  </w:r>
                </w:p>
              </w:tc>
              <w:tc>
                <w:tcPr>
                  <w:tcW w:w="2304" w:type="dxa"/>
                  <w:gridSpan w:val="2"/>
                  <w:vAlign w:val="center"/>
                </w:tcPr>
                <w:p>
                  <w:pPr>
                    <w:spacing w:line="240" w:lineRule="auto"/>
                    <w:jc w:val="center"/>
                    <w:rPr>
                      <w:sz w:val="21"/>
                    </w:rPr>
                  </w:pPr>
                  <w:r>
                    <w:rPr>
                      <w:rFonts w:hint="eastAsia"/>
                      <w:sz w:val="21"/>
                    </w:rPr>
                    <w:t>（1.1）产业准入应符合“新田县产业准入负面清单”的规定。积极发展生态农业</w:t>
                  </w:r>
                  <w:r>
                    <w:rPr>
                      <w:sz w:val="21"/>
                    </w:rPr>
                    <w:t>。</w:t>
                  </w:r>
                </w:p>
              </w:tc>
              <w:tc>
                <w:tcPr>
                  <w:tcW w:w="2011" w:type="dxa"/>
                  <w:gridSpan w:val="2"/>
                  <w:vMerge w:val="restart"/>
                  <w:vAlign w:val="center"/>
                </w:tcPr>
                <w:p>
                  <w:pPr>
                    <w:spacing w:line="240" w:lineRule="auto"/>
                    <w:jc w:val="center"/>
                    <w:rPr>
                      <w:sz w:val="21"/>
                    </w:rPr>
                  </w:pPr>
                  <w:r>
                    <w:rPr>
                      <w:rFonts w:hint="eastAsia"/>
                      <w:sz w:val="21"/>
                    </w:rPr>
                    <w:t>本项目</w:t>
                  </w:r>
                  <w:r>
                    <w:rPr>
                      <w:sz w:val="21"/>
                    </w:rPr>
                    <w:t>为</w:t>
                  </w:r>
                  <w:r>
                    <w:rPr>
                      <w:rFonts w:hint="eastAsia"/>
                      <w:sz w:val="21"/>
                    </w:rPr>
                    <w:t>内陆养殖</w:t>
                  </w:r>
                  <w:r>
                    <w:rPr>
                      <w:sz w:val="21"/>
                    </w:rPr>
                    <w:t>项目，</w:t>
                  </w:r>
                  <w:r>
                    <w:rPr>
                      <w:rFonts w:hint="eastAsia"/>
                      <w:sz w:val="21"/>
                    </w:rPr>
                    <w:t>符合</w:t>
                  </w:r>
                  <w:r>
                    <w:rPr>
                      <w:rFonts w:hint="eastAsia"/>
                      <w:sz w:val="21"/>
                      <w:lang w:val="en-US" w:eastAsia="zh-CN"/>
                    </w:rPr>
                    <w:t>新田</w:t>
                  </w:r>
                  <w:r>
                    <w:rPr>
                      <w:rFonts w:hint="eastAsia"/>
                      <w:sz w:val="21"/>
                    </w:rPr>
                    <w:t>县产业准入负面清单的规定。</w:t>
                  </w:r>
                </w:p>
              </w:tc>
              <w:tc>
                <w:tcPr>
                  <w:tcW w:w="784" w:type="dxa"/>
                  <w:vMerge w:val="restart"/>
                  <w:vAlign w:val="center"/>
                </w:tcPr>
                <w:p>
                  <w:pPr>
                    <w:spacing w:line="240" w:lineRule="auto"/>
                    <w:jc w:val="center"/>
                    <w:rPr>
                      <w:sz w:val="21"/>
                    </w:rPr>
                  </w:pPr>
                  <w:r>
                    <w:rPr>
                      <w:rFonts w:hint="eastAsia"/>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Merge w:val="continue"/>
                  <w:vAlign w:val="center"/>
                </w:tcPr>
                <w:p>
                  <w:pPr>
                    <w:spacing w:line="240" w:lineRule="auto"/>
                    <w:jc w:val="center"/>
                    <w:rPr>
                      <w:sz w:val="21"/>
                    </w:rPr>
                  </w:pPr>
                </w:p>
              </w:tc>
              <w:tc>
                <w:tcPr>
                  <w:tcW w:w="2304" w:type="dxa"/>
                  <w:gridSpan w:val="2"/>
                  <w:vAlign w:val="center"/>
                </w:tcPr>
                <w:p>
                  <w:pPr>
                    <w:spacing w:line="240" w:lineRule="auto"/>
                    <w:jc w:val="center"/>
                    <w:rPr>
                      <w:sz w:val="21"/>
                    </w:rPr>
                  </w:pPr>
                  <w:r>
                    <w:rPr>
                      <w:rFonts w:hint="eastAsia"/>
                      <w:sz w:val="21"/>
                    </w:rPr>
                    <w:t>（1.2）畜禽养殖产业布局应符合《湖南省新田县畜禽规模养殖“三区”划定方案》</w:t>
                  </w:r>
                  <w:r>
                    <w:rPr>
                      <w:sz w:val="21"/>
                    </w:rPr>
                    <w:t>。</w:t>
                  </w:r>
                </w:p>
              </w:tc>
              <w:tc>
                <w:tcPr>
                  <w:tcW w:w="2011" w:type="dxa"/>
                  <w:gridSpan w:val="2"/>
                  <w:vMerge w:val="continue"/>
                  <w:vAlign w:val="center"/>
                </w:tcPr>
                <w:p>
                  <w:pPr>
                    <w:spacing w:line="240" w:lineRule="auto"/>
                    <w:jc w:val="center"/>
                    <w:rPr>
                      <w:sz w:val="21"/>
                    </w:rPr>
                  </w:pPr>
                </w:p>
              </w:tc>
              <w:tc>
                <w:tcPr>
                  <w:tcW w:w="784" w:type="dxa"/>
                  <w:vMerge w:val="continue"/>
                  <w:vAlign w:val="center"/>
                </w:tcPr>
                <w:p>
                  <w:pPr>
                    <w:spacing w:line="240" w:lineRule="auto"/>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Merge w:val="restart"/>
                  <w:vAlign w:val="center"/>
                </w:tcPr>
                <w:p>
                  <w:pPr>
                    <w:spacing w:line="240" w:lineRule="auto"/>
                    <w:jc w:val="center"/>
                    <w:rPr>
                      <w:sz w:val="21"/>
                    </w:rPr>
                  </w:pPr>
                  <w:r>
                    <w:rPr>
                      <w:sz w:val="21"/>
                    </w:rPr>
                    <w:t>污染物排放管控</w:t>
                  </w:r>
                </w:p>
              </w:tc>
              <w:tc>
                <w:tcPr>
                  <w:tcW w:w="2304" w:type="dxa"/>
                  <w:gridSpan w:val="2"/>
                  <w:vAlign w:val="center"/>
                </w:tcPr>
                <w:p>
                  <w:pPr>
                    <w:spacing w:line="240" w:lineRule="auto"/>
                    <w:jc w:val="center"/>
                    <w:rPr>
                      <w:sz w:val="21"/>
                    </w:rPr>
                  </w:pPr>
                  <w:r>
                    <w:rPr>
                      <w:sz w:val="21"/>
                    </w:rPr>
                    <w:t>（2.1）</w:t>
                  </w:r>
                  <w:r>
                    <w:rPr>
                      <w:rFonts w:hint="eastAsia"/>
                      <w:sz w:val="21"/>
                    </w:rPr>
                    <w:t>有关行业新建项目必须执行《新田县环境突出问题集中整治重点行业操作规范》（试行），现有项目必须在规定期限内达到《规范》要求，否则自行淘汰退出</w:t>
                  </w:r>
                  <w:r>
                    <w:rPr>
                      <w:sz w:val="21"/>
                    </w:rPr>
                    <w:t>。</w:t>
                  </w:r>
                </w:p>
              </w:tc>
              <w:tc>
                <w:tcPr>
                  <w:tcW w:w="2011" w:type="dxa"/>
                  <w:gridSpan w:val="2"/>
                  <w:vMerge w:val="restart"/>
                  <w:vAlign w:val="center"/>
                </w:tcPr>
                <w:p>
                  <w:pPr>
                    <w:spacing w:line="240" w:lineRule="auto"/>
                    <w:jc w:val="center"/>
                    <w:rPr>
                      <w:sz w:val="21"/>
                    </w:rPr>
                  </w:pPr>
                  <w:r>
                    <w:rPr>
                      <w:rFonts w:hint="eastAsia"/>
                      <w:sz w:val="21"/>
                    </w:rPr>
                    <w:t>本项目位于新田县大坪塘镇为内陆养殖项目不涉及秸秆、生活垃圾露天焚烧</w:t>
                  </w:r>
                </w:p>
              </w:tc>
              <w:tc>
                <w:tcPr>
                  <w:tcW w:w="784" w:type="dxa"/>
                  <w:vMerge w:val="restart"/>
                  <w:vAlign w:val="center"/>
                </w:tcPr>
                <w:p>
                  <w:pPr>
                    <w:spacing w:line="240" w:lineRule="auto"/>
                    <w:jc w:val="center"/>
                    <w:rPr>
                      <w:sz w:val="21"/>
                    </w:rPr>
                  </w:pPr>
                  <w:r>
                    <w:rPr>
                      <w:rFonts w:hint="eastAsia"/>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Merge w:val="continue"/>
                  <w:vAlign w:val="center"/>
                </w:tcPr>
                <w:p>
                  <w:pPr>
                    <w:spacing w:line="240" w:lineRule="auto"/>
                    <w:jc w:val="center"/>
                    <w:rPr>
                      <w:sz w:val="21"/>
                    </w:rPr>
                  </w:pPr>
                </w:p>
              </w:tc>
              <w:tc>
                <w:tcPr>
                  <w:tcW w:w="2304" w:type="dxa"/>
                  <w:gridSpan w:val="2"/>
                  <w:vAlign w:val="center"/>
                </w:tcPr>
                <w:p>
                  <w:pPr>
                    <w:spacing w:line="240" w:lineRule="auto"/>
                    <w:jc w:val="center"/>
                    <w:rPr>
                      <w:sz w:val="21"/>
                    </w:rPr>
                  </w:pPr>
                  <w:r>
                    <w:rPr>
                      <w:sz w:val="21"/>
                    </w:rPr>
                    <w:t>（2.2）</w:t>
                  </w:r>
                  <w:r>
                    <w:rPr>
                      <w:rFonts w:hint="eastAsia"/>
                      <w:sz w:val="21"/>
                    </w:rPr>
                    <w:t>统筹推进生活垃圾和农业生产废弃物利用、处理，推行垃圾就地分类减量和资源化利用，实现“户分类、村收集、镇转运、县处理”垃圾处理模式。禁止露天焚烧秸秆和生活垃圾</w:t>
                  </w:r>
                  <w:r>
                    <w:rPr>
                      <w:sz w:val="21"/>
                    </w:rPr>
                    <w:t>。</w:t>
                  </w:r>
                </w:p>
              </w:tc>
              <w:tc>
                <w:tcPr>
                  <w:tcW w:w="2011" w:type="dxa"/>
                  <w:gridSpan w:val="2"/>
                  <w:vMerge w:val="continue"/>
                  <w:vAlign w:val="center"/>
                </w:tcPr>
                <w:p>
                  <w:pPr>
                    <w:spacing w:line="240" w:lineRule="auto"/>
                    <w:jc w:val="center"/>
                    <w:rPr>
                      <w:sz w:val="21"/>
                    </w:rPr>
                  </w:pPr>
                </w:p>
              </w:tc>
              <w:tc>
                <w:tcPr>
                  <w:tcW w:w="784" w:type="dxa"/>
                  <w:vMerge w:val="continue"/>
                  <w:vAlign w:val="center"/>
                </w:tcPr>
                <w:p>
                  <w:pPr>
                    <w:spacing w:line="240" w:lineRule="auto"/>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jc w:val="center"/>
                    <w:rPr>
                      <w:sz w:val="21"/>
                    </w:rPr>
                  </w:pPr>
                  <w:r>
                    <w:rPr>
                      <w:sz w:val="21"/>
                    </w:rPr>
                    <w:t>环境风险管控</w:t>
                  </w:r>
                </w:p>
              </w:tc>
              <w:tc>
                <w:tcPr>
                  <w:tcW w:w="2304" w:type="dxa"/>
                  <w:gridSpan w:val="2"/>
                  <w:vAlign w:val="center"/>
                </w:tcPr>
                <w:p>
                  <w:pPr>
                    <w:spacing w:line="240" w:lineRule="auto"/>
                    <w:jc w:val="center"/>
                    <w:rPr>
                      <w:sz w:val="21"/>
                    </w:rPr>
                  </w:pPr>
                  <w:r>
                    <w:rPr>
                      <w:sz w:val="21"/>
                    </w:rPr>
                    <w:t>（3.1）</w:t>
                  </w:r>
                  <w:r>
                    <w:rPr>
                      <w:rFonts w:hint="eastAsia"/>
                      <w:sz w:val="21"/>
                    </w:rPr>
                    <w:t>执行湖南省总体要求、永州市基本要求中与环境风险防控有关的规定</w:t>
                  </w:r>
                  <w:r>
                    <w:rPr>
                      <w:sz w:val="21"/>
                    </w:rPr>
                    <w:t>。</w:t>
                  </w:r>
                </w:p>
              </w:tc>
              <w:tc>
                <w:tcPr>
                  <w:tcW w:w="2011" w:type="dxa"/>
                  <w:gridSpan w:val="2"/>
                  <w:vAlign w:val="center"/>
                </w:tcPr>
                <w:p>
                  <w:pPr>
                    <w:spacing w:line="240" w:lineRule="auto"/>
                    <w:jc w:val="center"/>
                    <w:rPr>
                      <w:sz w:val="21"/>
                    </w:rPr>
                  </w:pPr>
                  <w:r>
                    <w:rPr>
                      <w:sz w:val="21"/>
                    </w:rPr>
                    <w:t>本</w:t>
                  </w:r>
                  <w:r>
                    <w:rPr>
                      <w:rFonts w:hint="eastAsia"/>
                      <w:sz w:val="21"/>
                    </w:rPr>
                    <w:t>项目为环境风险管控的一般单位，待项目建成投产后应立即编制突发环境事件应急预案，并备案。本项目选址周边无化工企业，现场无遗留环境污染。</w:t>
                  </w:r>
                </w:p>
              </w:tc>
              <w:tc>
                <w:tcPr>
                  <w:tcW w:w="784" w:type="dxa"/>
                  <w:vAlign w:val="center"/>
                </w:tcPr>
                <w:p>
                  <w:pPr>
                    <w:spacing w:line="240" w:lineRule="auto"/>
                    <w:jc w:val="center"/>
                    <w:rPr>
                      <w:sz w:val="21"/>
                    </w:rPr>
                  </w:pPr>
                  <w:r>
                    <w:rPr>
                      <w:rFonts w:hint="eastAsia"/>
                      <w:sz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1" w:type="dxa"/>
                  <w:vAlign w:val="center"/>
                </w:tcPr>
                <w:p>
                  <w:pPr>
                    <w:spacing w:line="240" w:lineRule="auto"/>
                    <w:jc w:val="center"/>
                    <w:rPr>
                      <w:sz w:val="21"/>
                    </w:rPr>
                  </w:pPr>
                  <w:r>
                    <w:rPr>
                      <w:sz w:val="21"/>
                    </w:rPr>
                    <w:t>资源开发效率要求</w:t>
                  </w:r>
                </w:p>
              </w:tc>
              <w:tc>
                <w:tcPr>
                  <w:tcW w:w="2304" w:type="dxa"/>
                  <w:gridSpan w:val="2"/>
                  <w:vAlign w:val="center"/>
                </w:tcPr>
                <w:p>
                  <w:pPr>
                    <w:spacing w:line="240" w:lineRule="auto"/>
                    <w:jc w:val="center"/>
                    <w:rPr>
                      <w:sz w:val="21"/>
                    </w:rPr>
                  </w:pPr>
                  <w:r>
                    <w:rPr>
                      <w:sz w:val="21"/>
                    </w:rPr>
                    <w:t>（4.1）</w:t>
                  </w:r>
                  <w:r>
                    <w:rPr>
                      <w:rFonts w:hint="eastAsia"/>
                      <w:sz w:val="21"/>
                    </w:rPr>
                    <w:t>执行湖南省总体要求、永州市基本要求中与资源开发有关的规定</w:t>
                  </w:r>
                  <w:r>
                    <w:rPr>
                      <w:sz w:val="21"/>
                    </w:rPr>
                    <w:t>。</w:t>
                  </w:r>
                </w:p>
              </w:tc>
              <w:tc>
                <w:tcPr>
                  <w:tcW w:w="2011" w:type="dxa"/>
                  <w:gridSpan w:val="2"/>
                  <w:vAlign w:val="center"/>
                </w:tcPr>
                <w:p>
                  <w:pPr>
                    <w:spacing w:line="240" w:lineRule="auto"/>
                    <w:jc w:val="center"/>
                    <w:rPr>
                      <w:sz w:val="21"/>
                    </w:rPr>
                  </w:pPr>
                  <w:r>
                    <w:rPr>
                      <w:rFonts w:hint="eastAsia"/>
                      <w:sz w:val="21"/>
                    </w:rPr>
                    <w:t>本项目满足南省总体要求、永州市基本要求中与资源开发有关的规定。</w:t>
                  </w:r>
                </w:p>
              </w:tc>
              <w:tc>
                <w:tcPr>
                  <w:tcW w:w="784" w:type="dxa"/>
                  <w:vAlign w:val="center"/>
                </w:tcPr>
                <w:p>
                  <w:pPr>
                    <w:spacing w:line="240" w:lineRule="auto"/>
                    <w:jc w:val="center"/>
                    <w:rPr>
                      <w:sz w:val="21"/>
                    </w:rPr>
                  </w:pPr>
                  <w:r>
                    <w:rPr>
                      <w:rFonts w:hint="eastAsia"/>
                      <w:sz w:val="21"/>
                    </w:rPr>
                    <w:t>符合</w:t>
                  </w:r>
                </w:p>
              </w:tc>
            </w:tr>
          </w:tbl>
          <w:p>
            <w:pPr>
              <w:widowControl/>
              <w:adjustRightInd w:val="0"/>
              <w:snapToGrid w:val="0"/>
              <w:rPr>
                <w:rFonts w:hint="default" w:eastAsia="宋体"/>
                <w:b/>
                <w:bCs/>
                <w:szCs w:val="21"/>
                <w:lang w:val="en-US" w:eastAsia="zh-CN"/>
              </w:rPr>
            </w:pPr>
            <w:r>
              <w:rPr>
                <w:rFonts w:hint="eastAsia"/>
                <w:b/>
                <w:bCs/>
                <w:szCs w:val="21"/>
                <w:lang w:val="en-US" w:eastAsia="zh-CN"/>
              </w:rPr>
              <w:t>4</w:t>
            </w:r>
            <w:r>
              <w:rPr>
                <w:rFonts w:hint="eastAsia"/>
                <w:b/>
                <w:bCs/>
                <w:szCs w:val="21"/>
              </w:rPr>
              <w:t>、</w:t>
            </w:r>
            <w:r>
              <w:rPr>
                <w:rFonts w:hint="eastAsia"/>
                <w:b/>
                <w:bCs/>
                <w:szCs w:val="21"/>
                <w:lang w:val="en-US" w:eastAsia="zh-CN"/>
              </w:rPr>
              <w:t>本项目与《永州市牛蛙规范化养殖指导意见》符合性分析</w:t>
            </w:r>
          </w:p>
          <w:p>
            <w:pPr>
              <w:spacing w:line="240" w:lineRule="auto"/>
              <w:jc w:val="center"/>
            </w:pPr>
            <w:r>
              <w:rPr>
                <w:b/>
                <w:sz w:val="18"/>
                <w:szCs w:val="18"/>
                <w:u w:val="single"/>
              </w:rPr>
              <w:t>表1-</w:t>
            </w:r>
            <w:r>
              <w:rPr>
                <w:rFonts w:hint="eastAsia"/>
                <w:b/>
                <w:sz w:val="18"/>
                <w:szCs w:val="18"/>
                <w:u w:val="single"/>
                <w:lang w:val="en-US" w:eastAsia="zh-CN"/>
              </w:rPr>
              <w:t>2</w:t>
            </w:r>
            <w:r>
              <w:rPr>
                <w:b/>
                <w:sz w:val="18"/>
                <w:szCs w:val="18"/>
                <w:u w:val="single"/>
              </w:rPr>
              <w:t xml:space="preserve">  </w:t>
            </w:r>
            <w:r>
              <w:rPr>
                <w:rFonts w:hint="eastAsia"/>
                <w:b/>
                <w:sz w:val="18"/>
                <w:szCs w:val="18"/>
                <w:u w:val="single"/>
                <w:lang w:val="en-US" w:eastAsia="zh-CN"/>
              </w:rPr>
              <w:t>项目与</w:t>
            </w:r>
            <w:r>
              <w:rPr>
                <w:rFonts w:hint="eastAsia"/>
                <w:b/>
                <w:sz w:val="18"/>
                <w:szCs w:val="18"/>
                <w:u w:val="single"/>
              </w:rPr>
              <w:t>《永州市牛蛙规范化养殖指导意见》</w:t>
            </w:r>
            <w:r>
              <w:rPr>
                <w:b/>
                <w:sz w:val="18"/>
                <w:szCs w:val="18"/>
                <w:u w:val="single"/>
              </w:rPr>
              <w:t>符合性分析</w:t>
            </w:r>
          </w:p>
          <w:tbl>
            <w:tblPr>
              <w:tblStyle w:val="43"/>
              <w:tblW w:w="68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682"/>
              <w:gridCol w:w="2540"/>
              <w:gridCol w:w="2132"/>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dxa"/>
                  <w:gridSpan w:val="2"/>
                  <w:vAlign w:val="center"/>
                </w:tcPr>
                <w:p>
                  <w:pPr>
                    <w:widowControl/>
                    <w:adjustRightInd w:val="0"/>
                    <w:snapToGrid w:val="0"/>
                    <w:spacing w:line="240" w:lineRule="auto"/>
                    <w:jc w:val="center"/>
                    <w:rPr>
                      <w:rFonts w:hint="default" w:eastAsia="宋体"/>
                      <w:b/>
                      <w:bCs/>
                      <w:sz w:val="21"/>
                      <w:szCs w:val="21"/>
                      <w:u w:val="single"/>
                      <w:vertAlign w:val="baseline"/>
                      <w:lang w:val="en-US" w:eastAsia="zh-CN"/>
                    </w:rPr>
                  </w:pPr>
                  <w:r>
                    <w:rPr>
                      <w:rFonts w:hint="eastAsia"/>
                      <w:b/>
                      <w:bCs/>
                      <w:sz w:val="21"/>
                      <w:szCs w:val="21"/>
                      <w:u w:val="single"/>
                      <w:vertAlign w:val="baseline"/>
                      <w:lang w:val="en-US" w:eastAsia="zh-CN"/>
                    </w:rPr>
                    <w:t>管控维度</w:t>
                  </w:r>
                </w:p>
              </w:tc>
              <w:tc>
                <w:tcPr>
                  <w:tcW w:w="2540" w:type="dxa"/>
                  <w:vAlign w:val="center"/>
                </w:tcPr>
                <w:p>
                  <w:pPr>
                    <w:widowControl/>
                    <w:adjustRightInd w:val="0"/>
                    <w:snapToGrid w:val="0"/>
                    <w:spacing w:line="240" w:lineRule="auto"/>
                    <w:jc w:val="center"/>
                    <w:rPr>
                      <w:rFonts w:hint="default" w:eastAsia="宋体"/>
                      <w:b/>
                      <w:bCs/>
                      <w:sz w:val="21"/>
                      <w:szCs w:val="21"/>
                      <w:u w:val="single"/>
                      <w:vertAlign w:val="baseline"/>
                      <w:lang w:val="en-US" w:eastAsia="zh-CN"/>
                    </w:rPr>
                  </w:pPr>
                  <w:r>
                    <w:rPr>
                      <w:rFonts w:hint="eastAsia"/>
                      <w:b/>
                      <w:bCs/>
                      <w:sz w:val="21"/>
                      <w:szCs w:val="21"/>
                      <w:u w:val="single"/>
                      <w:vertAlign w:val="baseline"/>
                      <w:lang w:val="en-US" w:eastAsia="zh-CN"/>
                    </w:rPr>
                    <w:t>指导意见</w:t>
                  </w:r>
                </w:p>
              </w:tc>
              <w:tc>
                <w:tcPr>
                  <w:tcW w:w="2132" w:type="dxa"/>
                  <w:vAlign w:val="center"/>
                </w:tcPr>
                <w:p>
                  <w:pPr>
                    <w:widowControl/>
                    <w:adjustRightInd w:val="0"/>
                    <w:snapToGrid w:val="0"/>
                    <w:spacing w:line="240" w:lineRule="auto"/>
                    <w:jc w:val="center"/>
                    <w:rPr>
                      <w:rFonts w:hint="default" w:eastAsia="宋体"/>
                      <w:b/>
                      <w:bCs/>
                      <w:sz w:val="21"/>
                      <w:szCs w:val="21"/>
                      <w:u w:val="single"/>
                      <w:vertAlign w:val="baseline"/>
                      <w:lang w:val="en-US" w:eastAsia="zh-CN"/>
                    </w:rPr>
                  </w:pPr>
                  <w:r>
                    <w:rPr>
                      <w:rFonts w:hint="eastAsia"/>
                      <w:b/>
                      <w:bCs/>
                      <w:sz w:val="21"/>
                      <w:szCs w:val="21"/>
                      <w:u w:val="single"/>
                      <w:vertAlign w:val="baseline"/>
                      <w:lang w:val="en-US" w:eastAsia="zh-CN"/>
                    </w:rPr>
                    <w:t>项目情况</w:t>
                  </w:r>
                </w:p>
              </w:tc>
              <w:tc>
                <w:tcPr>
                  <w:tcW w:w="844" w:type="dxa"/>
                  <w:vAlign w:val="center"/>
                </w:tcPr>
                <w:p>
                  <w:pPr>
                    <w:widowControl/>
                    <w:adjustRightInd w:val="0"/>
                    <w:snapToGrid w:val="0"/>
                    <w:spacing w:line="240" w:lineRule="auto"/>
                    <w:jc w:val="center"/>
                    <w:rPr>
                      <w:rFonts w:hint="default" w:eastAsia="宋体"/>
                      <w:b/>
                      <w:bCs/>
                      <w:sz w:val="21"/>
                      <w:szCs w:val="21"/>
                      <w:u w:val="single"/>
                      <w:vertAlign w:val="baseline"/>
                      <w:lang w:val="en-US" w:eastAsia="zh-CN"/>
                    </w:rPr>
                  </w:pPr>
                  <w:r>
                    <w:rPr>
                      <w:rFonts w:hint="eastAsia"/>
                      <w:b/>
                      <w:bCs/>
                      <w:sz w:val="21"/>
                      <w:szCs w:val="21"/>
                      <w:u w:val="single"/>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养殖区域布局要求和禁止养殖区域规定</w:t>
                  </w:r>
                </w:p>
              </w:tc>
              <w:tc>
                <w:tcPr>
                  <w:tcW w:w="682" w:type="dxa"/>
                  <w:vAlign w:val="center"/>
                </w:tcPr>
                <w:p>
                  <w:pPr>
                    <w:widowControl/>
                    <w:adjustRightInd w:val="0"/>
                    <w:snapToGrid w:val="0"/>
                    <w:spacing w:line="240" w:lineRule="auto"/>
                    <w:jc w:val="center"/>
                    <w:rPr>
                      <w:rFonts w:hint="eastAsia"/>
                      <w:sz w:val="21"/>
                      <w:szCs w:val="21"/>
                      <w:u w:val="single"/>
                      <w:vertAlign w:val="baseline"/>
                    </w:rPr>
                  </w:pPr>
                  <w:r>
                    <w:rPr>
                      <w:rFonts w:hint="eastAsia"/>
                      <w:sz w:val="21"/>
                      <w:szCs w:val="21"/>
                      <w:u w:val="single"/>
                      <w:vertAlign w:val="baseline"/>
                      <w:lang w:val="en-US" w:eastAsia="zh-CN"/>
                    </w:rPr>
                    <w:t>1、</w:t>
                  </w:r>
                  <w:r>
                    <w:rPr>
                      <w:rFonts w:hint="eastAsia"/>
                      <w:sz w:val="21"/>
                      <w:szCs w:val="21"/>
                      <w:u w:val="single"/>
                      <w:vertAlign w:val="baseline"/>
                    </w:rPr>
                    <w:t>养殖区域布局要求</w:t>
                  </w:r>
                </w:p>
              </w:tc>
              <w:tc>
                <w:tcPr>
                  <w:tcW w:w="2540" w:type="dxa"/>
                  <w:vAlign w:val="center"/>
                </w:tcPr>
                <w:p>
                  <w:pPr>
                    <w:widowControl/>
                    <w:adjustRightInd w:val="0"/>
                    <w:snapToGrid w:val="0"/>
                    <w:spacing w:line="240" w:lineRule="auto"/>
                    <w:jc w:val="center"/>
                    <w:rPr>
                      <w:rFonts w:hint="eastAsia" w:eastAsia="宋体"/>
                      <w:sz w:val="21"/>
                      <w:szCs w:val="21"/>
                      <w:u w:val="single"/>
                      <w:vertAlign w:val="baseline"/>
                      <w:lang w:eastAsia="zh-CN"/>
                    </w:rPr>
                  </w:pPr>
                  <w:r>
                    <w:rPr>
                      <w:rFonts w:hint="eastAsia"/>
                      <w:sz w:val="21"/>
                      <w:szCs w:val="21"/>
                      <w:u w:val="single"/>
                      <w:vertAlign w:val="baseline"/>
                    </w:rPr>
                    <w:t>合理规划养殖空间，养殖区域不得违规占用永久基本农田，不得破坏或污染耕地耕作层，要严格执行国土空间规划和农业产业发展规划，必须符合城镇规划、土地利用总体规划、 生态环境功能区规划和环境功能规划、水功能区划、湖南省养殖水域滩涂规划(2021-2030年)。在保护耕地和区域生态环境、集约节约用地的前提下，尽量利用荒山荒坡、坑塘水面以及闲置建设用地</w:t>
                  </w:r>
                  <w:r>
                    <w:rPr>
                      <w:rFonts w:hint="eastAsia"/>
                      <w:sz w:val="21"/>
                      <w:szCs w:val="21"/>
                      <w:u w:val="single"/>
                      <w:vertAlign w:val="baseline"/>
                      <w:lang w:eastAsia="zh-CN"/>
                    </w:rPr>
                    <w:t>。</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本项目不占用基本农田符合相关规划。</w:t>
                  </w:r>
                </w:p>
              </w:tc>
              <w:tc>
                <w:tcPr>
                  <w:tcW w:w="844" w:type="dxa"/>
                  <w:vAlign w:val="center"/>
                </w:tcPr>
                <w:p>
                  <w:pPr>
                    <w:widowControl/>
                    <w:adjustRightInd w:val="0"/>
                    <w:snapToGrid w:val="0"/>
                    <w:spacing w:line="240" w:lineRule="auto"/>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rFonts w:hint="eastAsia"/>
                      <w:sz w:val="21"/>
                      <w:szCs w:val="21"/>
                      <w:u w:val="single"/>
                      <w:vertAlign w:val="baseline"/>
                    </w:rPr>
                  </w:pPr>
                  <w:r>
                    <w:rPr>
                      <w:rFonts w:hint="eastAsia"/>
                      <w:sz w:val="21"/>
                      <w:szCs w:val="21"/>
                      <w:u w:val="single"/>
                      <w:vertAlign w:val="baseline"/>
                      <w:lang w:val="en-US" w:eastAsia="zh-CN"/>
                    </w:rPr>
                    <w:t>2、</w:t>
                  </w:r>
                  <w:r>
                    <w:rPr>
                      <w:rFonts w:hint="eastAsia"/>
                      <w:sz w:val="21"/>
                      <w:szCs w:val="21"/>
                      <w:u w:val="single"/>
                      <w:vertAlign w:val="baseline"/>
                    </w:rPr>
                    <w:t>禁止养殖区域规定</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牛蛙养殖场的设置地点不能在生态保护红线范围、自然保护区核心区和缓冲区、饮用水水源(含地下水源)保护区的一级二级和准保护区、国家公园、风景名胜区、基本草原、天然林地、公益林、江河湖库、科学文化教育研究区、城区和村(居)民生活区范围等敏感区域及影响我市国、省考核断面水质稳定达标区域养殖；不能设置在法律、法规、规章规定需特殊保护的其他区域</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本项目不在生态保护红线范围内，周边500m范围内无生态环境保护敏感目标</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申请新建、改(扩)建牛蛙养殖场的许可办理</w:t>
                  </w:r>
                </w:p>
              </w:tc>
              <w:tc>
                <w:tcPr>
                  <w:tcW w:w="682"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1、</w:t>
                  </w:r>
                  <w:r>
                    <w:rPr>
                      <w:rFonts w:hint="eastAsia"/>
                      <w:sz w:val="21"/>
                      <w:szCs w:val="21"/>
                      <w:u w:val="single"/>
                      <w:vertAlign w:val="baseline"/>
                    </w:rPr>
                    <w:t>设施农业用地备案</w:t>
                  </w:r>
                </w:p>
              </w:tc>
              <w:tc>
                <w:tcPr>
                  <w:tcW w:w="2540" w:type="dxa"/>
                  <w:vAlign w:val="center"/>
                </w:tcPr>
                <w:p>
                  <w:pPr>
                    <w:widowControl/>
                    <w:adjustRightInd w:val="0"/>
                    <w:snapToGrid w:val="0"/>
                    <w:spacing w:line="240" w:lineRule="auto"/>
                    <w:jc w:val="center"/>
                    <w:rPr>
                      <w:rFonts w:hint="eastAsia"/>
                      <w:sz w:val="21"/>
                      <w:szCs w:val="21"/>
                      <w:u w:val="single"/>
                      <w:vertAlign w:val="baseline"/>
                    </w:rPr>
                  </w:pPr>
                  <w:r>
                    <w:rPr>
                      <w:rFonts w:hint="eastAsia"/>
                      <w:sz w:val="21"/>
                      <w:szCs w:val="21"/>
                      <w:u w:val="single"/>
                      <w:vertAlign w:val="baseline"/>
                    </w:rPr>
                    <w:t>经营者初步确定选址后，向乡镇人民政府(办事处)提交 拟选址区域界址坐标，乡镇人民政府(办事处)向县级自然资源主管部门查询拟选址区域地类、权属、面积等国土调查数据 和永久基本农田、生态保护红线的划定情况，并反馈经营者，符合选址要求但涉及耕地、林地、草地的，提示经营者分别先行办理“耕地占补平衡”手续、林地审批手续、草地审批手续。</w:t>
                  </w:r>
                </w:p>
                <w:p>
                  <w:pPr>
                    <w:widowControl/>
                    <w:adjustRightInd w:val="0"/>
                    <w:snapToGrid w:val="0"/>
                    <w:spacing w:line="240" w:lineRule="auto"/>
                    <w:jc w:val="center"/>
                    <w:rPr>
                      <w:rFonts w:hint="eastAsia"/>
                      <w:sz w:val="21"/>
                      <w:szCs w:val="21"/>
                      <w:u w:val="single"/>
                      <w:vertAlign w:val="baseline"/>
                      <w:lang w:eastAsia="zh-CN"/>
                    </w:rPr>
                  </w:pPr>
                  <w:r>
                    <w:rPr>
                      <w:rFonts w:hint="eastAsia"/>
                      <w:sz w:val="21"/>
                      <w:szCs w:val="21"/>
                      <w:u w:val="single"/>
                      <w:vertAlign w:val="baseline"/>
                    </w:rPr>
                    <w:t>经营者取得相关手续后，向集体经济组织或村民委员会提出用地申请，同意后与土地承包经营权人签订租地协议，再向乡镇人民政府(办事处)申请备案。乡镇人民政府(办事处) 采取征询反馈的方式与县级相关部门协同审查，做出是否同意备案的决定。备案完成后，向县级自然资源等部门移交备案资料进行上图入库</w:t>
                  </w:r>
                  <w:r>
                    <w:rPr>
                      <w:rFonts w:hint="eastAsia"/>
                      <w:sz w:val="21"/>
                      <w:szCs w:val="21"/>
                      <w:u w:val="single"/>
                      <w:vertAlign w:val="baseline"/>
                      <w:lang w:eastAsia="zh-CN"/>
                    </w:rPr>
                    <w:t>。</w:t>
                  </w:r>
                </w:p>
                <w:p>
                  <w:pPr>
                    <w:widowControl/>
                    <w:adjustRightInd w:val="0"/>
                    <w:snapToGrid w:val="0"/>
                    <w:spacing w:line="240" w:lineRule="auto"/>
                    <w:jc w:val="center"/>
                    <w:rPr>
                      <w:rFonts w:hint="eastAsia" w:eastAsia="宋体"/>
                      <w:sz w:val="21"/>
                      <w:szCs w:val="21"/>
                      <w:u w:val="single"/>
                      <w:vertAlign w:val="baseline"/>
                      <w:lang w:eastAsia="zh-CN"/>
                    </w:rPr>
                  </w:pPr>
                  <w:r>
                    <w:rPr>
                      <w:rFonts w:hint="eastAsia"/>
                      <w:sz w:val="21"/>
                      <w:szCs w:val="21"/>
                      <w:u w:val="single"/>
                      <w:vertAlign w:val="baseline"/>
                      <w:lang w:eastAsia="zh-CN"/>
                    </w:rPr>
                    <w:t>对于占用林地的牛蛙养殖场，须向县级林业主管部门提出 申请并提供有关材料(使用林地申请报告、用地单位的资质证明或者个人身份证明、建设项目有关批准文件和使用林地可行 性研究报告)。经现场查验、公示，取得县级林业主管部门初审意见后，再报省林业局审批</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本项目选址位于永州市新田县大坪塘镇龙溪村租用龙溪村集体用地并完成备案（备案号：新发改备案｛2024｝94号），本项目选址地属于林地，已向新田县自然资源局递交用地申请，并通过审批取得用地许可（附件5）</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2、环保许可</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牛蛙养殖场在符合用地、用林和养殖有关规划等前提下，按照《建设项目环境影响评价分类管理名录(2021年版)》规定 编制环境影响报告，报所在地县级生态环境分局审批或备案；养殖场通过环评审批或备案后，在实际排放污染物之前，根据 《固定污染源排污许可证分类管理名录》(2019年版)第108项 确定的管理类别，到所在地生态环境分局申办排污许可证或自行到全国排污许可证管理信息平台进行登记</w:t>
                  </w:r>
                </w:p>
              </w:tc>
              <w:tc>
                <w:tcPr>
                  <w:tcW w:w="2132" w:type="dxa"/>
                  <w:vAlign w:val="center"/>
                </w:tcPr>
                <w:p>
                  <w:pPr>
                    <w:widowControl/>
                    <w:adjustRightInd w:val="0"/>
                    <w:snapToGrid w:val="0"/>
                    <w:spacing w:line="240" w:lineRule="auto"/>
                    <w:jc w:val="center"/>
                    <w:rPr>
                      <w:rFonts w:hint="default"/>
                      <w:sz w:val="21"/>
                      <w:szCs w:val="21"/>
                      <w:u w:val="single"/>
                      <w:vertAlign w:val="baseline"/>
                      <w:lang w:val="en-US"/>
                    </w:rPr>
                  </w:pPr>
                  <w:r>
                    <w:rPr>
                      <w:rFonts w:hint="eastAsia"/>
                      <w:sz w:val="21"/>
                      <w:szCs w:val="21"/>
                      <w:u w:val="single"/>
                      <w:vertAlign w:val="baseline"/>
                      <w:lang w:val="en-US" w:eastAsia="zh-CN"/>
                    </w:rPr>
                    <w:t>企业正在按规定办理相关环保手续</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3、取水许可</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水行政主管部门负责核准新建、改(扩)建牛蛙养殖场的取水情况，并依法受理取水等有关手续。申请取水的单位或者个人，应当向具有审批权限的县级审批机关提出申请。审批机关应当自受理取水申请之日起45个工作日内决定批准或者不批准。决定批准的，应当同时签发取水申请批准文件。取水申请经审批机关批准，申请人方可兴建取水工程或者设施。取水工程或者设施竣工后，申请人应当按照国务院水行政主管部门的 规定，向取水审批机关报送取水工程或者设施试运行情况等相关材料；经验收合格的，由审批机关核发取水许可证。</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企业正在按规定办理取水申请批准文件</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rFonts w:hint="eastAsia" w:eastAsia="宋体"/>
                      <w:sz w:val="21"/>
                      <w:szCs w:val="21"/>
                      <w:u w:val="single"/>
                      <w:vertAlign w:val="baseline"/>
                      <w:lang w:val="en-US" w:eastAsia="zh-CN"/>
                    </w:rPr>
                  </w:pPr>
                  <w:r>
                    <w:rPr>
                      <w:rFonts w:hint="eastAsia"/>
                      <w:sz w:val="21"/>
                      <w:szCs w:val="21"/>
                      <w:u w:val="single"/>
                      <w:vertAlign w:val="baseline"/>
                      <w:lang w:val="en-US" w:eastAsia="zh-CN"/>
                    </w:rPr>
                    <w:t>4、备案登记</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经营者在取得牛蛙养殖用地、环保、取水许可等有关手续后报县级农业农村部门予以备案登记，农业农村部门加强技术指导与行业监管</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待取得相关手续后企业</w:t>
                  </w:r>
                  <w:r>
                    <w:rPr>
                      <w:rFonts w:hint="eastAsia"/>
                      <w:sz w:val="21"/>
                      <w:szCs w:val="21"/>
                      <w:u w:val="single"/>
                      <w:vertAlign w:val="baseline"/>
                    </w:rPr>
                    <w:t>报县级农业农村部门</w:t>
                  </w:r>
                  <w:r>
                    <w:rPr>
                      <w:rFonts w:hint="eastAsia"/>
                      <w:sz w:val="21"/>
                      <w:szCs w:val="21"/>
                      <w:u w:val="single"/>
                      <w:vertAlign w:val="baseline"/>
                      <w:lang w:val="en-US" w:eastAsia="zh-CN"/>
                    </w:rPr>
                    <w:t>进行</w:t>
                  </w:r>
                  <w:r>
                    <w:rPr>
                      <w:rFonts w:hint="eastAsia"/>
                      <w:sz w:val="21"/>
                      <w:szCs w:val="21"/>
                      <w:u w:val="single"/>
                      <w:vertAlign w:val="baseline"/>
                    </w:rPr>
                    <w:t>备案登记</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restart"/>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养殖环节的防护措施、用药及无害化处理要求</w:t>
                  </w:r>
                </w:p>
              </w:tc>
              <w:tc>
                <w:tcPr>
                  <w:tcW w:w="682"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1、</w:t>
                  </w:r>
                  <w:r>
                    <w:rPr>
                      <w:rFonts w:hint="eastAsia"/>
                      <w:sz w:val="21"/>
                      <w:szCs w:val="21"/>
                      <w:u w:val="single"/>
                      <w:vertAlign w:val="baseline"/>
                    </w:rPr>
                    <w:t>防逃逸措施</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牛蛙是外来物种，养殖应当采取措施，防止逃逸，要圈养在选定的蛙场内，蛙场安装防逃逸围网，高度在30cm以上，要经常检查围栏，一旦发现破损应及时更换，杜绝圈养的牛蛙外逃威胁生态环境，发现外逃的，要及时捕捉</w:t>
                  </w:r>
                </w:p>
              </w:tc>
              <w:tc>
                <w:tcPr>
                  <w:tcW w:w="2132"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本项目已按相关要求</w:t>
                  </w:r>
                  <w:r>
                    <w:rPr>
                      <w:rFonts w:hint="eastAsia"/>
                      <w:sz w:val="21"/>
                      <w:szCs w:val="21"/>
                      <w:u w:val="single"/>
                      <w:vertAlign w:val="baseline"/>
                    </w:rPr>
                    <w:t>安装防逃逸围网</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2、</w:t>
                  </w:r>
                  <w:r>
                    <w:rPr>
                      <w:rFonts w:hint="eastAsia"/>
                      <w:sz w:val="21"/>
                      <w:szCs w:val="21"/>
                      <w:u w:val="single"/>
                      <w:vertAlign w:val="baseline"/>
                    </w:rPr>
                    <w:t>用药要求</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牛蛙养殖要全面贯彻执行《中华人民共和国渔业法》《中华人民共和国农产品质量安全法》《兽药管理条例》《农药管理条例》《水产养殖质量安全管理规定》《牛蛙生产全程质量控制技术规范》(NY/T4328-2023) 等法律法规规定，严禁使用禁(停)用药、人用药、原料药、假(劣)兽药和水产养殖用投入品白名单之外投入品，严禁销售尚在休药期蛙类产品，保障蛙类产品质量安全</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本项目不涉及使用</w:t>
                  </w:r>
                  <w:r>
                    <w:rPr>
                      <w:rFonts w:hint="eastAsia"/>
                      <w:sz w:val="21"/>
                      <w:szCs w:val="21"/>
                      <w:u w:val="single"/>
                      <w:vertAlign w:val="baseline"/>
                    </w:rPr>
                    <w:t>禁(停)用药、人用药、原料药、假(劣)兽药和水产养殖用投入品白名单之外投入品</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2" w:type="dxa"/>
                  <w:vMerge w:val="continue"/>
                  <w:vAlign w:val="center"/>
                </w:tcPr>
                <w:p>
                  <w:pPr>
                    <w:widowControl/>
                    <w:adjustRightInd w:val="0"/>
                    <w:snapToGrid w:val="0"/>
                    <w:spacing w:line="240" w:lineRule="auto"/>
                    <w:jc w:val="center"/>
                    <w:rPr>
                      <w:sz w:val="21"/>
                      <w:szCs w:val="21"/>
                      <w:u w:val="single"/>
                      <w:vertAlign w:val="baseline"/>
                    </w:rPr>
                  </w:pPr>
                </w:p>
              </w:tc>
              <w:tc>
                <w:tcPr>
                  <w:tcW w:w="682"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3、</w:t>
                  </w:r>
                  <w:r>
                    <w:rPr>
                      <w:rFonts w:hint="eastAsia"/>
                      <w:sz w:val="21"/>
                      <w:szCs w:val="21"/>
                      <w:u w:val="single"/>
                      <w:vertAlign w:val="baseline"/>
                    </w:rPr>
                    <w:t>无害化处理要求</w:t>
                  </w:r>
                </w:p>
              </w:tc>
              <w:tc>
                <w:tcPr>
                  <w:tcW w:w="2540"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rPr>
                    <w:t>牛蛙尸体不得随意丢弃，养殖场需设置填埋井(防渗防漏，需符合生态环境部门的要求),以在牛蛙出现死亡时进行 填埋和无害化处理。对于大面积疫情导致病蛙大量死亡，养殖单位应迅速向当地动物防疫部门汇报，并对该蛙场与周围环境迅速进行隔离，在动物防疫部门及相关部门的指导下对批量病 蛙进行处理。相关受污染的物品，也必须在工作人员监督指导下进行无害化处理</w:t>
                  </w:r>
                </w:p>
              </w:tc>
              <w:tc>
                <w:tcPr>
                  <w:tcW w:w="2132" w:type="dxa"/>
                  <w:vAlign w:val="center"/>
                </w:tcPr>
                <w:p>
                  <w:pPr>
                    <w:widowControl/>
                    <w:adjustRightInd w:val="0"/>
                    <w:snapToGrid w:val="0"/>
                    <w:spacing w:line="240" w:lineRule="auto"/>
                    <w:jc w:val="center"/>
                    <w:rPr>
                      <w:rFonts w:hint="default" w:eastAsia="宋体"/>
                      <w:sz w:val="21"/>
                      <w:szCs w:val="21"/>
                      <w:u w:val="single"/>
                      <w:vertAlign w:val="baseline"/>
                      <w:lang w:val="en-US" w:eastAsia="zh-CN"/>
                    </w:rPr>
                  </w:pPr>
                  <w:r>
                    <w:rPr>
                      <w:rFonts w:hint="eastAsia"/>
                      <w:sz w:val="21"/>
                      <w:szCs w:val="21"/>
                      <w:u w:val="single"/>
                      <w:vertAlign w:val="baseline"/>
                      <w:lang w:val="en-US" w:eastAsia="zh-CN"/>
                    </w:rPr>
                    <w:t>本项目已按规定设置安全填埋井(防渗防漏）用于日常死蛙填埋</w:t>
                  </w:r>
                </w:p>
              </w:tc>
              <w:tc>
                <w:tcPr>
                  <w:tcW w:w="844" w:type="dxa"/>
                  <w:vAlign w:val="center"/>
                </w:tcPr>
                <w:p>
                  <w:pPr>
                    <w:widowControl/>
                    <w:adjustRightInd w:val="0"/>
                    <w:snapToGrid w:val="0"/>
                    <w:spacing w:line="240" w:lineRule="auto"/>
                    <w:jc w:val="center"/>
                    <w:rPr>
                      <w:sz w:val="21"/>
                      <w:szCs w:val="21"/>
                      <w:u w:val="single"/>
                      <w:vertAlign w:val="baseline"/>
                    </w:rPr>
                  </w:pPr>
                  <w:r>
                    <w:rPr>
                      <w:rFonts w:hint="eastAsia"/>
                      <w:sz w:val="21"/>
                      <w:szCs w:val="21"/>
                      <w:u w:val="single"/>
                      <w:vertAlign w:val="baseline"/>
                      <w:lang w:val="en-US" w:eastAsia="zh-CN"/>
                    </w:rPr>
                    <w:t>符合</w:t>
                  </w:r>
                </w:p>
              </w:tc>
            </w:tr>
          </w:tbl>
          <w:p>
            <w:pPr>
              <w:widowControl/>
              <w:adjustRightInd w:val="0"/>
              <w:snapToGrid w:val="0"/>
              <w:rPr>
                <w:b/>
                <w:bCs/>
                <w:szCs w:val="21"/>
              </w:rPr>
            </w:pPr>
            <w:r>
              <w:rPr>
                <w:rFonts w:hint="eastAsia"/>
                <w:b/>
                <w:bCs/>
                <w:szCs w:val="21"/>
                <w:lang w:val="en-US" w:eastAsia="zh-CN"/>
              </w:rPr>
              <w:t>5</w:t>
            </w:r>
            <w:r>
              <w:rPr>
                <w:rFonts w:hint="eastAsia"/>
                <w:b/>
                <w:bCs/>
                <w:szCs w:val="21"/>
              </w:rPr>
              <w:t>、项目选址合理性分析</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1）本项目选址位于永州市新田县大坪塘镇龙溪村，本项目选址地属于林地，已向新田县自然资源局递交用地申请，并通过审批取得用地许可（附件5），本项目不占用基本农田，项目建设符合用地规划和发展规划要求。</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（2）本项目选址位于</w:t>
            </w:r>
            <w:r>
              <w:rPr>
                <w:rFonts w:hint="eastAsia" w:cs="宋体"/>
                <w:szCs w:val="21"/>
              </w:rPr>
              <w:t>永州市新田县大坪塘镇龙溪村</w:t>
            </w:r>
            <w:r>
              <w:rPr>
                <w:rFonts w:hint="eastAsia"/>
              </w:rPr>
              <w:t>，外环境关系较为简单，根据现场勘查，选址不占用基本农田及风景名胜区、自然保护区，选址不在生态保护红线内，项目周边不存在制约本项目发展的因素，并对特殊环境敏感点均做好防控措施，符合城市国土空间规划。</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（3）本项目用水来自项目井水、山塘水，用电来自市政，可满足项目需求。项目周边主要为农田、林地、荒地等，区位条件良好，项目所在区域交通运输条件良好，因此，区域基础设施可满足项目需要。</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4）项目所在地周边生态环境较好，大气、水及声环境质量较好，具有较好的环境容量；本项目所产生的污染物通过有效治理后均能达标排放，项目所排放的污染物可以被环境所接纳，且不会对周边环境造成较大影响，不会改变现有环境功能现状。</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因此，从环保角度而言，本项目选址合理。</w:t>
            </w:r>
          </w:p>
          <w:p>
            <w:pPr>
              <w:widowControl/>
              <w:adjustRightInd w:val="0"/>
              <w:snapToGrid w:val="0"/>
              <w:rPr>
                <w:b/>
                <w:bCs/>
                <w:szCs w:val="21"/>
              </w:rPr>
            </w:pPr>
            <w:r>
              <w:rPr>
                <w:rFonts w:hint="eastAsia"/>
                <w:b/>
                <w:bCs/>
                <w:szCs w:val="21"/>
                <w:lang w:val="en-US" w:eastAsia="zh-CN"/>
              </w:rPr>
              <w:t>6</w:t>
            </w:r>
            <w:r>
              <w:rPr>
                <w:rFonts w:hint="eastAsia"/>
                <w:b/>
                <w:bCs/>
                <w:szCs w:val="21"/>
              </w:rPr>
              <w:t>、项目总平面布置合理性分析</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本项目占用面积16648m</w:t>
            </w:r>
            <w:r>
              <w:rPr>
                <w:rFonts w:hint="eastAsia"/>
                <w:vertAlign w:val="superscript"/>
              </w:rPr>
              <w:t>2</w:t>
            </w:r>
            <w:r>
              <w:rPr>
                <w:rFonts w:hint="eastAsia"/>
              </w:rPr>
              <w:t>。本项目已建一座饲料仓库、一间办公室、74个牛蛙养殖池、过滤池、沉淀池</w:t>
            </w:r>
            <w:r>
              <w:t>。</w:t>
            </w:r>
            <w:r>
              <w:rPr>
                <w:rFonts w:hint="eastAsia"/>
              </w:rPr>
              <w:t>项目由南至北一线排开依次是沉淀池、过滤池、牛蛙养殖池、饲料仓库和办公室。项目布置能满足生产工艺、安全和消防、卫生采光等要求，适当划分区域，各区既有明确分区，又保持一定联系，将废气、废水、噪音等污染源影响限制在局部，并在局部合理解决。</w:t>
            </w:r>
          </w:p>
          <w:p>
            <w:pPr>
              <w:keepNext w:val="0"/>
              <w:keepLines w:val="0"/>
              <w:pageBreakBefore w:val="0"/>
              <w:widowControl/>
              <w:kinsoku/>
              <w:wordWrap/>
              <w:overflowPunct/>
              <w:topLinePunct w:val="0"/>
              <w:autoSpaceDE/>
              <w:autoSpaceDN/>
              <w:bidi w:val="0"/>
              <w:adjustRightInd w:val="0"/>
              <w:snapToGrid w:val="0"/>
              <w:spacing w:line="312" w:lineRule="auto"/>
              <w:ind w:firstLine="482"/>
              <w:textAlignment w:val="auto"/>
            </w:pPr>
            <w:r>
              <w:rPr>
                <w:rFonts w:hint="eastAsia"/>
              </w:rPr>
              <w:t>总体上看本项目的平面布置满足生产组织需求，养殖场内物流基本顺畅，内部布局考虑了削减污染环境的影响，从环境保护角度布局基本合理。</w:t>
            </w:r>
          </w:p>
        </w:tc>
      </w:tr>
    </w:tbl>
    <w:p>
      <w:pPr>
        <w:pStyle w:val="2"/>
        <w:adjustRightInd w:val="0"/>
        <w:jc w:val="center"/>
        <w:rPr>
          <w:rFonts w:ascii="宋体" w:hAnsi="宋体" w:cs="宋体"/>
          <w:bCs w:val="0"/>
          <w:sz w:val="32"/>
          <w:szCs w:val="32"/>
        </w:rPr>
        <w:sectPr>
          <w:pgSz w:w="11905" w:h="16838"/>
          <w:pgMar w:top="1440" w:right="1803" w:bottom="1440" w:left="1803" w:header="851" w:footer="992" w:gutter="0"/>
          <w:cols w:space="720" w:num="1"/>
          <w:docGrid w:type="lines" w:linePitch="312" w:charSpace="0"/>
        </w:sectPr>
      </w:pPr>
      <w:bookmarkStart w:id="7" w:name="_Toc159582691"/>
      <w:bookmarkStart w:id="8" w:name="_Toc68011911"/>
      <w:bookmarkStart w:id="9" w:name="_Toc5299"/>
      <w:bookmarkStart w:id="10" w:name="_Toc1449"/>
      <w:bookmarkStart w:id="11" w:name="_Toc20451"/>
      <w:bookmarkStart w:id="12" w:name="_Toc8647"/>
      <w:bookmarkStart w:id="13" w:name="_Toc29514"/>
      <w:bookmarkStart w:id="14" w:name="_Toc4069"/>
      <w:bookmarkStart w:id="15" w:name="_Toc5284"/>
    </w:p>
    <w:p>
      <w:pPr>
        <w:pStyle w:val="2"/>
        <w:adjustRightInd w:val="0"/>
        <w:jc w:val="center"/>
        <w:rPr>
          <w:rFonts w:ascii="宋体" w:hAnsi="宋体" w:cs="宋体"/>
          <w:bCs w:val="0"/>
          <w:sz w:val="32"/>
          <w:szCs w:val="32"/>
        </w:rPr>
      </w:pPr>
      <w:r>
        <w:rPr>
          <w:rFonts w:hint="eastAsia" w:ascii="宋体" w:hAnsi="宋体" w:cs="宋体"/>
          <w:bCs w:val="0"/>
          <w:sz w:val="32"/>
          <w:szCs w:val="32"/>
        </w:rPr>
        <w:t>二、建设项目工程分析</w:t>
      </w:r>
      <w:bookmarkEnd w:id="7"/>
      <w:bookmarkEnd w:id="8"/>
      <w:bookmarkEnd w:id="9"/>
    </w:p>
    <w:tbl>
      <w:tblPr>
        <w:tblStyle w:val="4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spacing w:line="240" w:lineRule="auto"/>
            </w:pPr>
            <w:r>
              <w:rPr>
                <w:rFonts w:hint="eastAsia"/>
              </w:rPr>
              <w:t>建设内容</w:t>
            </w:r>
          </w:p>
        </w:tc>
        <w:tc>
          <w:tcPr>
            <w:tcW w:w="8075" w:type="dxa"/>
          </w:tcPr>
          <w:p>
            <w:pPr>
              <w:pStyle w:val="4"/>
              <w:widowControl/>
              <w:numPr>
                <w:ilvl w:val="0"/>
                <w:numId w:val="0"/>
              </w:numPr>
              <w:tabs>
                <w:tab w:val="left" w:pos="360"/>
                <w:tab w:val="left" w:pos="432"/>
              </w:tabs>
              <w:adjustRightInd w:val="0"/>
              <w:snapToGrid w:val="0"/>
              <w:spacing w:beforeLines="0" w:afterLines="0" w:line="240" w:lineRule="auto"/>
              <w:rPr>
                <w:rFonts w:cs="宋体"/>
                <w:bCs w:val="0"/>
                <w:sz w:val="30"/>
              </w:rPr>
            </w:pPr>
            <w:r>
              <w:rPr>
                <w:rFonts w:hint="eastAsia" w:cs="宋体"/>
                <w:bCs w:val="0"/>
                <w:sz w:val="30"/>
              </w:rPr>
              <w:t>1、工程概况</w:t>
            </w:r>
          </w:p>
          <w:p>
            <w:pPr>
              <w:ind w:firstLine="480"/>
            </w:pPr>
            <w:r>
              <w:rPr>
                <w:rFonts w:hint="eastAsia"/>
              </w:rPr>
              <w:t>随着经济的发展，人们生活水平的提高，市场对牛蛙等水产需求量不断攀升。为适应市场需求，新田县祥忠种养专业合作社在永州市新田县大坪塘镇龙溪村投资建设新田县祥忠种养专业合作社牛蛙养殖项目</w:t>
            </w:r>
            <w:r>
              <w:rPr>
                <w:rFonts w:hint="eastAsia"/>
                <w:lang w:eastAsia="zh-CN"/>
              </w:rPr>
              <w:t>。</w:t>
            </w:r>
            <w:r>
              <w:rPr>
                <w:rFonts w:hint="eastAsia"/>
              </w:rPr>
              <w:t>本项目租赁</w:t>
            </w:r>
            <w:r>
              <w:rPr>
                <w:rFonts w:hint="eastAsia"/>
                <w:lang w:val="en-US" w:eastAsia="zh-CN"/>
              </w:rPr>
              <w:t>龙溪村</w:t>
            </w:r>
            <w:r>
              <w:rPr>
                <w:rFonts w:hint="eastAsia"/>
              </w:rPr>
              <w:t>村委会农村集体土地用于建设该牛蛙养殖项目，目前用地性质为林地，已向新田县自然资源局递交用地申请，并通过审批取得用地许可（附件5）手续</w:t>
            </w:r>
            <w:r>
              <w:t>。</w:t>
            </w:r>
          </w:p>
          <w:p>
            <w:pPr>
              <w:ind w:firstLine="480"/>
            </w:pPr>
            <w:r>
              <w:t>经查，本项目属于《建设项目环境影响评价分类管理名录（2021年版）》 中的“</w:t>
            </w:r>
            <w:r>
              <w:rPr>
                <w:rFonts w:hint="eastAsia" w:cs="宋体"/>
                <w:szCs w:val="21"/>
              </w:rPr>
              <w:t>三、渔业 0412 内陆养殖</w:t>
            </w:r>
            <w:r>
              <w:t>” ，根据《中华人民共和国环境保护法》、《中华人民共和国环境影响评价法》、《建设项目环境保护管理条例》的有关规定，</w:t>
            </w:r>
            <w:r>
              <w:rPr>
                <w:rFonts w:hint="eastAsia"/>
              </w:rPr>
              <w:t>该项目需要编制环境影响报告表</w:t>
            </w:r>
            <w:r>
              <w:t>。</w:t>
            </w:r>
            <w:r>
              <w:rPr>
                <w:rFonts w:hint="eastAsia" w:cs="宋体"/>
                <w:szCs w:val="21"/>
                <w:u w:val="none"/>
              </w:rPr>
              <w:t>项目目前已完成建设并投入生产，</w:t>
            </w:r>
            <w:r>
              <w:rPr>
                <w:rFonts w:hint="eastAsia" w:cs="宋体"/>
                <w:szCs w:val="21"/>
                <w:u w:val="none"/>
                <w:lang w:val="en-US" w:eastAsia="zh-CN"/>
              </w:rPr>
              <w:t>目前已被永州市生态环境局新田分局进行处罚</w:t>
            </w:r>
            <w:r>
              <w:rPr>
                <w:rFonts w:hint="eastAsia"/>
              </w:rPr>
              <w:t>。2024年6月</w:t>
            </w:r>
            <w:r>
              <w:t>建设单位委托</w:t>
            </w:r>
            <w:r>
              <w:rPr>
                <w:rFonts w:hint="eastAsia"/>
                <w:color w:val="000000" w:themeColor="text1"/>
              </w:rPr>
              <w:t>湖南智鹿环保技术有限公司</w:t>
            </w:r>
            <w:r>
              <w:t>开展本项目的环境影响评价工作评价单位接受委托后，组织有关技术人员进行现场勘察和周围环境质量调查，</w:t>
            </w:r>
            <w:r>
              <w:rPr>
                <w:rFonts w:hint="eastAsia"/>
              </w:rPr>
              <w:t>根据《建设项目环境影响报告表编制技术指南》（污染影响类）（试行）编制了《新田县祥忠种养专业合作社牛蛙养殖项目环境影响报告表》</w:t>
            </w:r>
            <w:r>
              <w:t>。</w:t>
            </w:r>
          </w:p>
          <w:p>
            <w:pPr>
              <w:pStyle w:val="4"/>
              <w:widowControl/>
              <w:numPr>
                <w:ilvl w:val="0"/>
                <w:numId w:val="0"/>
              </w:numPr>
              <w:tabs>
                <w:tab w:val="left" w:pos="360"/>
                <w:tab w:val="left" w:pos="432"/>
              </w:tabs>
              <w:adjustRightInd w:val="0"/>
              <w:snapToGrid w:val="0"/>
              <w:spacing w:beforeLines="0" w:afterLines="0" w:line="240" w:lineRule="auto"/>
              <w:rPr>
                <w:rFonts w:cs="宋体"/>
                <w:bCs w:val="0"/>
                <w:sz w:val="30"/>
              </w:rPr>
            </w:pPr>
            <w:r>
              <w:rPr>
                <w:rFonts w:hint="eastAsia" w:cs="宋体"/>
                <w:bCs w:val="0"/>
                <w:sz w:val="30"/>
              </w:rPr>
              <w:t>2、建设内容及规模</w:t>
            </w:r>
          </w:p>
          <w:p>
            <w:pPr>
              <w:ind w:firstLine="480"/>
              <w:rPr>
                <w:b/>
                <w:bCs/>
              </w:rPr>
            </w:pPr>
            <w:r>
              <w:rPr>
                <w:rFonts w:hint="eastAsia"/>
                <w:b/>
                <w:bCs/>
              </w:rPr>
              <w:t>（1）建设项目基本概况</w:t>
            </w:r>
          </w:p>
          <w:p>
            <w:pPr>
              <w:ind w:firstLine="480"/>
            </w:pPr>
            <w:r>
              <w:rPr>
                <w:rFonts w:hint="eastAsia"/>
              </w:rPr>
              <w:t>项目名称：新田县祥忠种养专业合作社牛蛙养殖项目</w:t>
            </w:r>
          </w:p>
          <w:p>
            <w:pPr>
              <w:ind w:firstLine="480"/>
            </w:pPr>
            <w:r>
              <w:rPr>
                <w:rFonts w:hint="eastAsia"/>
              </w:rPr>
              <w:t>建设单位：新田县祥忠种养专业合作社</w:t>
            </w:r>
          </w:p>
          <w:p>
            <w:pPr>
              <w:ind w:firstLine="480"/>
            </w:pPr>
            <w:r>
              <w:rPr>
                <w:rFonts w:hint="eastAsia"/>
              </w:rPr>
              <w:t>建设地点：永州市新田县大坪塘镇龙溪村</w:t>
            </w:r>
          </w:p>
          <w:p>
            <w:pPr>
              <w:ind w:firstLine="480"/>
            </w:pPr>
            <w:r>
              <w:rPr>
                <w:rFonts w:hint="eastAsia"/>
              </w:rPr>
              <w:t>单位法人：</w:t>
            </w:r>
            <w:r>
              <w:rPr>
                <w:rFonts w:hint="eastAsia" w:cs="宋体"/>
                <w:szCs w:val="21"/>
              </w:rPr>
              <w:t>胡祥忠</w:t>
            </w:r>
          </w:p>
          <w:p>
            <w:pPr>
              <w:ind w:firstLine="480"/>
              <w:rPr>
                <w:rFonts w:hint="eastAsia" w:eastAsia="宋体"/>
                <w:lang w:eastAsia="zh-CN"/>
              </w:rPr>
            </w:pPr>
            <w:r>
              <w:rPr>
                <w:rFonts w:hint="eastAsia"/>
              </w:rPr>
              <w:t>建设性质：新建</w:t>
            </w:r>
            <w:r>
              <w:rPr>
                <w:rStyle w:val="50"/>
                <w:rFonts w:hint="eastAsia"/>
                <w:kern w:val="0"/>
                <w:sz w:val="24"/>
                <w:szCs w:val="24"/>
                <w:lang w:eastAsia="zh-CN"/>
              </w:rPr>
              <w:t>（</w:t>
            </w:r>
            <w:r>
              <w:rPr>
                <w:rStyle w:val="50"/>
                <w:rFonts w:hint="eastAsia"/>
                <w:kern w:val="0"/>
                <w:sz w:val="24"/>
                <w:szCs w:val="24"/>
                <w:lang w:val="en-US" w:eastAsia="zh-CN"/>
              </w:rPr>
              <w:t>补办环评手续</w:t>
            </w:r>
            <w:r>
              <w:rPr>
                <w:rStyle w:val="50"/>
                <w:rFonts w:hint="eastAsia"/>
                <w:kern w:val="0"/>
                <w:sz w:val="24"/>
                <w:szCs w:val="24"/>
                <w:lang w:eastAsia="zh-CN"/>
              </w:rPr>
              <w:t>）</w:t>
            </w:r>
          </w:p>
          <w:p>
            <w:pPr>
              <w:ind w:firstLine="480"/>
            </w:pPr>
            <w:r>
              <w:rPr>
                <w:rFonts w:hint="eastAsia"/>
              </w:rPr>
              <w:t>项目投资：850万元，其中环保投资</w:t>
            </w:r>
            <w:r>
              <w:rPr>
                <w:rFonts w:hint="eastAsia"/>
                <w:lang w:val="en-US" w:eastAsia="zh-CN"/>
              </w:rPr>
              <w:t>38.5</w:t>
            </w:r>
            <w:r>
              <w:rPr>
                <w:rFonts w:hint="eastAsia"/>
              </w:rPr>
              <w:t>万人民币。</w:t>
            </w:r>
          </w:p>
          <w:p>
            <w:pPr>
              <w:ind w:firstLine="480"/>
            </w:pPr>
            <w:r>
              <w:rPr>
                <w:rFonts w:hint="eastAsia"/>
              </w:rPr>
              <w:t>项目</w:t>
            </w:r>
            <w:r>
              <w:rPr>
                <w:rFonts w:hint="eastAsia"/>
                <w:lang w:val="en-US" w:eastAsia="zh-CN"/>
              </w:rPr>
              <w:t>建设范围</w:t>
            </w:r>
            <w:r>
              <w:rPr>
                <w:rFonts w:hint="eastAsia"/>
              </w:rPr>
              <w:t>周围环境概况：本项目占用面积16648m</w:t>
            </w:r>
            <w:r>
              <w:rPr>
                <w:rFonts w:hint="eastAsia"/>
                <w:vertAlign w:val="superscript"/>
              </w:rPr>
              <w:t>2</w:t>
            </w:r>
            <w:r>
              <w:rPr>
                <w:rFonts w:hint="eastAsia"/>
              </w:rPr>
              <w:t>，本项目</w:t>
            </w:r>
            <w:r>
              <w:rPr>
                <w:rFonts w:hint="eastAsia"/>
                <w:lang w:val="en-US" w:eastAsia="zh-CN"/>
              </w:rPr>
              <w:t>建设范围</w:t>
            </w:r>
            <w:r>
              <w:rPr>
                <w:rFonts w:hint="eastAsia"/>
              </w:rPr>
              <w:t>周边主要为田地、林地和荒地，项目周边500m范围内无环境</w:t>
            </w:r>
            <w:r>
              <w:rPr>
                <w:rStyle w:val="50"/>
                <w:rFonts w:hint="eastAsia"/>
                <w:kern w:val="0"/>
                <w:sz w:val="24"/>
                <w:szCs w:val="24"/>
                <w:lang w:val="en-US" w:eastAsia="zh-CN"/>
              </w:rPr>
              <w:t>空气</w:t>
            </w:r>
            <w:r>
              <w:rPr>
                <w:rFonts w:hint="eastAsia"/>
              </w:rPr>
              <w:t>保护目标。</w:t>
            </w:r>
          </w:p>
          <w:p>
            <w:pPr>
              <w:ind w:firstLine="480"/>
            </w:pPr>
            <w:r>
              <w:rPr>
                <w:rFonts w:hint="eastAsia"/>
              </w:rPr>
              <w:t>劳动定员：10人，均为附近居民，不在场内食宿，年工作300天，一班制，每班8小时。</w:t>
            </w:r>
          </w:p>
          <w:p>
            <w:pPr>
              <w:pStyle w:val="266"/>
              <w:ind w:firstLine="462" w:firstLineChars="200"/>
              <w:rPr>
                <w:b/>
                <w:bCs/>
                <w:lang w:eastAsia="zh-CN"/>
              </w:rPr>
            </w:pPr>
            <w:r>
              <w:rPr>
                <w:rFonts w:hint="eastAsia"/>
                <w:b/>
                <w:bCs/>
                <w:spacing w:val="-5"/>
                <w:lang w:eastAsia="zh-CN"/>
              </w:rPr>
              <w:t>（2）</w:t>
            </w:r>
            <w:r>
              <w:rPr>
                <w:b/>
                <w:bCs/>
                <w:spacing w:val="-5"/>
                <w:lang w:eastAsia="zh-CN"/>
              </w:rPr>
              <w:t>产品规模</w:t>
            </w:r>
          </w:p>
          <w:p>
            <w:pPr>
              <w:pStyle w:val="266"/>
              <w:ind w:firstLine="476" w:firstLineChars="200"/>
              <w:rPr>
                <w:lang w:eastAsia="zh-CN"/>
              </w:rPr>
            </w:pPr>
            <w:r>
              <w:rPr>
                <w:spacing w:val="-1"/>
                <w:lang w:eastAsia="zh-CN"/>
              </w:rPr>
              <w:t>本项目养殖牛蛙。产品方案及规模见下表：</w:t>
            </w:r>
          </w:p>
          <w:p>
            <w:pPr>
              <w:pStyle w:val="266"/>
              <w:spacing w:line="240" w:lineRule="auto"/>
              <w:jc w:val="center"/>
              <w:rPr>
                <w:rFonts w:ascii="Times New Roman" w:hAnsi="Times New Roman" w:cs="Times New Roman"/>
                <w:b/>
                <w:bCs/>
                <w:color w:val="000000"/>
                <w:spacing w:val="-5"/>
                <w:sz w:val="21"/>
                <w:szCs w:val="21"/>
                <w:lang w:eastAsia="zh-CN"/>
              </w:rPr>
            </w:pPr>
            <w:r>
              <w:rPr>
                <w:rFonts w:ascii="Times New Roman" w:hAnsi="Times New Roman" w:cs="Times New Roman"/>
                <w:b/>
                <w:bCs/>
                <w:color w:val="000000"/>
                <w:spacing w:val="-5"/>
                <w:sz w:val="21"/>
                <w:szCs w:val="21"/>
                <w:lang w:eastAsia="zh-CN"/>
              </w:rPr>
              <w:t>表 2-1 项目产品方案</w:t>
            </w:r>
          </w:p>
          <w:tbl>
            <w:tblPr>
              <w:tblStyle w:val="173"/>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13"/>
              <w:gridCol w:w="1220"/>
              <w:gridCol w:w="2181"/>
              <w:gridCol w:w="2212"/>
              <w:gridCol w:w="161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391"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8"/>
                      <w:sz w:val="21"/>
                      <w:szCs w:val="21"/>
                      <w:lang w:eastAsia="zh-CN"/>
                    </w:rPr>
                    <w:t>序号</w:t>
                  </w:r>
                </w:p>
              </w:tc>
              <w:tc>
                <w:tcPr>
                  <w:tcW w:w="778" w:type="pc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5"/>
                      <w:sz w:val="21"/>
                      <w:szCs w:val="21"/>
                      <w:lang w:eastAsia="zh-CN"/>
                    </w:rPr>
                    <w:t>产品名称</w:t>
                  </w:r>
                </w:p>
              </w:tc>
              <w:tc>
                <w:tcPr>
                  <w:tcW w:w="1391" w:type="pct"/>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cs="Times New Roman"/>
                      <w:b/>
                      <w:bCs/>
                      <w:color w:val="000000"/>
                      <w:spacing w:val="-3"/>
                      <w:sz w:val="21"/>
                      <w:szCs w:val="21"/>
                      <w:lang w:val="en-US" w:eastAsia="zh-CN"/>
                    </w:rPr>
                  </w:pPr>
                  <w:r>
                    <w:rPr>
                      <w:rFonts w:hint="eastAsia" w:ascii="Times New Roman" w:hAnsi="Times New Roman" w:cs="Times New Roman"/>
                      <w:b/>
                      <w:bCs/>
                      <w:color w:val="000000"/>
                      <w:spacing w:val="-3"/>
                      <w:sz w:val="21"/>
                      <w:szCs w:val="21"/>
                      <w:lang w:val="en-US" w:eastAsia="zh-CN"/>
                    </w:rPr>
                    <w:t>年出产上市批次</w:t>
                  </w:r>
                </w:p>
              </w:tc>
              <w:tc>
                <w:tcPr>
                  <w:tcW w:w="1411" w:type="pct"/>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cs="Times New Roman"/>
                      <w:b/>
                      <w:bCs/>
                      <w:color w:val="000000"/>
                      <w:sz w:val="21"/>
                      <w:szCs w:val="21"/>
                      <w:lang w:val="en-US" w:eastAsia="zh-CN"/>
                    </w:rPr>
                  </w:pPr>
                  <w:r>
                    <w:rPr>
                      <w:rFonts w:hint="eastAsia" w:ascii="Times New Roman" w:hAnsi="Times New Roman" w:cs="Times New Roman"/>
                      <w:b/>
                      <w:bCs/>
                      <w:color w:val="000000"/>
                      <w:spacing w:val="-3"/>
                      <w:sz w:val="21"/>
                      <w:szCs w:val="21"/>
                      <w:lang w:val="en-US" w:eastAsia="zh-CN"/>
                    </w:rPr>
                    <w:t>单只重量（kg）</w:t>
                  </w:r>
                </w:p>
              </w:tc>
              <w:tc>
                <w:tcPr>
                  <w:tcW w:w="1027" w:type="pct"/>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b/>
                      <w:bCs/>
                      <w:color w:val="000000"/>
                      <w:spacing w:val="-3"/>
                      <w:sz w:val="21"/>
                      <w:szCs w:val="21"/>
                      <w:lang w:eastAsia="zh-CN"/>
                    </w:rPr>
                  </w:pPr>
                  <w:r>
                    <w:rPr>
                      <w:rFonts w:ascii="Times New Roman" w:hAnsi="Times New Roman" w:cs="Times New Roman"/>
                      <w:b/>
                      <w:bCs/>
                      <w:color w:val="000000"/>
                      <w:spacing w:val="-3"/>
                      <w:sz w:val="21"/>
                      <w:szCs w:val="21"/>
                      <w:lang w:eastAsia="zh-CN"/>
                    </w:rPr>
                    <w:t>产量（t/a）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391" w:type="pct"/>
                  <w:tcBorders>
                    <w:top w:val="single" w:color="000000" w:sz="4" w:space="0"/>
                    <w:left w:val="single" w:color="000000" w:sz="12" w:space="0"/>
                    <w:bottom w:val="single" w:color="000000" w:sz="12"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z w:val="21"/>
                      <w:szCs w:val="21"/>
                      <w:lang w:eastAsia="zh-CN"/>
                    </w:rPr>
                    <w:t>1</w:t>
                  </w:r>
                </w:p>
              </w:tc>
              <w:tc>
                <w:tcPr>
                  <w:tcW w:w="778" w:type="pct"/>
                  <w:tcBorders>
                    <w:top w:val="single" w:color="000000" w:sz="4" w:space="0"/>
                    <w:left w:val="single" w:color="000000" w:sz="4" w:space="0"/>
                    <w:bottom w:val="single" w:color="000000" w:sz="12"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9"/>
                      <w:sz w:val="21"/>
                      <w:szCs w:val="21"/>
                      <w:lang w:eastAsia="zh-CN"/>
                    </w:rPr>
                    <w:t>牛蛙</w:t>
                  </w:r>
                </w:p>
              </w:tc>
              <w:tc>
                <w:tcPr>
                  <w:tcW w:w="1391" w:type="pct"/>
                  <w:tcBorders>
                    <w:top w:val="single" w:color="000000" w:sz="4" w:space="0"/>
                    <w:left w:val="single" w:color="000000" w:sz="4" w:space="0"/>
                    <w:bottom w:val="single" w:color="000000" w:sz="12" w:space="0"/>
                    <w:right w:val="single" w:color="000000" w:sz="12" w:space="0"/>
                  </w:tcBorders>
                  <w:shd w:val="clear" w:color="auto" w:fill="FFFFFF"/>
                  <w:vAlign w:val="center"/>
                </w:tcPr>
                <w:p>
                  <w:pPr>
                    <w:pStyle w:val="266"/>
                    <w:spacing w:line="240" w:lineRule="auto"/>
                    <w:jc w:val="center"/>
                    <w:rPr>
                      <w:rFonts w:hint="default" w:ascii="Times New Roman" w:hAnsi="Times New Roman" w:cs="Times New Roman"/>
                      <w:color w:val="000000"/>
                      <w:spacing w:val="-5"/>
                      <w:sz w:val="21"/>
                      <w:szCs w:val="21"/>
                      <w:lang w:val="en-US" w:eastAsia="zh-CN"/>
                    </w:rPr>
                  </w:pPr>
                  <w:r>
                    <w:rPr>
                      <w:rFonts w:hint="eastAsia" w:ascii="Times New Roman" w:hAnsi="Times New Roman" w:cs="Times New Roman"/>
                      <w:color w:val="000000"/>
                      <w:spacing w:val="-5"/>
                      <w:sz w:val="21"/>
                      <w:szCs w:val="21"/>
                      <w:lang w:val="en-US" w:eastAsia="zh-CN"/>
                    </w:rPr>
                    <w:t>2</w:t>
                  </w:r>
                </w:p>
              </w:tc>
              <w:tc>
                <w:tcPr>
                  <w:tcW w:w="1411" w:type="pct"/>
                  <w:tcBorders>
                    <w:top w:val="single" w:color="000000" w:sz="4" w:space="0"/>
                    <w:left w:val="single" w:color="000000" w:sz="4" w:space="0"/>
                    <w:bottom w:val="single" w:color="000000" w:sz="12" w:space="0"/>
                    <w:right w:val="single" w:color="000000" w:sz="12" w:space="0"/>
                  </w:tcBorders>
                  <w:shd w:val="clear" w:color="auto" w:fill="FFFFFF"/>
                  <w:vAlign w:val="center"/>
                </w:tcPr>
                <w:p>
                  <w:pPr>
                    <w:pStyle w:val="266"/>
                    <w:spacing w:line="240" w:lineRule="auto"/>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pacing w:val="-5"/>
                      <w:sz w:val="21"/>
                      <w:szCs w:val="21"/>
                      <w:lang w:val="en-US" w:eastAsia="zh-CN"/>
                    </w:rPr>
                    <w:t>1~1.5</w:t>
                  </w:r>
                </w:p>
              </w:tc>
              <w:tc>
                <w:tcPr>
                  <w:tcW w:w="1027" w:type="pct"/>
                  <w:tcBorders>
                    <w:top w:val="single" w:color="000000" w:sz="4" w:space="0"/>
                    <w:left w:val="single" w:color="000000" w:sz="4" w:space="0"/>
                    <w:bottom w:val="single" w:color="000000" w:sz="12" w:space="0"/>
                    <w:right w:val="single" w:color="000000" w:sz="12" w:space="0"/>
                  </w:tcBorders>
                  <w:shd w:val="clear" w:color="auto" w:fill="FFFFFF"/>
                  <w:vAlign w:val="center"/>
                </w:tcPr>
                <w:p>
                  <w:pPr>
                    <w:pStyle w:val="266"/>
                    <w:spacing w:line="240" w:lineRule="auto"/>
                    <w:jc w:val="center"/>
                    <w:rPr>
                      <w:rFonts w:hint="eastAsia" w:ascii="Times New Roman" w:hAnsi="Times New Roman" w:cs="Times New Roman"/>
                      <w:color w:val="000000"/>
                      <w:spacing w:val="-5"/>
                      <w:sz w:val="21"/>
                      <w:szCs w:val="21"/>
                      <w:lang w:val="en-US" w:eastAsia="zh-CN"/>
                    </w:rPr>
                  </w:pPr>
                  <w:r>
                    <w:rPr>
                      <w:rFonts w:hint="eastAsia" w:ascii="Times New Roman" w:hAnsi="Times New Roman" w:cs="Times New Roman"/>
                      <w:color w:val="000000"/>
                      <w:spacing w:val="-5"/>
                      <w:sz w:val="21"/>
                      <w:szCs w:val="21"/>
                      <w:lang w:val="en-US" w:eastAsia="zh-CN"/>
                    </w:rPr>
                    <w:t>300</w:t>
                  </w:r>
                </w:p>
              </w:tc>
            </w:tr>
          </w:tbl>
          <w:p>
            <w:pPr>
              <w:pStyle w:val="266"/>
              <w:ind w:firstLine="472" w:firstLineChars="200"/>
              <w:rPr>
                <w:rFonts w:ascii="Times New Roman" w:hAnsi="Times New Roman" w:cs="Times New Roman"/>
                <w:spacing w:val="-3"/>
                <w:lang w:eastAsia="zh-CN"/>
              </w:rPr>
            </w:pPr>
            <w:r>
              <w:rPr>
                <w:rFonts w:hint="eastAsia" w:ascii="Times New Roman" w:hAnsi="Times New Roman" w:cs="Times New Roman"/>
                <w:spacing w:val="-2"/>
                <w:lang w:val="en-US" w:eastAsia="zh-CN"/>
              </w:rPr>
              <w:t>牛蛙是一</w:t>
            </w:r>
            <w:r>
              <w:rPr>
                <w:rFonts w:ascii="Times New Roman" w:hAnsi="Times New Roman" w:cs="Times New Roman"/>
                <w:spacing w:val="-2"/>
                <w:lang w:eastAsia="zh-CN"/>
              </w:rPr>
              <w:t>种大型食用蛙，其肉质细嫩，味道鲜美，营养丰富，具有一定的药用价值。牛</w:t>
            </w:r>
            <w:r>
              <w:rPr>
                <w:rFonts w:ascii="Times New Roman" w:hAnsi="Times New Roman" w:cs="Times New Roman"/>
                <w:spacing w:val="-3"/>
                <w:lang w:eastAsia="zh-CN"/>
              </w:rPr>
              <w:t>蛙，俗</w:t>
            </w:r>
            <w:r>
              <w:rPr>
                <w:rFonts w:ascii="Times New Roman" w:hAnsi="Times New Roman" w:cs="Times New Roman"/>
                <w:spacing w:val="-2"/>
                <w:lang w:eastAsia="zh-CN"/>
              </w:rPr>
              <w:t>名美国水蛙，个体硕大，生长快，产量高，原产于北美洲和墨西哥等地，目前己遍及世界各大洲，是各地食用蛙中的主要养殖种类，1959年牛蛙从古巴引入我国，1986年在我国</w:t>
            </w:r>
            <w:r>
              <w:rPr>
                <w:rFonts w:ascii="Times New Roman" w:hAnsi="Times New Roman" w:cs="Times New Roman"/>
                <w:spacing w:val="-3"/>
                <w:lang w:eastAsia="zh-CN"/>
              </w:rPr>
              <w:t>中部和南部大量饲养。九十年代左右开始在我国被大范围推广养殖。近年来，牛蛙已成为我国水产养殖重要的名特水产品之一。牛蛙体大粗壮，成蛙体长20厘米，重达1千克。皮肤粗糙，体背绿棕色，有暗棕色斑纹，腹部灰白色，雄蛙咽部黄皮。牛蛙体形与一般蛙相同，但个体较大，雌蛙体长达20厘米，雄蛙18厘米，最大个体可达2千克以上。头部宽扁。口端位，吻端尖圆面钝。眼球外突，分上下两部分，下眼皮上有一个可折绉的瞬膜，可将眼闭合。背部略粗糙，有细微的肤棱。四肢粗壮，前肢短，无蹼。雄性个体第一趾内侧有一明显的灰色瘤状突起。后肢较长大，趾间有蹼。肤色随着生活环境而多变，通常背部及四肢为绿褐色，背部带有暗褐色斑纹；头部及口缘鲜绿色；腹面白色；咽喉下面的颜色随雌雄而异，雌性多为白色、灰色或暗灰色，雄性为金黄色</w:t>
            </w:r>
            <w:r>
              <w:rPr>
                <w:rFonts w:hint="eastAsia" w:ascii="Times New Roman" w:hAnsi="Times New Roman" w:cs="Times New Roman"/>
                <w:spacing w:val="-3"/>
                <w:lang w:eastAsia="zh-CN"/>
              </w:rPr>
              <w:t>。</w:t>
            </w:r>
            <w:r>
              <w:rPr>
                <w:rFonts w:hint="eastAsia" w:ascii="Times New Roman" w:hAnsi="Times New Roman" w:cs="Times New Roman"/>
                <w:spacing w:val="-3"/>
                <w:lang w:val="en-US" w:eastAsia="zh-CN"/>
              </w:rPr>
              <w:t>牛蛙为水陆两栖型生物，本项目蛙苗主要来自于福建省漳州市东山县，本项目采取使用泡沫板漂浮在水面上为牛蛙提供陆地栖息环境</w:t>
            </w:r>
            <w:r>
              <w:rPr>
                <w:rFonts w:ascii="Times New Roman" w:hAnsi="Times New Roman" w:cs="Times New Roman"/>
                <w:spacing w:val="-3"/>
                <w:lang w:eastAsia="zh-CN"/>
              </w:rPr>
              <w:t>。</w:t>
            </w:r>
          </w:p>
          <w:p>
            <w:pPr>
              <w:pStyle w:val="4"/>
              <w:widowControl/>
              <w:numPr>
                <w:ilvl w:val="0"/>
                <w:numId w:val="0"/>
              </w:numPr>
              <w:tabs>
                <w:tab w:val="left" w:pos="360"/>
                <w:tab w:val="left" w:pos="432"/>
              </w:tabs>
              <w:spacing w:beforeLines="0" w:afterLines="0" w:line="288" w:lineRule="auto"/>
              <w:rPr>
                <w:rFonts w:cs="宋体"/>
                <w:bCs w:val="0"/>
              </w:rPr>
            </w:pPr>
            <w:r>
              <w:rPr>
                <w:rFonts w:hint="eastAsia" w:cs="宋体"/>
                <w:bCs w:val="0"/>
              </w:rPr>
              <w:t>3、工程主要建设内容</w:t>
            </w:r>
          </w:p>
          <w:p>
            <w:pPr>
              <w:ind w:firstLine="480"/>
              <w:rPr>
                <w:szCs w:val="21"/>
              </w:rPr>
            </w:pPr>
            <w:r>
              <w:rPr>
                <w:rFonts w:hint="eastAsia"/>
                <w:u w:val="single"/>
              </w:rPr>
              <w:t>本项目主体、公用、辅助及环保工程详见下表</w:t>
            </w:r>
            <w:r>
              <w:rPr>
                <w:rFonts w:hint="eastAsia"/>
              </w:rPr>
              <w:t>。</w:t>
            </w:r>
          </w:p>
          <w:p>
            <w:pPr>
              <w:tabs>
                <w:tab w:val="left" w:pos="1021"/>
              </w:tabs>
              <w:spacing w:line="240" w:lineRule="auto"/>
              <w:jc w:val="center"/>
              <w:rPr>
                <w:b/>
              </w:rPr>
            </w:pPr>
            <w:r>
              <w:rPr>
                <w:rFonts w:hint="eastAsia"/>
                <w:b/>
              </w:rPr>
              <w:t>表2-2工程主要建设内容表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124"/>
              <w:gridCol w:w="3427"/>
              <w:gridCol w:w="800"/>
              <w:gridCol w:w="1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Align w:val="center"/>
                </w:tcPr>
                <w:p>
                  <w:pPr>
                    <w:adjustRightInd w:val="0"/>
                    <w:snapToGrid w:val="0"/>
                    <w:spacing w:line="240" w:lineRule="auto"/>
                    <w:jc w:val="center"/>
                    <w:rPr>
                      <w:sz w:val="21"/>
                      <w:szCs w:val="21"/>
                      <w:u w:val="single"/>
                    </w:rPr>
                  </w:pPr>
                  <w:r>
                    <w:rPr>
                      <w:sz w:val="21"/>
                      <w:szCs w:val="21"/>
                      <w:u w:val="single"/>
                    </w:rPr>
                    <w:t>类别</w:t>
                  </w:r>
                </w:p>
              </w:tc>
              <w:tc>
                <w:tcPr>
                  <w:tcW w:w="1124" w:type="dxa"/>
                  <w:vAlign w:val="center"/>
                </w:tcPr>
                <w:p>
                  <w:pPr>
                    <w:adjustRightInd w:val="0"/>
                    <w:snapToGrid w:val="0"/>
                    <w:spacing w:line="240" w:lineRule="auto"/>
                    <w:jc w:val="center"/>
                    <w:rPr>
                      <w:sz w:val="21"/>
                      <w:szCs w:val="21"/>
                      <w:u w:val="single"/>
                    </w:rPr>
                  </w:pPr>
                  <w:r>
                    <w:rPr>
                      <w:sz w:val="21"/>
                      <w:szCs w:val="21"/>
                      <w:u w:val="single"/>
                    </w:rPr>
                    <w:t>建设名称</w:t>
                  </w:r>
                </w:p>
              </w:tc>
              <w:tc>
                <w:tcPr>
                  <w:tcW w:w="3427" w:type="dxa"/>
                  <w:vAlign w:val="center"/>
                </w:tcPr>
                <w:p>
                  <w:pPr>
                    <w:adjustRightInd w:val="0"/>
                    <w:snapToGrid w:val="0"/>
                    <w:spacing w:line="240" w:lineRule="auto"/>
                    <w:jc w:val="center"/>
                    <w:rPr>
                      <w:sz w:val="21"/>
                      <w:szCs w:val="21"/>
                      <w:u w:val="single"/>
                    </w:rPr>
                  </w:pPr>
                  <w:r>
                    <w:rPr>
                      <w:sz w:val="21"/>
                      <w:szCs w:val="21"/>
                      <w:u w:val="single"/>
                    </w:rPr>
                    <w:t>建设内容及规模</w:t>
                  </w:r>
                </w:p>
              </w:tc>
              <w:tc>
                <w:tcPr>
                  <w:tcW w:w="800"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lang w:val="en-US" w:eastAsia="zh-CN"/>
                    </w:rPr>
                    <w:t>建设情况</w:t>
                  </w:r>
                </w:p>
              </w:tc>
              <w:tc>
                <w:tcPr>
                  <w:tcW w:w="1618" w:type="dxa"/>
                  <w:vAlign w:val="center"/>
                </w:tcPr>
                <w:p>
                  <w:pPr>
                    <w:adjustRightInd w:val="0"/>
                    <w:snapToGrid w:val="0"/>
                    <w:spacing w:line="240" w:lineRule="auto"/>
                    <w:jc w:val="center"/>
                    <w:rPr>
                      <w:sz w:val="21"/>
                      <w:szCs w:val="21"/>
                      <w:u w:val="single"/>
                    </w:rPr>
                  </w:pPr>
                  <w:r>
                    <w:rPr>
                      <w:sz w:val="21"/>
                      <w:szCs w:val="21"/>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864" w:type="dxa"/>
                  <w:vMerge w:val="restart"/>
                  <w:vAlign w:val="center"/>
                </w:tcPr>
                <w:p>
                  <w:pPr>
                    <w:adjustRightInd w:val="0"/>
                    <w:snapToGrid w:val="0"/>
                    <w:spacing w:line="240" w:lineRule="auto"/>
                    <w:jc w:val="center"/>
                    <w:rPr>
                      <w:sz w:val="21"/>
                      <w:szCs w:val="21"/>
                      <w:u w:val="single"/>
                    </w:rPr>
                  </w:pPr>
                  <w:r>
                    <w:rPr>
                      <w:sz w:val="21"/>
                      <w:szCs w:val="21"/>
                      <w:u w:val="single"/>
                    </w:rPr>
                    <w:t>主体工程</w:t>
                  </w:r>
                </w:p>
              </w:tc>
              <w:tc>
                <w:tcPr>
                  <w:tcW w:w="1124" w:type="dxa"/>
                  <w:vMerge w:val="restart"/>
                  <w:vAlign w:val="center"/>
                </w:tcPr>
                <w:p>
                  <w:pPr>
                    <w:adjustRightInd w:val="0"/>
                    <w:snapToGrid w:val="0"/>
                    <w:spacing w:line="240" w:lineRule="auto"/>
                    <w:jc w:val="center"/>
                    <w:rPr>
                      <w:sz w:val="21"/>
                      <w:szCs w:val="21"/>
                      <w:u w:val="single"/>
                    </w:rPr>
                  </w:pPr>
                  <w:r>
                    <w:rPr>
                      <w:rFonts w:hint="eastAsia"/>
                      <w:spacing w:val="-6"/>
                      <w:sz w:val="21"/>
                      <w:szCs w:val="21"/>
                      <w:u w:val="single"/>
                    </w:rPr>
                    <w:t>养殖区</w:t>
                  </w:r>
                </w:p>
              </w:tc>
              <w:tc>
                <w:tcPr>
                  <w:tcW w:w="3427" w:type="dxa"/>
                  <w:vAlign w:val="center"/>
                </w:tcPr>
                <w:p>
                  <w:pPr>
                    <w:adjustRightInd w:val="0"/>
                    <w:snapToGrid w:val="0"/>
                    <w:spacing w:line="240" w:lineRule="auto"/>
                    <w:rPr>
                      <w:rFonts w:hint="default" w:eastAsia="宋体"/>
                      <w:sz w:val="21"/>
                      <w:szCs w:val="21"/>
                      <w:u w:val="single"/>
                      <w:lang w:val="en-US" w:eastAsia="zh-CN"/>
                    </w:rPr>
                  </w:pPr>
                  <w:r>
                    <w:rPr>
                      <w:rFonts w:hint="eastAsia"/>
                      <w:sz w:val="21"/>
                      <w:szCs w:val="21"/>
                      <w:u w:val="single"/>
                    </w:rPr>
                    <w:t>蓄水池：占地400m</w:t>
                  </w:r>
                  <w:r>
                    <w:rPr>
                      <w:rFonts w:hint="eastAsia"/>
                      <w:sz w:val="21"/>
                      <w:szCs w:val="21"/>
                      <w:u w:val="single"/>
                      <w:vertAlign w:val="superscript"/>
                    </w:rPr>
                    <w:t>2</w:t>
                  </w:r>
                  <w:r>
                    <w:rPr>
                      <w:rFonts w:hint="eastAsia"/>
                      <w:sz w:val="21"/>
                      <w:szCs w:val="21"/>
                      <w:u w:val="single"/>
                    </w:rPr>
                    <w:t>，储存新鲜养殖用水以及回流水</w:t>
                  </w:r>
                  <w:r>
                    <w:rPr>
                      <w:rFonts w:hint="eastAsia"/>
                      <w:sz w:val="21"/>
                      <w:szCs w:val="21"/>
                      <w:u w:val="single"/>
                      <w:lang w:eastAsia="zh-CN"/>
                    </w:rPr>
                    <w:t>，</w:t>
                  </w:r>
                  <w:r>
                    <w:rPr>
                      <w:rFonts w:hint="eastAsia"/>
                      <w:sz w:val="21"/>
                      <w:szCs w:val="21"/>
                      <w:u w:val="single"/>
                      <w:lang w:val="en-US" w:eastAsia="zh-CN"/>
                    </w:rPr>
                    <w:t>防渗膜防渗</w:t>
                  </w:r>
                </w:p>
              </w:tc>
              <w:tc>
                <w:tcPr>
                  <w:tcW w:w="800" w:type="dxa"/>
                  <w:vMerge w:val="restart"/>
                  <w:vAlign w:val="center"/>
                </w:tcPr>
                <w:p>
                  <w:pPr>
                    <w:adjustRightInd w:val="0"/>
                    <w:snapToGrid w:val="0"/>
                    <w:spacing w:line="240" w:lineRule="auto"/>
                    <w:jc w:val="center"/>
                    <w:rPr>
                      <w:sz w:val="21"/>
                      <w:szCs w:val="21"/>
                      <w:u w:val="single"/>
                    </w:rPr>
                  </w:pPr>
                  <w:r>
                    <w:rPr>
                      <w:rFonts w:hint="eastAsia"/>
                      <w:sz w:val="21"/>
                      <w:szCs w:val="21"/>
                      <w:u w:val="single"/>
                    </w:rPr>
                    <w:t>已建</w:t>
                  </w:r>
                </w:p>
              </w:tc>
              <w:tc>
                <w:tcPr>
                  <w:tcW w:w="1618" w:type="dxa"/>
                  <w:vMerge w:val="restart"/>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864" w:type="dxa"/>
                  <w:vMerge w:val="continue"/>
                  <w:vAlign w:val="center"/>
                </w:tcPr>
                <w:p>
                  <w:pPr>
                    <w:adjustRightInd w:val="0"/>
                    <w:snapToGrid w:val="0"/>
                    <w:spacing w:line="240" w:lineRule="auto"/>
                    <w:jc w:val="center"/>
                    <w:rPr>
                      <w:u w:val="single"/>
                    </w:rPr>
                  </w:pPr>
                </w:p>
              </w:tc>
              <w:tc>
                <w:tcPr>
                  <w:tcW w:w="1124" w:type="dxa"/>
                  <w:vMerge w:val="continue"/>
                  <w:vAlign w:val="center"/>
                </w:tcPr>
                <w:p>
                  <w:pPr>
                    <w:adjustRightInd w:val="0"/>
                    <w:snapToGrid w:val="0"/>
                    <w:spacing w:line="240" w:lineRule="auto"/>
                    <w:jc w:val="center"/>
                    <w:rPr>
                      <w:u w:val="single"/>
                    </w:rPr>
                  </w:pPr>
                </w:p>
              </w:tc>
              <w:tc>
                <w:tcPr>
                  <w:tcW w:w="3427" w:type="dxa"/>
                  <w:vAlign w:val="center"/>
                </w:tcPr>
                <w:p>
                  <w:pPr>
                    <w:adjustRightInd w:val="0"/>
                    <w:snapToGrid w:val="0"/>
                    <w:spacing w:line="240" w:lineRule="auto"/>
                    <w:rPr>
                      <w:rFonts w:hint="default" w:eastAsia="宋体"/>
                      <w:sz w:val="21"/>
                      <w:szCs w:val="21"/>
                      <w:u w:val="single"/>
                      <w:lang w:val="en-US" w:eastAsia="zh-CN"/>
                    </w:rPr>
                  </w:pPr>
                  <w:r>
                    <w:rPr>
                      <w:rFonts w:hint="eastAsia"/>
                      <w:sz w:val="21"/>
                      <w:szCs w:val="21"/>
                      <w:u w:val="single"/>
                    </w:rPr>
                    <w:t>蛙池：占地面积约10000m</w:t>
                  </w:r>
                  <w:r>
                    <w:rPr>
                      <w:rFonts w:hint="eastAsia"/>
                      <w:sz w:val="21"/>
                      <w:szCs w:val="21"/>
                      <w:u w:val="single"/>
                      <w:vertAlign w:val="superscript"/>
                    </w:rPr>
                    <w:t>2</w:t>
                  </w:r>
                  <w:r>
                    <w:rPr>
                      <w:rFonts w:hint="eastAsia"/>
                      <w:sz w:val="21"/>
                      <w:szCs w:val="21"/>
                      <w:u w:val="single"/>
                    </w:rPr>
                    <w:t>，共设置74个蛙池，长34m，宽4m，用于牛蛙养殖</w:t>
                  </w:r>
                  <w:r>
                    <w:rPr>
                      <w:rFonts w:hint="eastAsia"/>
                      <w:sz w:val="21"/>
                      <w:szCs w:val="21"/>
                      <w:u w:val="single"/>
                      <w:lang w:eastAsia="zh-CN"/>
                    </w:rPr>
                    <w:t>，</w:t>
                  </w:r>
                  <w:r>
                    <w:rPr>
                      <w:rFonts w:hint="eastAsia"/>
                      <w:sz w:val="21"/>
                      <w:szCs w:val="21"/>
                      <w:u w:val="single"/>
                      <w:lang w:val="en-US" w:eastAsia="zh-CN"/>
                    </w:rPr>
                    <w:t>全部采用防渗膜进行防渗</w:t>
                  </w:r>
                </w:p>
              </w:tc>
              <w:tc>
                <w:tcPr>
                  <w:tcW w:w="800" w:type="dxa"/>
                  <w:vMerge w:val="continue"/>
                  <w:vAlign w:val="center"/>
                </w:tcPr>
                <w:p>
                  <w:pPr>
                    <w:adjustRightInd w:val="0"/>
                    <w:snapToGrid w:val="0"/>
                    <w:spacing w:line="240" w:lineRule="auto"/>
                    <w:jc w:val="center"/>
                    <w:rPr>
                      <w:sz w:val="21"/>
                      <w:szCs w:val="21"/>
                      <w:u w:val="single"/>
                    </w:rPr>
                  </w:pPr>
                </w:p>
              </w:tc>
              <w:tc>
                <w:tcPr>
                  <w:tcW w:w="1618" w:type="dxa"/>
                  <w:vMerge w:val="continue"/>
                  <w:vAlign w:val="center"/>
                </w:tcPr>
                <w:p>
                  <w:pPr>
                    <w:adjustRightInd w:val="0"/>
                    <w:snapToGrid w:val="0"/>
                    <w:spacing w:line="240" w:lineRule="auto"/>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Merge w:val="continue"/>
                  <w:vAlign w:val="center"/>
                </w:tcPr>
                <w:p>
                  <w:pPr>
                    <w:adjustRightInd w:val="0"/>
                    <w:snapToGrid w:val="0"/>
                    <w:spacing w:line="240" w:lineRule="auto"/>
                    <w:jc w:val="center"/>
                    <w:rPr>
                      <w:sz w:val="21"/>
                      <w:szCs w:val="21"/>
                      <w:u w:val="single"/>
                    </w:rPr>
                  </w:pPr>
                </w:p>
              </w:tc>
              <w:tc>
                <w:tcPr>
                  <w:tcW w:w="3427" w:type="dxa"/>
                  <w:vAlign w:val="center"/>
                </w:tcPr>
                <w:p>
                  <w:pPr>
                    <w:adjustRightInd w:val="0"/>
                    <w:snapToGrid w:val="0"/>
                    <w:spacing w:line="240" w:lineRule="auto"/>
                    <w:rPr>
                      <w:sz w:val="21"/>
                      <w:szCs w:val="21"/>
                      <w:u w:val="single"/>
                    </w:rPr>
                  </w:pPr>
                  <w:r>
                    <w:rPr>
                      <w:rFonts w:hint="eastAsia"/>
                      <w:sz w:val="21"/>
                      <w:szCs w:val="21"/>
                      <w:u w:val="single"/>
                    </w:rPr>
                    <w:t>三级过滤沉淀池：占地面积2000m</w:t>
                  </w:r>
                  <w:r>
                    <w:rPr>
                      <w:rFonts w:hint="eastAsia"/>
                      <w:sz w:val="21"/>
                      <w:szCs w:val="21"/>
                      <w:u w:val="single"/>
                      <w:vertAlign w:val="superscript"/>
                    </w:rPr>
                    <w:t>2</w:t>
                  </w:r>
                  <w:r>
                    <w:rPr>
                      <w:rFonts w:hint="eastAsia"/>
                      <w:sz w:val="21"/>
                      <w:szCs w:val="21"/>
                      <w:u w:val="single"/>
                    </w:rPr>
                    <w:t>，容积约10000m</w:t>
                  </w:r>
                  <w:r>
                    <w:rPr>
                      <w:rFonts w:hint="eastAsia"/>
                      <w:sz w:val="21"/>
                      <w:szCs w:val="21"/>
                      <w:u w:val="single"/>
                      <w:vertAlign w:val="superscript"/>
                    </w:rPr>
                    <w:t>3</w:t>
                  </w:r>
                  <w:r>
                    <w:rPr>
                      <w:rFonts w:hint="eastAsia"/>
                      <w:sz w:val="21"/>
                      <w:szCs w:val="21"/>
                      <w:u w:val="single"/>
                    </w:rPr>
                    <w:t>，共设置3个过滤沉淀池</w:t>
                  </w:r>
                  <w:r>
                    <w:rPr>
                      <w:rFonts w:hint="eastAsia"/>
                      <w:sz w:val="21"/>
                      <w:szCs w:val="21"/>
                      <w:u w:val="single"/>
                      <w:lang w:val="en-US" w:eastAsia="zh-CN"/>
                    </w:rPr>
                    <w:t>全部采用防渗膜进行防渗</w:t>
                  </w:r>
                </w:p>
              </w:tc>
              <w:tc>
                <w:tcPr>
                  <w:tcW w:w="800" w:type="dxa"/>
                  <w:vMerge w:val="continue"/>
                  <w:vAlign w:val="center"/>
                </w:tcPr>
                <w:p>
                  <w:pPr>
                    <w:adjustRightInd w:val="0"/>
                    <w:snapToGrid w:val="0"/>
                    <w:spacing w:line="240" w:lineRule="auto"/>
                    <w:jc w:val="center"/>
                    <w:rPr>
                      <w:sz w:val="21"/>
                      <w:szCs w:val="21"/>
                      <w:u w:val="single"/>
                    </w:rPr>
                  </w:pPr>
                </w:p>
              </w:tc>
              <w:tc>
                <w:tcPr>
                  <w:tcW w:w="1618" w:type="dxa"/>
                  <w:vMerge w:val="continue"/>
                  <w:vAlign w:val="center"/>
                </w:tcPr>
                <w:p>
                  <w:pPr>
                    <w:adjustRightInd w:val="0"/>
                    <w:snapToGrid w:val="0"/>
                    <w:spacing w:line="240" w:lineRule="auto"/>
                    <w:jc w:val="center"/>
                    <w:rPr>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rFonts w:hint="eastAsia"/>
                      <w:sz w:val="21"/>
                      <w:szCs w:val="21"/>
                      <w:u w:val="single"/>
                    </w:rPr>
                    <w:t>排水沟</w:t>
                  </w:r>
                </w:p>
              </w:tc>
              <w:tc>
                <w:tcPr>
                  <w:tcW w:w="3427" w:type="dxa"/>
                  <w:vAlign w:val="center"/>
                </w:tcPr>
                <w:p>
                  <w:pPr>
                    <w:adjustRightInd w:val="0"/>
                    <w:snapToGrid w:val="0"/>
                    <w:spacing w:line="240" w:lineRule="auto"/>
                    <w:jc w:val="center"/>
                    <w:rPr>
                      <w:sz w:val="21"/>
                      <w:szCs w:val="21"/>
                      <w:u w:val="single"/>
                    </w:rPr>
                  </w:pPr>
                  <w:r>
                    <w:rPr>
                      <w:rFonts w:hint="eastAsia"/>
                      <w:sz w:val="21"/>
                      <w:szCs w:val="21"/>
                      <w:u w:val="single"/>
                    </w:rPr>
                    <w:t>宽</w:t>
                  </w:r>
                  <w:r>
                    <w:rPr>
                      <w:rFonts w:hint="eastAsia"/>
                      <w:sz w:val="21"/>
                      <w:szCs w:val="21"/>
                      <w:u w:val="single"/>
                      <w:lang w:val="en-US" w:eastAsia="zh-CN"/>
                    </w:rPr>
                    <w:t>0.5</w:t>
                  </w:r>
                  <w:r>
                    <w:rPr>
                      <w:rFonts w:hint="eastAsia"/>
                      <w:sz w:val="21"/>
                      <w:szCs w:val="21"/>
                      <w:u w:val="single"/>
                    </w:rPr>
                    <w:t>m，用于养殖排水</w:t>
                  </w:r>
                  <w:r>
                    <w:rPr>
                      <w:rFonts w:hint="eastAsia"/>
                      <w:sz w:val="21"/>
                      <w:szCs w:val="21"/>
                      <w:u w:val="single"/>
                      <w:lang w:val="en-US" w:eastAsia="zh-CN"/>
                    </w:rPr>
                    <w:t>全部采用防渗膜进行防渗</w:t>
                  </w:r>
                  <w:r>
                    <w:rPr>
                      <w:sz w:val="21"/>
                      <w:szCs w:val="21"/>
                      <w:u w:val="single"/>
                    </w:rPr>
                    <w:t>。</w:t>
                  </w:r>
                </w:p>
              </w:tc>
              <w:tc>
                <w:tcPr>
                  <w:tcW w:w="800" w:type="dxa"/>
                  <w:vAlign w:val="center"/>
                </w:tcPr>
                <w:p>
                  <w:pPr>
                    <w:adjustRightInd w:val="0"/>
                    <w:snapToGrid w:val="0"/>
                    <w:spacing w:line="240" w:lineRule="auto"/>
                    <w:jc w:val="center"/>
                    <w:rPr>
                      <w:sz w:val="21"/>
                      <w:szCs w:val="21"/>
                      <w:u w:val="single"/>
                    </w:rPr>
                  </w:pPr>
                  <w:r>
                    <w:rPr>
                      <w:rFonts w:hint="eastAsia"/>
                      <w:sz w:val="21"/>
                      <w:szCs w:val="21"/>
                      <w:u w:val="single"/>
                    </w:rPr>
                    <w:t>已建</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rFonts w:hint="eastAsia"/>
                      <w:sz w:val="21"/>
                      <w:szCs w:val="21"/>
                      <w:u w:val="single"/>
                    </w:rPr>
                    <w:t>饲料仓库</w:t>
                  </w:r>
                </w:p>
              </w:tc>
              <w:tc>
                <w:tcPr>
                  <w:tcW w:w="3427" w:type="dxa"/>
                  <w:vAlign w:val="center"/>
                </w:tcPr>
                <w:p>
                  <w:pPr>
                    <w:adjustRightInd w:val="0"/>
                    <w:snapToGrid w:val="0"/>
                    <w:spacing w:line="240" w:lineRule="auto"/>
                    <w:jc w:val="center"/>
                    <w:rPr>
                      <w:sz w:val="21"/>
                      <w:szCs w:val="21"/>
                      <w:u w:val="single"/>
                    </w:rPr>
                  </w:pPr>
                  <w:r>
                    <w:rPr>
                      <w:rFonts w:hint="eastAsia"/>
                      <w:sz w:val="21"/>
                      <w:szCs w:val="21"/>
                      <w:u w:val="single"/>
                    </w:rPr>
                    <w:t>单层结构，占地400m</w:t>
                  </w:r>
                  <w:r>
                    <w:rPr>
                      <w:rFonts w:hint="eastAsia"/>
                      <w:sz w:val="21"/>
                      <w:szCs w:val="21"/>
                      <w:u w:val="single"/>
                      <w:vertAlign w:val="superscript"/>
                    </w:rPr>
                    <w:t>2</w:t>
                  </w:r>
                </w:p>
              </w:tc>
              <w:tc>
                <w:tcPr>
                  <w:tcW w:w="800" w:type="dxa"/>
                  <w:vAlign w:val="center"/>
                </w:tcPr>
                <w:p>
                  <w:pPr>
                    <w:adjustRightInd w:val="0"/>
                    <w:snapToGrid w:val="0"/>
                    <w:spacing w:line="240" w:lineRule="auto"/>
                    <w:jc w:val="center"/>
                    <w:rPr>
                      <w:sz w:val="21"/>
                      <w:szCs w:val="21"/>
                      <w:u w:val="single"/>
                    </w:rPr>
                  </w:pPr>
                  <w:r>
                    <w:rPr>
                      <w:rFonts w:hint="eastAsia"/>
                      <w:sz w:val="21"/>
                      <w:szCs w:val="21"/>
                      <w:u w:val="single"/>
                    </w:rPr>
                    <w:t>已建</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lang w:val="en-US" w:eastAsia="zh-CN"/>
                    </w:rPr>
                    <w:t>污泥堆场</w:t>
                  </w:r>
                </w:p>
              </w:tc>
              <w:tc>
                <w:tcPr>
                  <w:tcW w:w="3427"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lang w:val="en-US" w:eastAsia="zh-CN"/>
                    </w:rPr>
                    <w:t>用于沉淀池污泥堆放，面积100m</w:t>
                  </w:r>
                  <w:r>
                    <w:rPr>
                      <w:rFonts w:hint="eastAsia"/>
                      <w:sz w:val="21"/>
                      <w:szCs w:val="21"/>
                      <w:u w:val="single"/>
                      <w:vertAlign w:val="superscript"/>
                      <w:lang w:val="en-US" w:eastAsia="zh-CN"/>
                    </w:rPr>
                    <w:t>2</w:t>
                  </w:r>
                </w:p>
              </w:tc>
              <w:tc>
                <w:tcPr>
                  <w:tcW w:w="800" w:type="dxa"/>
                  <w:vAlign w:val="center"/>
                </w:tcPr>
                <w:p>
                  <w:pPr>
                    <w:adjustRightInd w:val="0"/>
                    <w:snapToGrid w:val="0"/>
                    <w:spacing w:line="240" w:lineRule="auto"/>
                    <w:jc w:val="center"/>
                    <w:rPr>
                      <w:rFonts w:hint="eastAsia" w:eastAsia="宋体"/>
                      <w:sz w:val="21"/>
                      <w:szCs w:val="21"/>
                      <w:u w:val="single"/>
                      <w:lang w:val="en-US" w:eastAsia="zh-CN"/>
                    </w:rPr>
                  </w:pPr>
                  <w:r>
                    <w:rPr>
                      <w:rFonts w:hint="eastAsia"/>
                      <w:sz w:val="21"/>
                      <w:szCs w:val="21"/>
                      <w:u w:val="single"/>
                      <w:lang w:val="en-US" w:eastAsia="zh-CN"/>
                    </w:rPr>
                    <w:t>新建</w:t>
                  </w:r>
                </w:p>
              </w:tc>
              <w:tc>
                <w:tcPr>
                  <w:tcW w:w="1618" w:type="dxa"/>
                  <w:vAlign w:val="center"/>
                </w:tcPr>
                <w:p>
                  <w:pPr>
                    <w:adjustRightInd w:val="0"/>
                    <w:snapToGrid w:val="0"/>
                    <w:spacing w:line="240" w:lineRule="auto"/>
                    <w:jc w:val="center"/>
                    <w:rPr>
                      <w:rFonts w:hint="eastAsia"/>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restart"/>
                  <w:vAlign w:val="center"/>
                </w:tcPr>
                <w:p>
                  <w:pPr>
                    <w:adjustRightInd w:val="0"/>
                    <w:snapToGrid w:val="0"/>
                    <w:spacing w:line="240" w:lineRule="auto"/>
                    <w:jc w:val="center"/>
                    <w:rPr>
                      <w:sz w:val="21"/>
                      <w:szCs w:val="21"/>
                      <w:u w:val="single"/>
                    </w:rPr>
                  </w:pPr>
                  <w:r>
                    <w:rPr>
                      <w:sz w:val="21"/>
                      <w:szCs w:val="21"/>
                      <w:u w:val="single"/>
                    </w:rPr>
                    <w:t>公用工程</w:t>
                  </w:r>
                </w:p>
              </w:tc>
              <w:tc>
                <w:tcPr>
                  <w:tcW w:w="1124" w:type="dxa"/>
                  <w:vAlign w:val="center"/>
                </w:tcPr>
                <w:p>
                  <w:pPr>
                    <w:adjustRightInd w:val="0"/>
                    <w:snapToGrid w:val="0"/>
                    <w:spacing w:line="240" w:lineRule="auto"/>
                    <w:jc w:val="center"/>
                    <w:rPr>
                      <w:sz w:val="21"/>
                      <w:szCs w:val="21"/>
                      <w:u w:val="single"/>
                    </w:rPr>
                  </w:pPr>
                  <w:r>
                    <w:rPr>
                      <w:rFonts w:hint="eastAsia"/>
                      <w:sz w:val="21"/>
                      <w:szCs w:val="21"/>
                      <w:u w:val="single"/>
                    </w:rPr>
                    <w:t>办公室</w:t>
                  </w:r>
                </w:p>
              </w:tc>
              <w:tc>
                <w:tcPr>
                  <w:tcW w:w="3427" w:type="dxa"/>
                  <w:vAlign w:val="center"/>
                </w:tcPr>
                <w:p>
                  <w:pPr>
                    <w:adjustRightInd w:val="0"/>
                    <w:snapToGrid w:val="0"/>
                    <w:spacing w:line="240" w:lineRule="auto"/>
                    <w:jc w:val="center"/>
                    <w:rPr>
                      <w:sz w:val="21"/>
                      <w:szCs w:val="21"/>
                      <w:u w:val="single"/>
                    </w:rPr>
                  </w:pPr>
                  <w:r>
                    <w:rPr>
                      <w:rFonts w:hint="eastAsia"/>
                      <w:sz w:val="21"/>
                      <w:szCs w:val="21"/>
                      <w:u w:val="single"/>
                      <w:lang w:val="en-US" w:eastAsia="zh-CN"/>
                    </w:rPr>
                    <w:t>单层砖混结</w:t>
                  </w:r>
                  <w:r>
                    <w:rPr>
                      <w:rFonts w:hint="eastAsia"/>
                      <w:sz w:val="21"/>
                      <w:szCs w:val="21"/>
                      <w:u w:val="single"/>
                    </w:rPr>
                    <w:t>构民房，建筑面积300m</w:t>
                  </w:r>
                  <w:r>
                    <w:rPr>
                      <w:rFonts w:hint="eastAsia"/>
                      <w:sz w:val="21"/>
                      <w:szCs w:val="21"/>
                      <w:u w:val="single"/>
                      <w:vertAlign w:val="superscript"/>
                    </w:rPr>
                    <w:t>2</w:t>
                  </w:r>
                </w:p>
              </w:tc>
              <w:tc>
                <w:tcPr>
                  <w:tcW w:w="800" w:type="dxa"/>
                  <w:vAlign w:val="center"/>
                </w:tcPr>
                <w:p>
                  <w:pPr>
                    <w:adjustRightInd w:val="0"/>
                    <w:snapToGrid w:val="0"/>
                    <w:spacing w:line="240" w:lineRule="auto"/>
                    <w:jc w:val="center"/>
                    <w:rPr>
                      <w:sz w:val="21"/>
                      <w:szCs w:val="21"/>
                      <w:u w:val="single"/>
                    </w:rPr>
                  </w:pPr>
                  <w:r>
                    <w:rPr>
                      <w:rFonts w:hint="eastAsia"/>
                      <w:sz w:val="21"/>
                      <w:szCs w:val="21"/>
                      <w:u w:val="single"/>
                    </w:rPr>
                    <w:t>已建</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供水系统</w:t>
                  </w:r>
                </w:p>
              </w:tc>
              <w:tc>
                <w:tcPr>
                  <w:tcW w:w="3427" w:type="dxa"/>
                  <w:vAlign w:val="center"/>
                </w:tcPr>
                <w:p>
                  <w:pPr>
                    <w:adjustRightInd w:val="0"/>
                    <w:snapToGrid w:val="0"/>
                    <w:spacing w:line="240" w:lineRule="auto"/>
                    <w:jc w:val="center"/>
                    <w:rPr>
                      <w:rFonts w:hint="default"/>
                      <w:sz w:val="21"/>
                      <w:szCs w:val="21"/>
                      <w:u w:val="single"/>
                      <w:lang w:val="en-US"/>
                    </w:rPr>
                  </w:pPr>
                  <w:r>
                    <w:rPr>
                      <w:rFonts w:hint="eastAsia"/>
                      <w:sz w:val="21"/>
                      <w:szCs w:val="21"/>
                      <w:u w:val="single"/>
                    </w:rPr>
                    <w:t>养殖用水主要来源于</w:t>
                  </w:r>
                  <w:r>
                    <w:rPr>
                      <w:rFonts w:hint="eastAsia"/>
                      <w:sz w:val="21"/>
                      <w:szCs w:val="21"/>
                      <w:u w:val="single"/>
                      <w:lang w:val="en-US" w:eastAsia="zh-CN"/>
                    </w:rPr>
                    <w:t>项目西北方向野</w:t>
                  </w:r>
                  <w:r>
                    <w:rPr>
                      <w:rFonts w:hint="eastAsia"/>
                      <w:sz w:val="21"/>
                      <w:szCs w:val="21"/>
                      <w:u w:val="single"/>
                    </w:rPr>
                    <w:t>山塘</w:t>
                  </w:r>
                  <w:r>
                    <w:rPr>
                      <w:rStyle w:val="50"/>
                      <w:rFonts w:hint="eastAsia"/>
                      <w:kern w:val="0"/>
                      <w:szCs w:val="20"/>
                      <w:u w:val="single"/>
                      <w:lang w:val="en-US" w:eastAsia="zh-CN"/>
                    </w:rPr>
                    <w:t>以及自挖水井</w:t>
                  </w:r>
                  <w:r>
                    <w:rPr>
                      <w:rFonts w:hint="eastAsia"/>
                      <w:sz w:val="21"/>
                      <w:szCs w:val="21"/>
                      <w:u w:val="single"/>
                      <w:lang w:eastAsia="zh-CN"/>
                    </w:rPr>
                    <w:t>，</w:t>
                  </w:r>
                  <w:r>
                    <w:rPr>
                      <w:rFonts w:hint="eastAsia"/>
                      <w:sz w:val="21"/>
                      <w:szCs w:val="21"/>
                      <w:u w:val="single"/>
                      <w:lang w:val="en-US" w:eastAsia="zh-CN"/>
                    </w:rPr>
                    <w:t>不影响当地农业生产用水</w:t>
                  </w:r>
                </w:p>
              </w:tc>
              <w:tc>
                <w:tcPr>
                  <w:tcW w:w="800" w:type="dxa"/>
                  <w:vAlign w:val="center"/>
                </w:tcPr>
                <w:p>
                  <w:pPr>
                    <w:adjustRightInd w:val="0"/>
                    <w:snapToGrid w:val="0"/>
                    <w:spacing w:line="240" w:lineRule="auto"/>
                    <w:jc w:val="center"/>
                    <w:rPr>
                      <w:sz w:val="21"/>
                      <w:szCs w:val="21"/>
                      <w:u w:val="single"/>
                    </w:rPr>
                  </w:pPr>
                  <w:r>
                    <w:rPr>
                      <w:sz w:val="21"/>
                      <w:szCs w:val="21"/>
                      <w:u w:val="single"/>
                    </w:rPr>
                    <w:t>/</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排水系统</w:t>
                  </w:r>
                </w:p>
              </w:tc>
              <w:tc>
                <w:tcPr>
                  <w:tcW w:w="3427" w:type="dxa"/>
                  <w:vAlign w:val="center"/>
                </w:tcPr>
                <w:p>
                  <w:pPr>
                    <w:adjustRightInd w:val="0"/>
                    <w:snapToGrid w:val="0"/>
                    <w:spacing w:line="240" w:lineRule="auto"/>
                    <w:jc w:val="center"/>
                    <w:rPr>
                      <w:sz w:val="21"/>
                      <w:szCs w:val="21"/>
                      <w:u w:val="single"/>
                    </w:rPr>
                  </w:pPr>
                  <w:r>
                    <w:rPr>
                      <w:rFonts w:hint="eastAsia"/>
                      <w:sz w:val="21"/>
                      <w:szCs w:val="21"/>
                      <w:u w:val="single"/>
                    </w:rPr>
                    <w:t>设置雨污分流系统，建设三级过滤沉淀池</w:t>
                  </w:r>
                  <w:r>
                    <w:rPr>
                      <w:rFonts w:hint="eastAsia"/>
                      <w:sz w:val="21"/>
                      <w:szCs w:val="21"/>
                      <w:u w:val="single"/>
                      <w:lang w:val="en-US" w:eastAsia="zh-CN"/>
                    </w:rPr>
                    <w:t>+一体化污水处理设备</w:t>
                  </w:r>
                  <w:r>
                    <w:rPr>
                      <w:rFonts w:hint="eastAsia"/>
                      <w:sz w:val="21"/>
                      <w:szCs w:val="21"/>
                      <w:u w:val="single"/>
                    </w:rPr>
                    <w:t>，养殖废水经处理后</w:t>
                  </w:r>
                  <w:r>
                    <w:rPr>
                      <w:rFonts w:hint="eastAsia"/>
                      <w:sz w:val="21"/>
                      <w:szCs w:val="21"/>
                      <w:u w:val="single"/>
                      <w:lang w:val="en-US" w:eastAsia="zh-CN"/>
                    </w:rPr>
                    <w:t>一部分回用，一部分用作周边农林果木灌溉</w:t>
                  </w:r>
                  <w:r>
                    <w:rPr>
                      <w:rFonts w:hint="eastAsia"/>
                      <w:sz w:val="21"/>
                      <w:szCs w:val="21"/>
                      <w:u w:val="single"/>
                    </w:rPr>
                    <w:t>；项目员工均为当地附近村民，村民食宿依托居民自家食宿设施，不在场内食宿，无生活污水产生。雨水收集后经天然水沟进入项目的蓄水池</w:t>
                  </w:r>
                </w:p>
              </w:tc>
              <w:tc>
                <w:tcPr>
                  <w:tcW w:w="800" w:type="dxa"/>
                  <w:vAlign w:val="center"/>
                </w:tcPr>
                <w:p>
                  <w:pPr>
                    <w:adjustRightInd w:val="0"/>
                    <w:snapToGrid w:val="0"/>
                    <w:spacing w:line="240" w:lineRule="auto"/>
                    <w:jc w:val="center"/>
                    <w:rPr>
                      <w:sz w:val="21"/>
                      <w:szCs w:val="21"/>
                      <w:u w:val="single"/>
                    </w:rPr>
                  </w:pPr>
                  <w:r>
                    <w:rPr>
                      <w:sz w:val="21"/>
                      <w:szCs w:val="21"/>
                      <w:u w:val="single"/>
                    </w:rPr>
                    <w:t>/</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供电系统</w:t>
                  </w:r>
                </w:p>
              </w:tc>
              <w:tc>
                <w:tcPr>
                  <w:tcW w:w="3427"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rPr>
                    <w:t>依托</w:t>
                  </w:r>
                  <w:r>
                    <w:rPr>
                      <w:rFonts w:hint="eastAsia"/>
                      <w:sz w:val="21"/>
                      <w:szCs w:val="21"/>
                      <w:u w:val="single"/>
                      <w:lang w:val="en-US" w:eastAsia="zh-CN"/>
                    </w:rPr>
                    <w:t>当地电网</w:t>
                  </w:r>
                </w:p>
              </w:tc>
              <w:tc>
                <w:tcPr>
                  <w:tcW w:w="800" w:type="dxa"/>
                  <w:vAlign w:val="center"/>
                </w:tcPr>
                <w:p>
                  <w:pPr>
                    <w:adjustRightInd w:val="0"/>
                    <w:snapToGrid w:val="0"/>
                    <w:spacing w:line="240" w:lineRule="auto"/>
                    <w:jc w:val="center"/>
                    <w:rPr>
                      <w:sz w:val="21"/>
                      <w:szCs w:val="21"/>
                      <w:u w:val="single"/>
                    </w:rPr>
                  </w:pPr>
                  <w:r>
                    <w:rPr>
                      <w:rFonts w:hint="eastAsia"/>
                      <w:sz w:val="21"/>
                      <w:szCs w:val="21"/>
                      <w:u w:val="single"/>
                    </w:rPr>
                    <w:t>/</w:t>
                  </w:r>
                </w:p>
              </w:tc>
              <w:tc>
                <w:tcPr>
                  <w:tcW w:w="1618" w:type="dxa"/>
                  <w:vAlign w:val="center"/>
                </w:tcPr>
                <w:p>
                  <w:pPr>
                    <w:adjustRightInd w:val="0"/>
                    <w:snapToGrid w:val="0"/>
                    <w:spacing w:line="240" w:lineRule="auto"/>
                    <w:jc w:val="center"/>
                    <w:rPr>
                      <w:sz w:val="21"/>
                      <w:szCs w:val="21"/>
                      <w:u w:val="single"/>
                    </w:rPr>
                  </w:pPr>
                  <w:r>
                    <w:rPr>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restart"/>
                  <w:vAlign w:val="center"/>
                </w:tcPr>
                <w:p>
                  <w:pPr>
                    <w:adjustRightInd w:val="0"/>
                    <w:snapToGrid w:val="0"/>
                    <w:spacing w:line="240" w:lineRule="auto"/>
                    <w:jc w:val="center"/>
                    <w:rPr>
                      <w:sz w:val="21"/>
                      <w:szCs w:val="21"/>
                      <w:u w:val="single"/>
                    </w:rPr>
                  </w:pPr>
                  <w:r>
                    <w:rPr>
                      <w:sz w:val="21"/>
                      <w:szCs w:val="21"/>
                      <w:u w:val="single"/>
                    </w:rPr>
                    <w:t>环保工程</w:t>
                  </w:r>
                </w:p>
              </w:tc>
              <w:tc>
                <w:tcPr>
                  <w:tcW w:w="1124" w:type="dxa"/>
                  <w:vAlign w:val="center"/>
                </w:tcPr>
                <w:p>
                  <w:pPr>
                    <w:adjustRightInd w:val="0"/>
                    <w:snapToGrid w:val="0"/>
                    <w:spacing w:line="240" w:lineRule="auto"/>
                    <w:jc w:val="center"/>
                    <w:rPr>
                      <w:sz w:val="21"/>
                      <w:szCs w:val="21"/>
                      <w:u w:val="single"/>
                    </w:rPr>
                  </w:pPr>
                  <w:r>
                    <w:rPr>
                      <w:sz w:val="21"/>
                      <w:szCs w:val="21"/>
                      <w:u w:val="single"/>
                    </w:rPr>
                    <w:t>废气治理</w:t>
                  </w:r>
                </w:p>
              </w:tc>
              <w:tc>
                <w:tcPr>
                  <w:tcW w:w="3427" w:type="dxa"/>
                  <w:vAlign w:val="center"/>
                </w:tcPr>
                <w:p>
                  <w:pPr>
                    <w:spacing w:line="240" w:lineRule="auto"/>
                    <w:jc w:val="center"/>
                    <w:rPr>
                      <w:sz w:val="21"/>
                      <w:u w:val="single"/>
                    </w:rPr>
                  </w:pPr>
                  <w:r>
                    <w:rPr>
                      <w:rFonts w:hint="eastAsia"/>
                      <w:sz w:val="21"/>
                      <w:u w:val="single"/>
                    </w:rPr>
                    <w:t>G1:蛙腥恶臭通过池内水体保持流动状态，并且一发现有死蛙立即清捞，减少水体发臭现象。</w:t>
                  </w:r>
                </w:p>
                <w:p>
                  <w:pPr>
                    <w:spacing w:line="240" w:lineRule="auto"/>
                    <w:jc w:val="center"/>
                    <w:rPr>
                      <w:sz w:val="21"/>
                      <w:szCs w:val="21"/>
                      <w:u w:val="single"/>
                    </w:rPr>
                  </w:pPr>
                  <w:r>
                    <w:rPr>
                      <w:rFonts w:hint="eastAsia"/>
                      <w:sz w:val="21"/>
                      <w:u w:val="single"/>
                    </w:rPr>
                    <w:t>G2:清掏恶臭：清掏后的</w:t>
                  </w:r>
                  <w:r>
                    <w:rPr>
                      <w:rFonts w:hint="eastAsia"/>
                      <w:sz w:val="21"/>
                      <w:u w:val="single"/>
                      <w:lang w:val="en-US" w:eastAsia="zh-CN"/>
                    </w:rPr>
                    <w:t>污水处理污</w:t>
                  </w:r>
                  <w:r>
                    <w:rPr>
                      <w:rFonts w:hint="eastAsia"/>
                      <w:sz w:val="21"/>
                      <w:u w:val="single"/>
                    </w:rPr>
                    <w:t>泥不在厂内暂存，及时清运至附近林地，用于土壤改良</w:t>
                  </w:r>
                </w:p>
              </w:tc>
              <w:tc>
                <w:tcPr>
                  <w:tcW w:w="800" w:type="dxa"/>
                  <w:vAlign w:val="center"/>
                </w:tcPr>
                <w:p>
                  <w:pPr>
                    <w:adjustRightInd w:val="0"/>
                    <w:snapToGrid w:val="0"/>
                    <w:spacing w:line="240" w:lineRule="auto"/>
                    <w:jc w:val="center"/>
                    <w:rPr>
                      <w:sz w:val="21"/>
                      <w:szCs w:val="21"/>
                      <w:u w:val="single"/>
                    </w:rPr>
                  </w:pPr>
                  <w:r>
                    <w:rPr>
                      <w:rFonts w:hint="eastAsia"/>
                      <w:sz w:val="21"/>
                      <w:szCs w:val="21"/>
                      <w:u w:val="single"/>
                    </w:rPr>
                    <w:t>已建</w:t>
                  </w:r>
                </w:p>
              </w:tc>
              <w:tc>
                <w:tcPr>
                  <w:tcW w:w="1618" w:type="dxa"/>
                  <w:vAlign w:val="center"/>
                </w:tcPr>
                <w:p>
                  <w:pPr>
                    <w:adjustRightInd w:val="0"/>
                    <w:snapToGrid w:val="0"/>
                    <w:spacing w:line="240" w:lineRule="auto"/>
                    <w:jc w:val="center"/>
                    <w:rPr>
                      <w:sz w:val="21"/>
                      <w:szCs w:val="21"/>
                      <w:u w:val="single"/>
                    </w:rPr>
                  </w:pPr>
                  <w:r>
                    <w:rPr>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废水治理</w:t>
                  </w:r>
                </w:p>
              </w:tc>
              <w:tc>
                <w:tcPr>
                  <w:tcW w:w="3427"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rPr>
                    <w:t>三级过滤沉淀池+一体化</w:t>
                  </w:r>
                  <w:r>
                    <w:rPr>
                      <w:rFonts w:hint="eastAsia"/>
                      <w:sz w:val="21"/>
                      <w:szCs w:val="21"/>
                      <w:u w:val="single"/>
                      <w:lang w:val="en-US" w:eastAsia="zh-CN"/>
                    </w:rPr>
                    <w:t>污水</w:t>
                  </w:r>
                  <w:r>
                    <w:rPr>
                      <w:rFonts w:hint="eastAsia"/>
                      <w:sz w:val="21"/>
                      <w:szCs w:val="21"/>
                      <w:u w:val="single"/>
                    </w:rPr>
                    <w:t>处理设备</w:t>
                  </w:r>
                  <w:r>
                    <w:rPr>
                      <w:rFonts w:hint="eastAsia"/>
                      <w:sz w:val="21"/>
                      <w:szCs w:val="21"/>
                      <w:u w:val="single"/>
                      <w:lang w:val="en-US" w:eastAsia="zh-CN"/>
                    </w:rPr>
                    <w:t>+清水池</w:t>
                  </w:r>
                </w:p>
              </w:tc>
              <w:tc>
                <w:tcPr>
                  <w:tcW w:w="800" w:type="dxa"/>
                  <w:vAlign w:val="center"/>
                </w:tcPr>
                <w:p>
                  <w:pPr>
                    <w:spacing w:line="240" w:lineRule="auto"/>
                    <w:jc w:val="center"/>
                    <w:rPr>
                      <w:rFonts w:hint="default" w:eastAsia="宋体"/>
                      <w:u w:val="single"/>
                      <w:lang w:val="en-US" w:eastAsia="zh-CN"/>
                    </w:rPr>
                  </w:pPr>
                  <w:r>
                    <w:rPr>
                      <w:rFonts w:hint="eastAsia"/>
                      <w:sz w:val="21"/>
                      <w:u w:val="single"/>
                      <w:lang w:val="en-US" w:eastAsia="zh-CN"/>
                    </w:rPr>
                    <w:t>已建</w:t>
                  </w:r>
                </w:p>
              </w:tc>
              <w:tc>
                <w:tcPr>
                  <w:tcW w:w="1618"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rPr>
                    <w:t>本项目养殖废水</w:t>
                  </w:r>
                  <w:r>
                    <w:rPr>
                      <w:rFonts w:hint="eastAsia"/>
                      <w:sz w:val="21"/>
                      <w:szCs w:val="21"/>
                      <w:u w:val="single"/>
                      <w:lang w:val="en-US" w:eastAsia="zh-CN"/>
                    </w:rPr>
                    <w:t>一部分回用，一部分用作周边农林果木灌溉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固废治理</w:t>
                  </w:r>
                </w:p>
              </w:tc>
              <w:tc>
                <w:tcPr>
                  <w:tcW w:w="3427" w:type="dxa"/>
                  <w:vAlign w:val="center"/>
                </w:tcPr>
                <w:p>
                  <w:pPr>
                    <w:adjustRightInd w:val="0"/>
                    <w:snapToGrid w:val="0"/>
                    <w:spacing w:line="240" w:lineRule="auto"/>
                    <w:jc w:val="center"/>
                    <w:rPr>
                      <w:rFonts w:hint="default"/>
                      <w:sz w:val="21"/>
                      <w:szCs w:val="21"/>
                      <w:u w:val="single"/>
                      <w:lang w:val="en-US"/>
                    </w:rPr>
                  </w:pPr>
                  <w:r>
                    <w:rPr>
                      <w:sz w:val="21"/>
                      <w:szCs w:val="21"/>
                      <w:u w:val="single"/>
                    </w:rPr>
                    <w:t>废包装</w:t>
                  </w:r>
                  <w:r>
                    <w:rPr>
                      <w:rFonts w:hint="eastAsia"/>
                      <w:sz w:val="21"/>
                      <w:szCs w:val="21"/>
                      <w:u w:val="single"/>
                    </w:rPr>
                    <w:t>袋收集后统一外售，</w:t>
                  </w:r>
                  <w:r>
                    <w:rPr>
                      <w:rFonts w:hint="eastAsia"/>
                      <w:sz w:val="21"/>
                      <w:szCs w:val="21"/>
                      <w:u w:val="single"/>
                      <w:lang w:val="en-US" w:eastAsia="zh-CN"/>
                    </w:rPr>
                    <w:t>日常</w:t>
                  </w:r>
                  <w:r>
                    <w:rPr>
                      <w:rFonts w:hint="eastAsia"/>
                      <w:sz w:val="21"/>
                      <w:szCs w:val="21"/>
                      <w:u w:val="single"/>
                      <w:lang w:eastAsia="zh-CN"/>
                    </w:rPr>
                    <w:t>产生的病死蛙</w:t>
                  </w:r>
                  <w:r>
                    <w:rPr>
                      <w:rFonts w:hint="eastAsia"/>
                      <w:sz w:val="21"/>
                      <w:szCs w:val="21"/>
                      <w:u w:val="single"/>
                      <w:lang w:val="en-US" w:eastAsia="zh-CN"/>
                    </w:rPr>
                    <w:t>使用安全填埋井处置，混凝土防渗，安全填埋井直径1.5米，深15米；如若出现疫情，应放置在化尸桶内存放在危废暂存间（10m</w:t>
                  </w:r>
                  <w:r>
                    <w:rPr>
                      <w:rFonts w:hint="eastAsia"/>
                      <w:sz w:val="21"/>
                      <w:szCs w:val="21"/>
                      <w:u w:val="single"/>
                      <w:vertAlign w:val="superscript"/>
                      <w:lang w:val="en-US" w:eastAsia="zh-CN"/>
                    </w:rPr>
                    <w:t>2</w:t>
                  </w:r>
                  <w:r>
                    <w:rPr>
                      <w:rFonts w:hint="eastAsia"/>
                      <w:sz w:val="21"/>
                      <w:szCs w:val="21"/>
                      <w:u w:val="single"/>
                      <w:lang w:val="en-US" w:eastAsia="zh-CN"/>
                    </w:rPr>
                    <w:t>）内后联系附近病死畜禽处置中心进行安全处置</w:t>
                  </w:r>
                </w:p>
              </w:tc>
              <w:tc>
                <w:tcPr>
                  <w:tcW w:w="800" w:type="dxa"/>
                  <w:vAlign w:val="center"/>
                </w:tcPr>
                <w:p>
                  <w:pPr>
                    <w:adjustRightInd w:val="0"/>
                    <w:snapToGrid w:val="0"/>
                    <w:spacing w:line="240" w:lineRule="auto"/>
                    <w:jc w:val="center"/>
                    <w:rPr>
                      <w:rFonts w:hint="default" w:eastAsia="宋体"/>
                      <w:sz w:val="21"/>
                      <w:szCs w:val="21"/>
                      <w:u w:val="single"/>
                      <w:lang w:val="en-US" w:eastAsia="zh-CN"/>
                    </w:rPr>
                  </w:pPr>
                  <w:r>
                    <w:rPr>
                      <w:rFonts w:hint="eastAsia"/>
                      <w:sz w:val="21"/>
                      <w:szCs w:val="21"/>
                      <w:u w:val="single"/>
                      <w:lang w:val="en-US" w:eastAsia="zh-CN"/>
                    </w:rPr>
                    <w:t>安全填埋井已建，危废暂存间新建</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 w:type="dxa"/>
                  <w:vMerge w:val="continue"/>
                  <w:vAlign w:val="center"/>
                </w:tcPr>
                <w:p>
                  <w:pPr>
                    <w:adjustRightInd w:val="0"/>
                    <w:snapToGrid w:val="0"/>
                    <w:spacing w:line="240" w:lineRule="auto"/>
                    <w:jc w:val="center"/>
                    <w:rPr>
                      <w:sz w:val="21"/>
                      <w:szCs w:val="21"/>
                      <w:u w:val="single"/>
                    </w:rPr>
                  </w:pPr>
                </w:p>
              </w:tc>
              <w:tc>
                <w:tcPr>
                  <w:tcW w:w="1124" w:type="dxa"/>
                  <w:vAlign w:val="center"/>
                </w:tcPr>
                <w:p>
                  <w:pPr>
                    <w:adjustRightInd w:val="0"/>
                    <w:snapToGrid w:val="0"/>
                    <w:spacing w:line="240" w:lineRule="auto"/>
                    <w:jc w:val="center"/>
                    <w:rPr>
                      <w:sz w:val="21"/>
                      <w:szCs w:val="21"/>
                      <w:u w:val="single"/>
                    </w:rPr>
                  </w:pPr>
                  <w:r>
                    <w:rPr>
                      <w:sz w:val="21"/>
                      <w:szCs w:val="21"/>
                      <w:u w:val="single"/>
                    </w:rPr>
                    <w:t>噪声治理</w:t>
                  </w:r>
                </w:p>
              </w:tc>
              <w:tc>
                <w:tcPr>
                  <w:tcW w:w="3427" w:type="dxa"/>
                  <w:vAlign w:val="center"/>
                </w:tcPr>
                <w:p>
                  <w:pPr>
                    <w:spacing w:line="240" w:lineRule="auto"/>
                    <w:jc w:val="center"/>
                    <w:rPr>
                      <w:sz w:val="21"/>
                      <w:szCs w:val="21"/>
                      <w:u w:val="single"/>
                    </w:rPr>
                  </w:pPr>
                  <w:r>
                    <w:rPr>
                      <w:rFonts w:hint="eastAsia"/>
                      <w:sz w:val="21"/>
                      <w:szCs w:val="21"/>
                      <w:u w:val="single"/>
                    </w:rPr>
                    <w:t>/</w:t>
                  </w:r>
                </w:p>
              </w:tc>
              <w:tc>
                <w:tcPr>
                  <w:tcW w:w="800" w:type="dxa"/>
                  <w:vAlign w:val="center"/>
                </w:tcPr>
                <w:p>
                  <w:pPr>
                    <w:adjustRightInd w:val="0"/>
                    <w:snapToGrid w:val="0"/>
                    <w:spacing w:line="240" w:lineRule="auto"/>
                    <w:jc w:val="center"/>
                    <w:rPr>
                      <w:sz w:val="21"/>
                      <w:szCs w:val="21"/>
                      <w:u w:val="single"/>
                    </w:rPr>
                  </w:pPr>
                  <w:r>
                    <w:rPr>
                      <w:sz w:val="21"/>
                      <w:szCs w:val="21"/>
                      <w:u w:val="single"/>
                    </w:rPr>
                    <w:t>/</w:t>
                  </w:r>
                </w:p>
              </w:tc>
              <w:tc>
                <w:tcPr>
                  <w:tcW w:w="1618" w:type="dxa"/>
                  <w:vAlign w:val="center"/>
                </w:tcPr>
                <w:p>
                  <w:pPr>
                    <w:adjustRightInd w:val="0"/>
                    <w:snapToGrid w:val="0"/>
                    <w:spacing w:line="240" w:lineRule="auto"/>
                    <w:jc w:val="center"/>
                    <w:rPr>
                      <w:sz w:val="21"/>
                      <w:szCs w:val="21"/>
                      <w:u w:val="single"/>
                    </w:rPr>
                  </w:pPr>
                  <w:r>
                    <w:rPr>
                      <w:rFonts w:hint="eastAsia"/>
                      <w:sz w:val="21"/>
                      <w:szCs w:val="21"/>
                      <w:u w:val="single"/>
                    </w:rPr>
                    <w:t>场</w:t>
                  </w:r>
                  <w:r>
                    <w:rPr>
                      <w:sz w:val="21"/>
                      <w:szCs w:val="21"/>
                      <w:u w:val="single"/>
                    </w:rPr>
                    <w:t>界噪声达标排放</w:t>
                  </w:r>
                </w:p>
              </w:tc>
            </w:tr>
          </w:tbl>
          <w:p>
            <w:pPr>
              <w:pStyle w:val="266"/>
              <w:spacing w:line="240" w:lineRule="auto"/>
              <w:rPr>
                <w:rFonts w:ascii="Times New Roman" w:hAnsi="Times New Roman"/>
                <w:b/>
                <w:kern w:val="0"/>
                <w:sz w:val="28"/>
                <w:szCs w:val="32"/>
                <w:lang w:eastAsia="zh-CN"/>
              </w:rPr>
            </w:pPr>
            <w:r>
              <w:rPr>
                <w:rFonts w:ascii="Times New Roman" w:hAnsi="Times New Roman"/>
                <w:b/>
                <w:kern w:val="0"/>
                <w:sz w:val="28"/>
                <w:szCs w:val="32"/>
              </w:rPr>
              <w:pict>
                <v:rect id="_x0000_s2065" o:spid="_x0000_s2065" o:spt="1" style="position:absolute;left:0pt;margin-left:-78.65pt;margin-top:0.75pt;height:689.15pt;width:0.5pt;mso-position-horizontal-relative:page;mso-position-vertical-relative:page;z-index:251663360;mso-width-relative:page;mso-height-relative:page;" fillcolor="#000000" filled="t" stroked="f" coordsize="21600,21600" o:gfxdata="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74PE&#10;DtoAAAAMAQAADwAAAAAAAAABACAAAAAiAAAAZHJzL2Rvd25yZXYueG1sUEsBAhQAFAAAAAgAh07i&#10;QCafCGeuAQAAXQMAAA4AAAAAAAAAAQAgAAAAKQEAAGRycy9lMm9Eb2MueG1sUEsFBgAAAAAGAAYA&#10;WQEAAEkFAAAAAA==&#10;">
                  <v:path/>
                  <v:fill on="t" focussize="0,0"/>
                  <v:stroke on="f"/>
                  <v:imagedata o:title=""/>
                  <o:lock v:ext="edit"/>
                </v:rect>
              </w:pict>
            </w:r>
            <w:r>
              <w:rPr>
                <w:rFonts w:hint="eastAsia" w:ascii="Times New Roman" w:hAnsi="Times New Roman"/>
                <w:b/>
                <w:kern w:val="0"/>
                <w:sz w:val="28"/>
                <w:szCs w:val="32"/>
                <w:lang w:eastAsia="zh-CN"/>
              </w:rPr>
              <w:t>4、项目主要设备如下：</w:t>
            </w:r>
          </w:p>
          <w:p>
            <w:pPr>
              <w:pStyle w:val="266"/>
              <w:spacing w:line="240" w:lineRule="auto"/>
              <w:jc w:val="center"/>
              <w:rPr>
                <w:rFonts w:ascii="Times New Roman" w:hAnsi="Times New Roman" w:cs="Times New Roman"/>
                <w:b/>
                <w:bCs/>
                <w:spacing w:val="-4"/>
                <w:sz w:val="21"/>
                <w:szCs w:val="21"/>
                <w:lang w:eastAsia="zh-CN"/>
              </w:rPr>
            </w:pPr>
            <w:r>
              <w:rPr>
                <w:rFonts w:ascii="Times New Roman" w:hAnsi="Times New Roman" w:cs="Times New Roman"/>
                <w:b/>
                <w:bCs/>
                <w:spacing w:val="-4"/>
                <w:sz w:val="21"/>
                <w:szCs w:val="21"/>
                <w:lang w:eastAsia="zh-CN"/>
              </w:rPr>
              <w:t>表 2-3 项目主要配备的设备一览表</w:t>
            </w:r>
          </w:p>
          <w:tbl>
            <w:tblPr>
              <w:tblStyle w:val="173"/>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03"/>
              <w:gridCol w:w="2077"/>
              <w:gridCol w:w="1005"/>
              <w:gridCol w:w="2077"/>
              <w:gridCol w:w="167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640" w:type="pct"/>
                  <w:vAlign w:val="center"/>
                </w:tcPr>
                <w:p>
                  <w:pPr>
                    <w:pStyle w:val="266"/>
                    <w:spacing w:line="240" w:lineRule="auto"/>
                    <w:jc w:val="center"/>
                    <w:rPr>
                      <w:rFonts w:ascii="Times New Roman" w:hAnsi="Times New Roman" w:cs="Times New Roman"/>
                      <w:b/>
                      <w:bCs/>
                      <w:sz w:val="21"/>
                      <w:szCs w:val="21"/>
                      <w:lang w:eastAsia="zh-CN"/>
                    </w:rPr>
                  </w:pPr>
                  <w:r>
                    <w:rPr>
                      <w:rFonts w:ascii="Times New Roman" w:hAnsi="Times New Roman" w:cs="Times New Roman"/>
                      <w:b/>
                      <w:bCs/>
                      <w:spacing w:val="-8"/>
                      <w:sz w:val="21"/>
                      <w:szCs w:val="21"/>
                      <w:lang w:eastAsia="zh-CN"/>
                    </w:rPr>
                    <w:t>序号</w:t>
                  </w:r>
                </w:p>
              </w:tc>
              <w:tc>
                <w:tcPr>
                  <w:tcW w:w="1325" w:type="pct"/>
                  <w:vAlign w:val="center"/>
                </w:tcPr>
                <w:p>
                  <w:pPr>
                    <w:pStyle w:val="266"/>
                    <w:spacing w:line="240" w:lineRule="auto"/>
                    <w:jc w:val="center"/>
                    <w:rPr>
                      <w:rFonts w:ascii="Times New Roman" w:hAnsi="Times New Roman" w:cs="Times New Roman"/>
                      <w:b/>
                      <w:bCs/>
                      <w:sz w:val="21"/>
                      <w:szCs w:val="21"/>
                      <w:lang w:eastAsia="zh-CN"/>
                    </w:rPr>
                  </w:pPr>
                  <w:r>
                    <w:rPr>
                      <w:rFonts w:ascii="Times New Roman" w:hAnsi="Times New Roman" w:cs="Times New Roman"/>
                      <w:b/>
                      <w:bCs/>
                      <w:spacing w:val="-4"/>
                      <w:sz w:val="21"/>
                      <w:szCs w:val="21"/>
                      <w:lang w:eastAsia="zh-CN"/>
                    </w:rPr>
                    <w:t>设备名称</w:t>
                  </w:r>
                </w:p>
              </w:tc>
              <w:tc>
                <w:tcPr>
                  <w:tcW w:w="641" w:type="pct"/>
                  <w:vAlign w:val="center"/>
                </w:tcPr>
                <w:p>
                  <w:pPr>
                    <w:pStyle w:val="266"/>
                    <w:spacing w:line="240" w:lineRule="auto"/>
                    <w:jc w:val="center"/>
                    <w:rPr>
                      <w:rFonts w:ascii="Times New Roman" w:hAnsi="Times New Roman" w:cs="Times New Roman"/>
                      <w:b/>
                      <w:bCs/>
                      <w:sz w:val="21"/>
                      <w:szCs w:val="21"/>
                      <w:lang w:eastAsia="zh-CN"/>
                    </w:rPr>
                  </w:pPr>
                  <w:r>
                    <w:rPr>
                      <w:rFonts w:ascii="Times New Roman" w:hAnsi="Times New Roman" w:cs="Times New Roman"/>
                      <w:b/>
                      <w:bCs/>
                      <w:spacing w:val="-8"/>
                      <w:sz w:val="21"/>
                      <w:szCs w:val="21"/>
                      <w:lang w:eastAsia="zh-CN"/>
                    </w:rPr>
                    <w:t>数量</w:t>
                  </w:r>
                </w:p>
              </w:tc>
              <w:tc>
                <w:tcPr>
                  <w:tcW w:w="1325" w:type="pct"/>
                  <w:vAlign w:val="center"/>
                </w:tcPr>
                <w:p>
                  <w:pPr>
                    <w:pStyle w:val="266"/>
                    <w:spacing w:line="240" w:lineRule="auto"/>
                    <w:jc w:val="center"/>
                    <w:rPr>
                      <w:rFonts w:ascii="Times New Roman" w:hAnsi="Times New Roman" w:cs="Times New Roman"/>
                      <w:b/>
                      <w:bCs/>
                      <w:sz w:val="21"/>
                      <w:szCs w:val="21"/>
                      <w:lang w:eastAsia="zh-CN"/>
                    </w:rPr>
                  </w:pPr>
                  <w:r>
                    <w:rPr>
                      <w:rFonts w:ascii="Times New Roman" w:hAnsi="Times New Roman" w:cs="Times New Roman"/>
                      <w:b/>
                      <w:bCs/>
                      <w:spacing w:val="-4"/>
                      <w:sz w:val="21"/>
                      <w:szCs w:val="21"/>
                      <w:lang w:eastAsia="zh-CN"/>
                    </w:rPr>
                    <w:t>规格型号</w:t>
                  </w:r>
                </w:p>
              </w:tc>
              <w:tc>
                <w:tcPr>
                  <w:tcW w:w="1067" w:type="pct"/>
                  <w:vAlign w:val="center"/>
                </w:tcPr>
                <w:p>
                  <w:pPr>
                    <w:pStyle w:val="266"/>
                    <w:spacing w:line="240" w:lineRule="auto"/>
                    <w:jc w:val="center"/>
                    <w:rPr>
                      <w:rFonts w:ascii="Times New Roman" w:hAnsi="Times New Roman" w:cs="Times New Roman"/>
                      <w:b/>
                      <w:bCs/>
                      <w:spacing w:val="-4"/>
                      <w:sz w:val="21"/>
                      <w:szCs w:val="21"/>
                      <w:lang w:eastAsia="zh-CN"/>
                    </w:rPr>
                  </w:pPr>
                  <w:r>
                    <w:rPr>
                      <w:rFonts w:hint="eastAsia" w:ascii="Times New Roman" w:hAnsi="Times New Roman" w:cs="Times New Roman"/>
                      <w:b/>
                      <w:bCs/>
                      <w:spacing w:val="-4"/>
                      <w:sz w:val="21"/>
                      <w:szCs w:val="21"/>
                      <w:lang w:eastAsia="zh-CN"/>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640" w:type="pct"/>
                  <w:vAlign w:val="center"/>
                </w:tcPr>
                <w:p>
                  <w:pPr>
                    <w:pStyle w:val="266"/>
                    <w:spacing w:line="240" w:lineRule="auto"/>
                    <w:jc w:val="center"/>
                    <w:rPr>
                      <w:rFonts w:ascii="Times New Roman" w:hAnsi="Times New Roman" w:cs="Times New Roman"/>
                      <w:sz w:val="21"/>
                      <w:szCs w:val="21"/>
                      <w:lang w:eastAsia="zh-CN"/>
                    </w:rPr>
                  </w:pPr>
                  <w:r>
                    <w:rPr>
                      <w:rFonts w:ascii="Times New Roman" w:hAnsi="Times New Roman" w:cs="Times New Roman"/>
                      <w:sz w:val="21"/>
                      <w:szCs w:val="21"/>
                      <w:lang w:eastAsia="zh-CN"/>
                    </w:rPr>
                    <w:t>1</w:t>
                  </w:r>
                </w:p>
              </w:tc>
              <w:tc>
                <w:tcPr>
                  <w:tcW w:w="1325" w:type="pct"/>
                  <w:vAlign w:val="center"/>
                </w:tcPr>
                <w:p>
                  <w:pPr>
                    <w:pStyle w:val="266"/>
                    <w:spacing w:line="240" w:lineRule="auto"/>
                    <w:jc w:val="center"/>
                    <w:rPr>
                      <w:rFonts w:ascii="Times New Roman" w:hAnsi="Times New Roman" w:cs="Times New Roman"/>
                      <w:sz w:val="21"/>
                      <w:szCs w:val="21"/>
                      <w:lang w:eastAsia="zh-CN"/>
                    </w:rPr>
                  </w:pPr>
                  <w:r>
                    <w:rPr>
                      <w:rFonts w:hint="eastAsia" w:ascii="Times New Roman" w:hAnsi="Times New Roman" w:cs="Times New Roman"/>
                      <w:spacing w:val="-6"/>
                      <w:sz w:val="21"/>
                      <w:szCs w:val="21"/>
                      <w:lang w:eastAsia="zh-CN"/>
                    </w:rPr>
                    <w:t>水泵</w:t>
                  </w:r>
                </w:p>
              </w:tc>
              <w:tc>
                <w:tcPr>
                  <w:tcW w:w="641" w:type="pct"/>
                  <w:vAlign w:val="center"/>
                </w:tcPr>
                <w:p>
                  <w:pPr>
                    <w:pStyle w:val="266"/>
                    <w:spacing w:line="240" w:lineRule="auto"/>
                    <w:jc w:val="center"/>
                    <w:rPr>
                      <w:rFonts w:ascii="Times New Roman" w:hAnsi="Times New Roman" w:cs="Times New Roman"/>
                      <w:sz w:val="21"/>
                      <w:szCs w:val="21"/>
                      <w:lang w:eastAsia="zh-CN"/>
                    </w:rPr>
                  </w:pPr>
                  <w:r>
                    <w:rPr>
                      <w:rFonts w:hint="eastAsia" w:ascii="Times New Roman" w:hAnsi="Times New Roman" w:cs="Times New Roman"/>
                      <w:spacing w:val="-6"/>
                      <w:sz w:val="21"/>
                      <w:szCs w:val="21"/>
                      <w:lang w:eastAsia="zh-CN"/>
                    </w:rPr>
                    <w:t>4</w:t>
                  </w:r>
                  <w:r>
                    <w:rPr>
                      <w:rFonts w:ascii="Times New Roman" w:hAnsi="Times New Roman" w:cs="Times New Roman"/>
                      <w:spacing w:val="-6"/>
                      <w:sz w:val="21"/>
                      <w:szCs w:val="21"/>
                      <w:lang w:eastAsia="zh-CN"/>
                    </w:rPr>
                    <w:t>台</w:t>
                  </w:r>
                </w:p>
              </w:tc>
              <w:tc>
                <w:tcPr>
                  <w:tcW w:w="1325" w:type="pct"/>
                  <w:vAlign w:val="center"/>
                </w:tcPr>
                <w:p>
                  <w:pPr>
                    <w:pStyle w:val="266"/>
                    <w:spacing w:line="240" w:lineRule="auto"/>
                    <w:jc w:val="center"/>
                    <w:rPr>
                      <w:rFonts w:ascii="Times New Roman" w:hAnsi="Times New Roman" w:cs="Times New Roman"/>
                      <w:sz w:val="21"/>
                      <w:szCs w:val="21"/>
                      <w:lang w:eastAsia="zh-CN"/>
                    </w:rPr>
                  </w:pPr>
                  <w:r>
                    <w:rPr>
                      <w:rFonts w:ascii="Times New Roman" w:hAnsi="Times New Roman" w:cs="Times New Roman"/>
                      <w:spacing w:val="-18"/>
                      <w:sz w:val="21"/>
                      <w:szCs w:val="21"/>
                      <w:lang w:eastAsia="zh-CN"/>
                    </w:rPr>
                    <w:t>口径</w:t>
                  </w:r>
                  <w:r>
                    <w:rPr>
                      <w:rFonts w:ascii="Times New Roman" w:hAnsi="Times New Roman" w:cs="Times New Roman"/>
                      <w:spacing w:val="-31"/>
                      <w:sz w:val="21"/>
                      <w:szCs w:val="21"/>
                      <w:lang w:eastAsia="zh-CN"/>
                    </w:rPr>
                    <w:t xml:space="preserve"> </w:t>
                  </w:r>
                  <w:r>
                    <w:rPr>
                      <w:rFonts w:ascii="Times New Roman" w:hAnsi="Times New Roman" w:cs="Times New Roman"/>
                      <w:spacing w:val="-18"/>
                      <w:sz w:val="21"/>
                      <w:szCs w:val="21"/>
                      <w:lang w:eastAsia="zh-CN"/>
                    </w:rPr>
                    <w:t>160</w:t>
                  </w:r>
                </w:p>
              </w:tc>
              <w:tc>
                <w:tcPr>
                  <w:tcW w:w="1067" w:type="pct"/>
                  <w:vAlign w:val="center"/>
                </w:tcPr>
                <w:p>
                  <w:pPr>
                    <w:pStyle w:val="266"/>
                    <w:spacing w:line="240" w:lineRule="auto"/>
                    <w:jc w:val="center"/>
                    <w:rPr>
                      <w:rFonts w:ascii="Times New Roman" w:hAnsi="Times New Roman" w:cs="Times New Roman"/>
                      <w:spacing w:val="-18"/>
                      <w:sz w:val="21"/>
                      <w:szCs w:val="21"/>
                      <w:lang w:eastAsia="zh-CN"/>
                    </w:rPr>
                  </w:pPr>
                  <w:r>
                    <w:rPr>
                      <w:rFonts w:hint="eastAsia" w:ascii="Times New Roman" w:hAnsi="Times New Roman" w:cs="Times New Roman"/>
                      <w:spacing w:val="-18"/>
                      <w:sz w:val="21"/>
                      <w:szCs w:val="21"/>
                      <w:lang w:eastAsia="zh-CN"/>
                    </w:rPr>
                    <w:t>3用一备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640" w:type="pct"/>
                  <w:vAlign w:val="center"/>
                </w:tcPr>
                <w:p>
                  <w:pPr>
                    <w:pStyle w:val="266"/>
                    <w:spacing w:line="240" w:lineRule="auto"/>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w:t>
                  </w:r>
                </w:p>
              </w:tc>
              <w:tc>
                <w:tcPr>
                  <w:tcW w:w="1325" w:type="pct"/>
                  <w:vAlign w:val="center"/>
                </w:tcPr>
                <w:p>
                  <w:pPr>
                    <w:pStyle w:val="266"/>
                    <w:spacing w:line="240" w:lineRule="auto"/>
                    <w:jc w:val="center"/>
                    <w:rPr>
                      <w:rFonts w:hint="eastAsia" w:ascii="Times New Roman" w:hAnsi="Times New Roman" w:cs="Times New Roman"/>
                      <w:spacing w:val="-6"/>
                      <w:sz w:val="21"/>
                      <w:szCs w:val="21"/>
                      <w:lang w:val="en-US" w:eastAsia="zh-CN"/>
                    </w:rPr>
                  </w:pPr>
                  <w:r>
                    <w:rPr>
                      <w:rFonts w:hint="eastAsia" w:ascii="Times New Roman" w:hAnsi="Times New Roman" w:cs="Times New Roman"/>
                      <w:spacing w:val="-4"/>
                      <w:sz w:val="21"/>
                      <w:szCs w:val="21"/>
                      <w:lang w:val="en-US" w:eastAsia="zh-CN"/>
                    </w:rPr>
                    <w:t>筛娟网</w:t>
                  </w:r>
                </w:p>
              </w:tc>
              <w:tc>
                <w:tcPr>
                  <w:tcW w:w="641" w:type="pct"/>
                  <w:vAlign w:val="center"/>
                </w:tcPr>
                <w:p>
                  <w:pPr>
                    <w:pStyle w:val="266"/>
                    <w:spacing w:line="240" w:lineRule="auto"/>
                    <w:jc w:val="center"/>
                    <w:rPr>
                      <w:rFonts w:hint="default" w:ascii="Times New Roman" w:hAnsi="Times New Roman" w:cs="Times New Roman"/>
                      <w:spacing w:val="-6"/>
                      <w:sz w:val="21"/>
                      <w:szCs w:val="21"/>
                      <w:lang w:val="en-US" w:eastAsia="zh-CN"/>
                    </w:rPr>
                  </w:pPr>
                  <w:r>
                    <w:rPr>
                      <w:rFonts w:hint="eastAsia" w:ascii="Times New Roman" w:hAnsi="Times New Roman" w:cs="Times New Roman"/>
                      <w:sz w:val="21"/>
                      <w:szCs w:val="21"/>
                      <w:lang w:val="en-US" w:eastAsia="zh-CN"/>
                    </w:rPr>
                    <w:t>74卷</w:t>
                  </w:r>
                </w:p>
              </w:tc>
              <w:tc>
                <w:tcPr>
                  <w:tcW w:w="1325" w:type="pct"/>
                  <w:vAlign w:val="center"/>
                </w:tcPr>
                <w:p>
                  <w:pPr>
                    <w:pStyle w:val="266"/>
                    <w:spacing w:line="240" w:lineRule="auto"/>
                    <w:jc w:val="center"/>
                    <w:rPr>
                      <w:rFonts w:hint="default" w:ascii="Times New Roman" w:hAnsi="Times New Roman" w:cs="Times New Roman"/>
                      <w:spacing w:val="-18"/>
                      <w:sz w:val="21"/>
                      <w:szCs w:val="21"/>
                      <w:lang w:val="en-US" w:eastAsia="zh-CN"/>
                    </w:rPr>
                  </w:pPr>
                  <w:r>
                    <w:rPr>
                      <w:rFonts w:hint="eastAsia" w:ascii="Times New Roman" w:hAnsi="Times New Roman" w:cs="Times New Roman"/>
                      <w:spacing w:val="-18"/>
                      <w:sz w:val="21"/>
                      <w:szCs w:val="21"/>
                      <w:lang w:val="en-US" w:eastAsia="zh-CN"/>
                    </w:rPr>
                    <w:t>一卷100m</w:t>
                  </w:r>
                </w:p>
              </w:tc>
              <w:tc>
                <w:tcPr>
                  <w:tcW w:w="1067" w:type="pct"/>
                  <w:vAlign w:val="center"/>
                </w:tcPr>
                <w:p>
                  <w:pPr>
                    <w:pStyle w:val="266"/>
                    <w:spacing w:line="240" w:lineRule="auto"/>
                    <w:jc w:val="center"/>
                    <w:rPr>
                      <w:rFonts w:hint="eastAsia" w:ascii="Times New Roman" w:hAnsi="Times New Roman" w:cs="Times New Roman"/>
                      <w:spacing w:val="-18"/>
                      <w:sz w:val="21"/>
                      <w:szCs w:val="21"/>
                      <w:lang w:val="en-US" w:eastAsia="zh-CN"/>
                    </w:rPr>
                  </w:pPr>
                  <w:r>
                    <w:rPr>
                      <w:rFonts w:hint="eastAsia" w:ascii="Times New Roman" w:hAnsi="Times New Roman" w:cs="Times New Roman"/>
                      <w:spacing w:val="-8"/>
                      <w:sz w:val="21"/>
                      <w:szCs w:val="21"/>
                      <w:lang w:val="en-US" w:eastAsia="zh-CN"/>
                    </w:rPr>
                    <w:t>用于牛蛙养殖池封闭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640" w:type="pct"/>
                  <w:vAlign w:val="center"/>
                </w:tcPr>
                <w:p>
                  <w:pPr>
                    <w:pStyle w:val="266"/>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325" w:type="pct"/>
                  <w:vAlign w:val="center"/>
                </w:tcPr>
                <w:p>
                  <w:pPr>
                    <w:pStyle w:val="266"/>
                    <w:spacing w:line="240" w:lineRule="auto"/>
                    <w:jc w:val="center"/>
                    <w:rPr>
                      <w:rFonts w:hint="default" w:ascii="Times New Roman" w:hAnsi="Times New Roman" w:cs="Times New Roman"/>
                      <w:spacing w:val="-4"/>
                      <w:sz w:val="21"/>
                      <w:szCs w:val="21"/>
                      <w:lang w:val="en-US" w:eastAsia="zh-CN"/>
                    </w:rPr>
                  </w:pPr>
                  <w:r>
                    <w:rPr>
                      <w:rFonts w:hint="eastAsia" w:ascii="Times New Roman" w:hAnsi="Times New Roman" w:cs="Times New Roman"/>
                      <w:spacing w:val="-4"/>
                      <w:sz w:val="21"/>
                      <w:szCs w:val="21"/>
                      <w:lang w:val="en-US" w:eastAsia="zh-CN"/>
                    </w:rPr>
                    <w:t>化尸桶</w:t>
                  </w:r>
                </w:p>
              </w:tc>
              <w:tc>
                <w:tcPr>
                  <w:tcW w:w="641" w:type="pct"/>
                  <w:vAlign w:val="center"/>
                </w:tcPr>
                <w:p>
                  <w:pPr>
                    <w:pStyle w:val="266"/>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2个</w:t>
                  </w:r>
                </w:p>
              </w:tc>
              <w:tc>
                <w:tcPr>
                  <w:tcW w:w="1325" w:type="pct"/>
                  <w:vAlign w:val="center"/>
                </w:tcPr>
                <w:p>
                  <w:pPr>
                    <w:pStyle w:val="266"/>
                    <w:spacing w:line="240" w:lineRule="auto"/>
                    <w:jc w:val="center"/>
                    <w:rPr>
                      <w:rFonts w:hint="default" w:ascii="Times New Roman" w:hAnsi="Times New Roman" w:cs="Times New Roman"/>
                      <w:spacing w:val="-18"/>
                      <w:sz w:val="21"/>
                      <w:szCs w:val="21"/>
                      <w:lang w:val="en-US" w:eastAsia="zh-CN"/>
                    </w:rPr>
                  </w:pPr>
                  <w:r>
                    <w:rPr>
                      <w:rFonts w:hint="eastAsia" w:ascii="Times New Roman" w:hAnsi="Times New Roman" w:cs="Times New Roman"/>
                      <w:spacing w:val="-18"/>
                      <w:sz w:val="21"/>
                      <w:szCs w:val="21"/>
                      <w:lang w:val="en-US" w:eastAsia="zh-CN"/>
                    </w:rPr>
                    <w:t>直径约2m，高2m</w:t>
                  </w:r>
                </w:p>
              </w:tc>
              <w:tc>
                <w:tcPr>
                  <w:tcW w:w="1067" w:type="pct"/>
                  <w:vAlign w:val="center"/>
                </w:tcPr>
                <w:p>
                  <w:pPr>
                    <w:pStyle w:val="266"/>
                    <w:spacing w:line="240" w:lineRule="auto"/>
                    <w:jc w:val="center"/>
                    <w:rPr>
                      <w:rFonts w:hint="eastAsia" w:ascii="Times New Roman" w:hAnsi="Times New Roman" w:cs="Times New Roman"/>
                      <w:spacing w:val="-8"/>
                      <w:sz w:val="21"/>
                      <w:szCs w:val="21"/>
                      <w:lang w:val="en-US" w:eastAsia="zh-CN"/>
                    </w:rPr>
                  </w:pPr>
                  <w:r>
                    <w:rPr>
                      <w:rFonts w:hint="eastAsia" w:ascii="Times New Roman" w:hAnsi="Times New Roman" w:cs="Times New Roman"/>
                      <w:spacing w:val="-8"/>
                      <w:sz w:val="21"/>
                      <w:szCs w:val="21"/>
                      <w:lang w:val="en-US" w:eastAsia="zh-CN"/>
                    </w:rPr>
                    <w:t>病死蛙</w:t>
                  </w:r>
                  <w:r>
                    <w:rPr>
                      <w:rFonts w:hint="eastAsia" w:ascii="Times New Roman" w:hAnsi="Times New Roman" w:cs="Times New Roman"/>
                      <w:spacing w:val="-8"/>
                      <w:sz w:val="21"/>
                      <w:szCs w:val="21"/>
                      <w:lang w:eastAsia="zh-CN"/>
                    </w:rPr>
                    <w:t>处置</w:t>
                  </w:r>
                </w:p>
              </w:tc>
            </w:tr>
          </w:tbl>
          <w:p>
            <w:pPr>
              <w:pStyle w:val="266"/>
              <w:spacing w:line="240" w:lineRule="auto"/>
              <w:rPr>
                <w:rFonts w:ascii="Times New Roman" w:hAnsi="Times New Roman"/>
                <w:b/>
                <w:kern w:val="0"/>
                <w:sz w:val="28"/>
                <w:szCs w:val="32"/>
                <w:lang w:eastAsia="zh-CN"/>
              </w:rPr>
            </w:pPr>
            <w:r>
              <w:rPr>
                <w:rFonts w:hint="eastAsia" w:ascii="Times New Roman" w:hAnsi="Times New Roman"/>
                <w:b/>
                <w:kern w:val="0"/>
                <w:sz w:val="28"/>
                <w:szCs w:val="32"/>
                <w:lang w:eastAsia="zh-CN"/>
              </w:rPr>
              <w:t>5、项目主要原辅材料</w:t>
            </w:r>
          </w:p>
          <w:p>
            <w:pPr>
              <w:pStyle w:val="266"/>
              <w:spacing w:line="360" w:lineRule="auto"/>
              <w:ind w:firstLine="468" w:firstLineChars="200"/>
              <w:jc w:val="left"/>
              <w:rPr>
                <w:rFonts w:hint="default" w:ascii="Times New Roman" w:hAnsi="Times New Roman" w:cs="Times New Roman"/>
                <w:b/>
                <w:bCs/>
                <w:spacing w:val="-4"/>
                <w:sz w:val="21"/>
                <w:szCs w:val="21"/>
                <w:u w:val="single"/>
                <w:lang w:val="en-US" w:eastAsia="zh-CN"/>
              </w:rPr>
            </w:pPr>
            <w:r>
              <w:rPr>
                <w:rFonts w:hint="eastAsia" w:ascii="Times New Roman" w:hAnsi="Times New Roman" w:cs="Times New Roman"/>
                <w:spacing w:val="-3"/>
                <w:u w:val="single"/>
                <w:lang w:eastAsia="zh-CN"/>
              </w:rPr>
              <w:t>本项目蛙苗主要来自于福建省漳州市东山县，</w:t>
            </w:r>
            <w:r>
              <w:rPr>
                <w:rFonts w:hint="eastAsia" w:ascii="Times New Roman" w:hAnsi="Times New Roman" w:cs="Times New Roman"/>
                <w:spacing w:val="-3"/>
                <w:u w:val="single"/>
                <w:lang w:val="en-US" w:eastAsia="zh-CN"/>
              </w:rPr>
              <w:t>项目牛蛙已被生物阉割，不产卵，单批次养殖周期约150天。</w:t>
            </w:r>
          </w:p>
          <w:p>
            <w:pPr>
              <w:pStyle w:val="266"/>
              <w:spacing w:line="240" w:lineRule="auto"/>
              <w:jc w:val="center"/>
              <w:rPr>
                <w:spacing w:val="-1"/>
                <w:u w:val="single"/>
                <w:lang w:eastAsia="zh-CN"/>
              </w:rPr>
            </w:pPr>
            <w:r>
              <w:rPr>
                <w:rFonts w:ascii="Times New Roman" w:hAnsi="Times New Roman" w:cs="Times New Roman"/>
                <w:b/>
                <w:bCs/>
                <w:spacing w:val="-4"/>
                <w:sz w:val="21"/>
                <w:szCs w:val="21"/>
                <w:u w:val="single"/>
                <w:lang w:eastAsia="zh-CN"/>
              </w:rPr>
              <w:t>表 2-</w:t>
            </w:r>
            <w:r>
              <w:rPr>
                <w:rFonts w:hint="eastAsia" w:ascii="Times New Roman" w:hAnsi="Times New Roman" w:cs="Times New Roman"/>
                <w:b/>
                <w:bCs/>
                <w:spacing w:val="-4"/>
                <w:sz w:val="21"/>
                <w:szCs w:val="21"/>
                <w:u w:val="single"/>
                <w:lang w:eastAsia="zh-CN"/>
              </w:rPr>
              <w:t>4</w:t>
            </w:r>
            <w:r>
              <w:rPr>
                <w:rFonts w:ascii="Times New Roman" w:hAnsi="Times New Roman" w:cs="Times New Roman"/>
                <w:b/>
                <w:bCs/>
                <w:spacing w:val="-4"/>
                <w:sz w:val="21"/>
                <w:szCs w:val="21"/>
                <w:u w:val="single"/>
                <w:lang w:eastAsia="zh-CN"/>
              </w:rPr>
              <w:t>项目主要</w:t>
            </w:r>
            <w:r>
              <w:rPr>
                <w:rFonts w:hint="eastAsia" w:ascii="Times New Roman" w:hAnsi="Times New Roman" w:cs="Times New Roman"/>
                <w:b/>
                <w:bCs/>
                <w:spacing w:val="-4"/>
                <w:sz w:val="21"/>
                <w:szCs w:val="21"/>
                <w:u w:val="single"/>
                <w:lang w:eastAsia="zh-CN"/>
              </w:rPr>
              <w:t>原辅材料</w:t>
            </w:r>
            <w:r>
              <w:rPr>
                <w:rFonts w:ascii="Times New Roman" w:hAnsi="Times New Roman" w:cs="Times New Roman"/>
                <w:b/>
                <w:bCs/>
                <w:spacing w:val="-4"/>
                <w:sz w:val="21"/>
                <w:szCs w:val="21"/>
                <w:u w:val="single"/>
                <w:lang w:eastAsia="zh-CN"/>
              </w:rPr>
              <w:t>一览表</w:t>
            </w:r>
          </w:p>
          <w:tbl>
            <w:tblPr>
              <w:tblStyle w:val="173"/>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99"/>
              <w:gridCol w:w="2466"/>
              <w:gridCol w:w="1166"/>
              <w:gridCol w:w="1805"/>
              <w:gridCol w:w="120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trPr>
              <w:tc>
                <w:tcPr>
                  <w:tcW w:w="765" w:type="pct"/>
                  <w:vAlign w:val="center"/>
                </w:tcPr>
                <w:p>
                  <w:pPr>
                    <w:pStyle w:val="266"/>
                    <w:spacing w:line="240" w:lineRule="auto"/>
                    <w:jc w:val="center"/>
                    <w:rPr>
                      <w:rFonts w:ascii="Times New Roman" w:hAnsi="Times New Roman" w:cs="Times New Roman"/>
                      <w:b/>
                      <w:bCs/>
                      <w:sz w:val="21"/>
                      <w:szCs w:val="21"/>
                      <w:u w:val="single"/>
                      <w:lang w:eastAsia="zh-CN"/>
                    </w:rPr>
                  </w:pPr>
                  <w:r>
                    <w:rPr>
                      <w:rFonts w:ascii="Times New Roman" w:hAnsi="Times New Roman" w:cs="Times New Roman"/>
                      <w:b/>
                      <w:bCs/>
                      <w:spacing w:val="-8"/>
                      <w:sz w:val="21"/>
                      <w:szCs w:val="21"/>
                      <w:u w:val="single"/>
                      <w:lang w:eastAsia="zh-CN"/>
                    </w:rPr>
                    <w:t>序号</w:t>
                  </w:r>
                </w:p>
              </w:tc>
              <w:tc>
                <w:tcPr>
                  <w:tcW w:w="1573" w:type="pct"/>
                  <w:vAlign w:val="center"/>
                </w:tcPr>
                <w:p>
                  <w:pPr>
                    <w:pStyle w:val="266"/>
                    <w:spacing w:line="240" w:lineRule="auto"/>
                    <w:jc w:val="center"/>
                    <w:rPr>
                      <w:rFonts w:ascii="Times New Roman" w:hAnsi="Times New Roman" w:cs="Times New Roman"/>
                      <w:b/>
                      <w:bCs/>
                      <w:sz w:val="21"/>
                      <w:szCs w:val="21"/>
                      <w:u w:val="single"/>
                      <w:lang w:eastAsia="zh-CN"/>
                    </w:rPr>
                  </w:pPr>
                  <w:r>
                    <w:rPr>
                      <w:rFonts w:ascii="Times New Roman" w:hAnsi="Times New Roman" w:cs="Times New Roman"/>
                      <w:b/>
                      <w:bCs/>
                      <w:spacing w:val="-9"/>
                      <w:sz w:val="21"/>
                      <w:szCs w:val="21"/>
                      <w:u w:val="single"/>
                      <w:lang w:eastAsia="zh-CN"/>
                    </w:rPr>
                    <w:t>名称</w:t>
                  </w:r>
                </w:p>
              </w:tc>
              <w:tc>
                <w:tcPr>
                  <w:tcW w:w="744" w:type="pct"/>
                  <w:vAlign w:val="center"/>
                </w:tcPr>
                <w:p>
                  <w:pPr>
                    <w:pStyle w:val="266"/>
                    <w:spacing w:line="240" w:lineRule="auto"/>
                    <w:jc w:val="center"/>
                    <w:rPr>
                      <w:rFonts w:ascii="Times New Roman" w:hAnsi="Times New Roman" w:cs="Times New Roman"/>
                      <w:b/>
                      <w:bCs/>
                      <w:sz w:val="21"/>
                      <w:szCs w:val="21"/>
                      <w:u w:val="single"/>
                      <w:lang w:eastAsia="zh-CN"/>
                    </w:rPr>
                  </w:pPr>
                  <w:r>
                    <w:rPr>
                      <w:rFonts w:ascii="Times New Roman" w:hAnsi="Times New Roman" w:cs="Times New Roman"/>
                      <w:b/>
                      <w:bCs/>
                      <w:spacing w:val="-11"/>
                      <w:sz w:val="21"/>
                      <w:szCs w:val="21"/>
                      <w:u w:val="single"/>
                      <w:lang w:eastAsia="zh-CN"/>
                    </w:rPr>
                    <w:t>单位</w:t>
                  </w:r>
                </w:p>
              </w:tc>
              <w:tc>
                <w:tcPr>
                  <w:tcW w:w="1151" w:type="pct"/>
                  <w:vAlign w:val="center"/>
                </w:tcPr>
                <w:p>
                  <w:pPr>
                    <w:pStyle w:val="266"/>
                    <w:spacing w:line="240" w:lineRule="auto"/>
                    <w:jc w:val="center"/>
                    <w:rPr>
                      <w:rFonts w:ascii="Times New Roman" w:hAnsi="Times New Roman" w:cs="Times New Roman"/>
                      <w:b/>
                      <w:bCs/>
                      <w:sz w:val="21"/>
                      <w:szCs w:val="21"/>
                      <w:u w:val="single"/>
                      <w:lang w:eastAsia="zh-CN"/>
                    </w:rPr>
                  </w:pPr>
                  <w:r>
                    <w:rPr>
                      <w:rFonts w:ascii="Times New Roman" w:hAnsi="Times New Roman" w:cs="Times New Roman"/>
                      <w:b/>
                      <w:bCs/>
                      <w:spacing w:val="-7"/>
                      <w:sz w:val="21"/>
                      <w:szCs w:val="21"/>
                      <w:u w:val="single"/>
                      <w:lang w:eastAsia="zh-CN"/>
                    </w:rPr>
                    <w:t>年用量</w:t>
                  </w:r>
                </w:p>
              </w:tc>
              <w:tc>
                <w:tcPr>
                  <w:tcW w:w="765" w:type="pct"/>
                  <w:vAlign w:val="center"/>
                </w:tcPr>
                <w:p>
                  <w:pPr>
                    <w:pStyle w:val="266"/>
                    <w:spacing w:line="240" w:lineRule="auto"/>
                    <w:jc w:val="center"/>
                    <w:rPr>
                      <w:rFonts w:ascii="Times New Roman" w:hAnsi="Times New Roman" w:cs="Times New Roman"/>
                      <w:b/>
                      <w:bCs/>
                      <w:sz w:val="21"/>
                      <w:szCs w:val="21"/>
                      <w:u w:val="single"/>
                      <w:lang w:eastAsia="zh-CN"/>
                    </w:rPr>
                  </w:pPr>
                  <w:r>
                    <w:rPr>
                      <w:rFonts w:ascii="Times New Roman" w:hAnsi="Times New Roman" w:cs="Times New Roman"/>
                      <w:b/>
                      <w:bCs/>
                      <w:spacing w:val="-9"/>
                      <w:sz w:val="21"/>
                      <w:szCs w:val="21"/>
                      <w:u w:val="single"/>
                      <w:lang w:eastAsia="zh-CN"/>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1</w:t>
                  </w:r>
                </w:p>
              </w:tc>
              <w:tc>
                <w:tcPr>
                  <w:tcW w:w="1573"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10"/>
                      <w:sz w:val="21"/>
                      <w:szCs w:val="21"/>
                      <w:u w:val="single"/>
                      <w:lang w:eastAsia="zh-CN"/>
                    </w:rPr>
                    <w:t>生石灰</w:t>
                  </w:r>
                </w:p>
              </w:tc>
              <w:tc>
                <w:tcPr>
                  <w:tcW w:w="744"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t</w:t>
                  </w:r>
                </w:p>
              </w:tc>
              <w:tc>
                <w:tcPr>
                  <w:tcW w:w="1151"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6"/>
                      <w:sz w:val="21"/>
                      <w:szCs w:val="21"/>
                      <w:u w:val="single"/>
                      <w:lang w:eastAsia="zh-CN"/>
                    </w:rPr>
                    <w:t>20</w:t>
                  </w:r>
                </w:p>
              </w:tc>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11"/>
                      <w:sz w:val="21"/>
                      <w:szCs w:val="21"/>
                      <w:u w:val="single"/>
                      <w:lang w:eastAsia="zh-CN"/>
                    </w:rPr>
                    <w:t>消毒</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2</w:t>
                  </w:r>
                </w:p>
              </w:tc>
              <w:tc>
                <w:tcPr>
                  <w:tcW w:w="1573" w:type="pct"/>
                  <w:vAlign w:val="center"/>
                </w:tcPr>
                <w:p>
                  <w:pPr>
                    <w:pStyle w:val="266"/>
                    <w:spacing w:line="240" w:lineRule="auto"/>
                    <w:jc w:val="center"/>
                    <w:rPr>
                      <w:rFonts w:ascii="Times New Roman" w:hAnsi="Times New Roman" w:cs="Times New Roman"/>
                      <w:sz w:val="21"/>
                      <w:szCs w:val="21"/>
                      <w:u w:val="single"/>
                      <w:lang w:eastAsia="zh-CN"/>
                    </w:rPr>
                  </w:pPr>
                  <w:r>
                    <w:rPr>
                      <w:rFonts w:hint="eastAsia" w:ascii="Times New Roman" w:hAnsi="Times New Roman" w:cs="Times New Roman"/>
                      <w:spacing w:val="-8"/>
                      <w:sz w:val="21"/>
                      <w:szCs w:val="21"/>
                      <w:u w:val="single"/>
                      <w:lang w:val="en-US" w:eastAsia="zh-CN"/>
                    </w:rPr>
                    <w:t>84</w:t>
                  </w:r>
                  <w:r>
                    <w:rPr>
                      <w:rFonts w:ascii="Times New Roman" w:hAnsi="Times New Roman" w:cs="Times New Roman"/>
                      <w:spacing w:val="-8"/>
                      <w:sz w:val="21"/>
                      <w:szCs w:val="21"/>
                      <w:u w:val="single"/>
                      <w:lang w:eastAsia="zh-CN"/>
                    </w:rPr>
                    <w:t>消毒液</w:t>
                  </w:r>
                </w:p>
              </w:tc>
              <w:tc>
                <w:tcPr>
                  <w:tcW w:w="744"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t</w:t>
                  </w:r>
                </w:p>
              </w:tc>
              <w:tc>
                <w:tcPr>
                  <w:tcW w:w="1151"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3"/>
                      <w:sz w:val="21"/>
                      <w:szCs w:val="21"/>
                      <w:u w:val="single"/>
                      <w:lang w:eastAsia="zh-CN"/>
                    </w:rPr>
                    <w:t>0.25</w:t>
                  </w:r>
                </w:p>
              </w:tc>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11"/>
                      <w:sz w:val="21"/>
                      <w:szCs w:val="21"/>
                      <w:u w:val="single"/>
                      <w:lang w:eastAsia="zh-CN"/>
                    </w:rPr>
                    <w:t>消毒</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4" w:hRule="atLeast"/>
              </w:trPr>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3</w:t>
                  </w:r>
                </w:p>
              </w:tc>
              <w:tc>
                <w:tcPr>
                  <w:tcW w:w="1573"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8"/>
                      <w:sz w:val="21"/>
                      <w:szCs w:val="21"/>
                      <w:u w:val="single"/>
                      <w:lang w:eastAsia="zh-CN"/>
                    </w:rPr>
                    <w:t>杀虫剂</w:t>
                  </w:r>
                </w:p>
              </w:tc>
              <w:tc>
                <w:tcPr>
                  <w:tcW w:w="744"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t</w:t>
                  </w:r>
                </w:p>
              </w:tc>
              <w:tc>
                <w:tcPr>
                  <w:tcW w:w="1151"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4"/>
                      <w:sz w:val="21"/>
                      <w:szCs w:val="21"/>
                      <w:u w:val="single"/>
                      <w:lang w:eastAsia="zh-CN"/>
                    </w:rPr>
                    <w:t>0.2</w:t>
                  </w:r>
                </w:p>
              </w:tc>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11"/>
                      <w:sz w:val="21"/>
                      <w:szCs w:val="21"/>
                      <w:u w:val="single"/>
                      <w:lang w:eastAsia="zh-CN"/>
                    </w:rPr>
                    <w:t>杀虫</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trPr>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4</w:t>
                  </w:r>
                </w:p>
              </w:tc>
              <w:tc>
                <w:tcPr>
                  <w:tcW w:w="1573"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4"/>
                      <w:sz w:val="21"/>
                      <w:szCs w:val="21"/>
                      <w:u w:val="single"/>
                      <w:lang w:eastAsia="zh-CN"/>
                    </w:rPr>
                    <w:t>膨化饲料</w:t>
                  </w:r>
                </w:p>
              </w:tc>
              <w:tc>
                <w:tcPr>
                  <w:tcW w:w="744"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z w:val="21"/>
                      <w:szCs w:val="21"/>
                      <w:u w:val="single"/>
                      <w:lang w:eastAsia="zh-CN"/>
                    </w:rPr>
                    <w:t>t</w:t>
                  </w:r>
                </w:p>
              </w:tc>
              <w:tc>
                <w:tcPr>
                  <w:tcW w:w="1151"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3"/>
                      <w:sz w:val="21"/>
                      <w:szCs w:val="21"/>
                      <w:u w:val="single"/>
                      <w:lang w:eastAsia="zh-CN"/>
                    </w:rPr>
                    <w:t>2000</w:t>
                  </w:r>
                </w:p>
              </w:tc>
              <w:tc>
                <w:tcPr>
                  <w:tcW w:w="765" w:type="pct"/>
                  <w:vAlign w:val="center"/>
                </w:tcPr>
                <w:p>
                  <w:pPr>
                    <w:pStyle w:val="266"/>
                    <w:spacing w:line="240" w:lineRule="auto"/>
                    <w:jc w:val="center"/>
                    <w:rPr>
                      <w:rFonts w:ascii="Times New Roman" w:hAnsi="Times New Roman" w:cs="Times New Roman"/>
                      <w:sz w:val="21"/>
                      <w:szCs w:val="21"/>
                      <w:u w:val="single"/>
                      <w:lang w:eastAsia="zh-CN"/>
                    </w:rPr>
                  </w:pPr>
                  <w:r>
                    <w:rPr>
                      <w:rFonts w:ascii="Times New Roman" w:hAnsi="Times New Roman" w:cs="Times New Roman"/>
                      <w:spacing w:val="-8"/>
                      <w:sz w:val="21"/>
                      <w:szCs w:val="21"/>
                      <w:u w:val="single"/>
                      <w:lang w:eastAsia="zh-CN"/>
                    </w:rPr>
                    <w:t>饲料</w:t>
                  </w:r>
                </w:p>
              </w:tc>
            </w:tr>
          </w:tbl>
          <w:p>
            <w:pPr>
              <w:pStyle w:val="4"/>
              <w:widowControl/>
              <w:numPr>
                <w:ilvl w:val="0"/>
                <w:numId w:val="0"/>
              </w:numPr>
              <w:tabs>
                <w:tab w:val="left" w:pos="360"/>
                <w:tab w:val="left" w:pos="432"/>
              </w:tabs>
              <w:spacing w:beforeLines="0" w:afterLines="0"/>
              <w:ind w:firstLine="480" w:firstLineChars="200"/>
              <w:rPr>
                <w:rFonts w:cs="宋体"/>
                <w:b w:val="0"/>
                <w:sz w:val="24"/>
                <w:szCs w:val="24"/>
                <w:u w:val="single"/>
              </w:rPr>
            </w:pPr>
            <w:r>
              <w:rPr>
                <w:rFonts w:hint="eastAsia" w:cs="宋体"/>
                <w:b w:val="0"/>
                <w:sz w:val="24"/>
                <w:szCs w:val="24"/>
                <w:u w:val="single"/>
              </w:rPr>
              <w:t>项目所使用的饲料为外购蛙类饲料，主要原料组成为进口优质鱼粉、豆粕、酵母、磷酸二氢钙、面粉、鱼油、复合维生素预混合饲料和微量元素预混合饲料、胆碱、氨基酸、抗氧化剂等</w:t>
            </w:r>
            <w:r>
              <w:rPr>
                <w:rFonts w:hint="eastAsia" w:cs="宋体"/>
                <w:b w:val="0"/>
                <w:sz w:val="24"/>
                <w:szCs w:val="24"/>
                <w:u w:val="single"/>
                <w:lang w:eastAsia="zh-CN"/>
              </w:rPr>
              <w:t>，</w:t>
            </w:r>
            <w:r>
              <w:rPr>
                <w:rFonts w:hint="eastAsia" w:cs="宋体"/>
                <w:b w:val="0"/>
                <w:sz w:val="24"/>
                <w:szCs w:val="24"/>
                <w:u w:val="single"/>
                <w:lang w:val="en-US" w:eastAsia="zh-CN"/>
              </w:rPr>
              <w:t>本项目使用饲料不含重金属元素</w:t>
            </w:r>
            <w:r>
              <w:rPr>
                <w:rFonts w:hint="eastAsia" w:cs="宋体"/>
                <w:b w:val="0"/>
                <w:sz w:val="24"/>
                <w:szCs w:val="24"/>
                <w:u w:val="single"/>
              </w:rPr>
              <w:t>。贮存于避光、阴凉、干燥、通风处，谨防鼠害；禁止与有异味、有毒有害物品混杂堆放。保质期：3-8月份45天，其他月份60天。阴凉干燥保存。该饲料符合饲料卫生标准。喂养方式：直接投喂，每日宜投喂2~3次。</w:t>
            </w:r>
          </w:p>
          <w:p>
            <w:pPr>
              <w:pStyle w:val="4"/>
              <w:widowControl/>
              <w:numPr>
                <w:ilvl w:val="0"/>
                <w:numId w:val="0"/>
              </w:numPr>
              <w:tabs>
                <w:tab w:val="left" w:pos="360"/>
                <w:tab w:val="left" w:pos="432"/>
              </w:tabs>
              <w:spacing w:beforeLines="0" w:afterLines="0"/>
              <w:jc w:val="center"/>
              <w:rPr>
                <w:rFonts w:cs="宋体"/>
                <w:bCs w:val="0"/>
                <w:sz w:val="21"/>
                <w:szCs w:val="21"/>
                <w:u w:val="single"/>
              </w:rPr>
            </w:pPr>
            <w:r>
              <w:rPr>
                <w:rFonts w:hint="eastAsia" w:cs="宋体"/>
                <w:bCs w:val="0"/>
                <w:sz w:val="21"/>
                <w:szCs w:val="21"/>
                <w:u w:val="single"/>
              </w:rPr>
              <w:t>表 2-5饲料成分表</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979"/>
              <w:gridCol w:w="979"/>
              <w:gridCol w:w="979"/>
              <w:gridCol w:w="979"/>
              <w:gridCol w:w="980"/>
              <w:gridCol w:w="980"/>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dxa"/>
                </w:tcPr>
                <w:p>
                  <w:pPr>
                    <w:pStyle w:val="4"/>
                    <w:widowControl/>
                    <w:numPr>
                      <w:ilvl w:val="0"/>
                      <w:numId w:val="0"/>
                    </w:numPr>
                    <w:tabs>
                      <w:tab w:val="left" w:pos="360"/>
                      <w:tab w:val="left" w:pos="432"/>
                    </w:tabs>
                    <w:spacing w:beforeLines="0" w:afterLines="0"/>
                    <w:jc w:val="center"/>
                    <w:rPr>
                      <w:rFonts w:cs="宋体"/>
                      <w:bCs w:val="0"/>
                      <w:sz w:val="18"/>
                      <w:szCs w:val="18"/>
                      <w:u w:val="single"/>
                    </w:rPr>
                  </w:pPr>
                  <w:r>
                    <w:rPr>
                      <w:rFonts w:hint="eastAsia" w:cs="宋体"/>
                      <w:bCs w:val="0"/>
                      <w:sz w:val="18"/>
                      <w:szCs w:val="18"/>
                      <w:u w:val="single"/>
                    </w:rPr>
                    <w:t>成分名称</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粗蛋白质</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粗脂肪</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粗纤维</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粗灰分</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水分</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总磷</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赖氨酸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dxa"/>
                </w:tcPr>
                <w:p>
                  <w:pPr>
                    <w:pStyle w:val="4"/>
                    <w:widowControl/>
                    <w:numPr>
                      <w:ilvl w:val="0"/>
                      <w:numId w:val="0"/>
                    </w:numPr>
                    <w:tabs>
                      <w:tab w:val="left" w:pos="360"/>
                      <w:tab w:val="left" w:pos="432"/>
                    </w:tabs>
                    <w:spacing w:beforeLines="0" w:afterLines="0"/>
                    <w:jc w:val="center"/>
                    <w:rPr>
                      <w:rFonts w:cs="宋体"/>
                      <w:bCs w:val="0"/>
                      <w:sz w:val="18"/>
                      <w:szCs w:val="18"/>
                      <w:u w:val="single"/>
                    </w:rPr>
                  </w:pPr>
                  <w:r>
                    <w:rPr>
                      <w:rFonts w:hint="eastAsia" w:cs="宋体"/>
                      <w:bCs w:val="0"/>
                      <w:sz w:val="18"/>
                      <w:szCs w:val="18"/>
                      <w:u w:val="single"/>
                    </w:rPr>
                    <w:t>含量</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≥39.0</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≥4.0</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≤6.0</w:t>
                  </w:r>
                </w:p>
              </w:tc>
              <w:tc>
                <w:tcPr>
                  <w:tcW w:w="980"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≤15.0</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≤10.0</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≥0.8</w:t>
                  </w:r>
                </w:p>
              </w:tc>
              <w:tc>
                <w:tcPr>
                  <w:tcW w:w="981" w:type="dxa"/>
                </w:tcPr>
                <w:p>
                  <w:pPr>
                    <w:pStyle w:val="4"/>
                    <w:widowControl/>
                    <w:numPr>
                      <w:ilvl w:val="0"/>
                      <w:numId w:val="0"/>
                    </w:numPr>
                    <w:tabs>
                      <w:tab w:val="left" w:pos="360"/>
                      <w:tab w:val="left" w:pos="432"/>
                    </w:tabs>
                    <w:spacing w:beforeLines="0" w:afterLines="0"/>
                    <w:jc w:val="center"/>
                    <w:rPr>
                      <w:rFonts w:cs="宋体"/>
                      <w:b w:val="0"/>
                      <w:sz w:val="18"/>
                      <w:szCs w:val="18"/>
                      <w:u w:val="single"/>
                    </w:rPr>
                  </w:pPr>
                  <w:r>
                    <w:rPr>
                      <w:rFonts w:hint="eastAsia" w:cs="宋体"/>
                      <w:b w:val="0"/>
                      <w:sz w:val="18"/>
                      <w:szCs w:val="18"/>
                      <w:u w:val="single"/>
                    </w:rPr>
                    <w:t>≥1.85</w:t>
                  </w:r>
                </w:p>
              </w:tc>
            </w:tr>
          </w:tbl>
          <w:p>
            <w:pPr>
              <w:pStyle w:val="4"/>
              <w:widowControl/>
              <w:numPr>
                <w:ilvl w:val="0"/>
                <w:numId w:val="0"/>
              </w:numPr>
              <w:tabs>
                <w:tab w:val="left" w:pos="360"/>
                <w:tab w:val="left" w:pos="432"/>
              </w:tabs>
              <w:spacing w:beforeLines="0" w:afterLines="0" w:line="288" w:lineRule="auto"/>
              <w:rPr>
                <w:rFonts w:cs="宋体"/>
                <w:bCs w:val="0"/>
              </w:rPr>
            </w:pPr>
            <w:r>
              <w:rPr>
                <w:rFonts w:hint="eastAsia" w:cs="宋体"/>
                <w:bCs w:val="0"/>
              </w:rPr>
              <w:t>6、平面布置</w:t>
            </w:r>
          </w:p>
          <w:p>
            <w:pPr>
              <w:ind w:firstLine="480"/>
            </w:pPr>
            <w:r>
              <w:rPr>
                <w:rFonts w:hint="eastAsia"/>
              </w:rPr>
              <w:t>本项目位于永州市新田县大坪塘镇龙溪村，本项目占地面积16648平方米。本项目场区大门位于项目西北部连接着饲料仓库，本项目由南往北一线依次是三级过滤沉淀池、牛蛙池、蓄水池、办公室。库区平面布置情况见附图二。</w:t>
            </w:r>
          </w:p>
          <w:p>
            <w:pPr>
              <w:pStyle w:val="4"/>
              <w:widowControl/>
              <w:numPr>
                <w:ilvl w:val="0"/>
                <w:numId w:val="0"/>
              </w:numPr>
              <w:tabs>
                <w:tab w:val="left" w:pos="360"/>
                <w:tab w:val="left" w:pos="432"/>
              </w:tabs>
              <w:spacing w:beforeLines="0" w:afterLines="0" w:line="288" w:lineRule="auto"/>
              <w:jc w:val="both"/>
              <w:rPr>
                <w:rFonts w:cs="宋体"/>
                <w:bCs w:val="0"/>
              </w:rPr>
            </w:pPr>
            <w:r>
              <w:rPr>
                <w:rFonts w:hint="eastAsia" w:cs="宋体"/>
                <w:bCs w:val="0"/>
              </w:rPr>
              <w:t>7、公用工程</w:t>
            </w:r>
          </w:p>
          <w:p>
            <w:pPr>
              <w:pStyle w:val="5"/>
              <w:ind w:firstLine="0"/>
              <w:rPr>
                <w:u w:val="single"/>
              </w:rPr>
            </w:pPr>
            <w:r>
              <w:rPr>
                <w:rFonts w:hint="eastAsia"/>
              </w:rPr>
              <w:t>（</w:t>
            </w:r>
            <w:r>
              <w:rPr>
                <w:rFonts w:hint="eastAsia"/>
                <w:u w:val="single"/>
              </w:rPr>
              <w:t>1）给排水</w:t>
            </w:r>
          </w:p>
          <w:p>
            <w:pPr>
              <w:pStyle w:val="5"/>
              <w:ind w:firstLine="480" w:firstLineChars="200"/>
              <w:rPr>
                <w:u w:val="single"/>
              </w:rPr>
            </w:pPr>
            <w:r>
              <w:rPr>
                <w:rFonts w:hint="eastAsia"/>
                <w:u w:val="single"/>
              </w:rPr>
              <w:t>①水源</w:t>
            </w:r>
          </w:p>
          <w:p>
            <w:pPr>
              <w:pStyle w:val="5"/>
              <w:ind w:firstLine="480" w:firstLineChars="200"/>
              <w:rPr>
                <w:u w:val="single"/>
              </w:rPr>
            </w:pPr>
            <w:r>
              <w:rPr>
                <w:rFonts w:hint="eastAsia"/>
                <w:u w:val="single"/>
              </w:rPr>
              <w:t>养殖用水主要来源于项目西北方向野山塘，不影响当地农业生产用水。</w:t>
            </w:r>
          </w:p>
          <w:p>
            <w:pPr>
              <w:pStyle w:val="5"/>
              <w:spacing w:before="0"/>
              <w:ind w:right="0" w:firstLine="480" w:firstLineChars="200"/>
              <w:jc w:val="left"/>
              <w:rPr>
                <w:u w:val="single"/>
              </w:rPr>
            </w:pPr>
            <w:r>
              <w:rPr>
                <w:rFonts w:hint="eastAsia"/>
                <w:u w:val="single"/>
              </w:rPr>
              <w:t>②排水系统</w:t>
            </w:r>
          </w:p>
          <w:p>
            <w:pPr>
              <w:pStyle w:val="5"/>
              <w:spacing w:before="0"/>
              <w:ind w:right="0" w:firstLine="480" w:firstLineChars="200"/>
              <w:jc w:val="left"/>
              <w:rPr>
                <w:u w:val="single"/>
              </w:rPr>
            </w:pPr>
            <w:r>
              <w:rPr>
                <w:rFonts w:hint="eastAsia"/>
                <w:u w:val="single"/>
              </w:rPr>
              <w:t>项目生产用水主要为牛蛙养殖用水，本项目单个蛙池面积为136m</w:t>
            </w:r>
            <w:r>
              <w:rPr>
                <w:rFonts w:hint="eastAsia"/>
                <w:u w:val="single"/>
                <w:vertAlign w:val="superscript"/>
              </w:rPr>
              <w:t>2</w:t>
            </w:r>
            <w:r>
              <w:rPr>
                <w:rFonts w:hint="eastAsia"/>
                <w:u w:val="single"/>
              </w:rPr>
              <w:t>，建设蛙池74个，每池保持30cm水位；为保持良好水质，蛙池每天保持水体微流动状态。</w:t>
            </w:r>
          </w:p>
          <w:p>
            <w:pPr>
              <w:pStyle w:val="5"/>
              <w:spacing w:before="0"/>
              <w:ind w:right="0" w:firstLine="480" w:firstLineChars="200"/>
              <w:jc w:val="left"/>
              <w:rPr>
                <w:rFonts w:hint="eastAsia" w:eastAsia="宋体"/>
                <w:color w:val="000000"/>
                <w:u w:val="single"/>
                <w:lang w:eastAsia="zh-CN"/>
              </w:rPr>
            </w:pPr>
            <w:r>
              <w:rPr>
                <w:rFonts w:hint="eastAsia"/>
                <w:u w:val="single"/>
                <w:lang w:val="en-US" w:eastAsia="zh-CN"/>
              </w:rPr>
              <w:t>根据同类报告，牛蛙养殖水损耗量约为20%；</w:t>
            </w:r>
            <w:r>
              <w:rPr>
                <w:rFonts w:hint="eastAsia"/>
                <w:u w:val="single"/>
              </w:rPr>
              <w:t>牛蛙蝌蚪养殖期60天，新鲜水用量为200m</w:t>
            </w:r>
            <w:r>
              <w:rPr>
                <w:rFonts w:hint="eastAsia"/>
                <w:u w:val="single"/>
                <w:vertAlign w:val="superscript"/>
              </w:rPr>
              <w:t>3</w:t>
            </w:r>
            <w:r>
              <w:rPr>
                <w:rFonts w:hint="eastAsia"/>
                <w:u w:val="single"/>
              </w:rPr>
              <w:t>/天，废水产生量预计为 160m</w:t>
            </w:r>
            <w:r>
              <w:rPr>
                <w:rFonts w:hint="eastAsia"/>
                <w:u w:val="single"/>
                <w:vertAlign w:val="superscript"/>
              </w:rPr>
              <w:t>3</w:t>
            </w:r>
            <w:r>
              <w:rPr>
                <w:rFonts w:hint="eastAsia"/>
                <w:u w:val="single"/>
              </w:rPr>
              <w:t>/天；幼蛙及中蛙养殖期为50天，新鲜水用量为300m</w:t>
            </w:r>
            <w:r>
              <w:rPr>
                <w:rFonts w:hint="eastAsia"/>
                <w:u w:val="single"/>
                <w:vertAlign w:val="superscript"/>
              </w:rPr>
              <w:t>3</w:t>
            </w:r>
            <w:r>
              <w:rPr>
                <w:rFonts w:hint="eastAsia"/>
                <w:u w:val="single"/>
              </w:rPr>
              <w:t>/天，废水产生量预计为240m</w:t>
            </w:r>
            <w:r>
              <w:rPr>
                <w:rFonts w:hint="eastAsia"/>
                <w:u w:val="single"/>
                <w:vertAlign w:val="superscript"/>
              </w:rPr>
              <w:t>3</w:t>
            </w:r>
            <w:r>
              <w:rPr>
                <w:rFonts w:hint="eastAsia"/>
                <w:u w:val="single"/>
              </w:rPr>
              <w:t>/天；大蛙养殖期40天，新鲜水用量为400m</w:t>
            </w:r>
            <w:r>
              <w:rPr>
                <w:rFonts w:hint="eastAsia"/>
                <w:u w:val="single"/>
                <w:vertAlign w:val="superscript"/>
              </w:rPr>
              <w:t>3</w:t>
            </w:r>
            <w:r>
              <w:rPr>
                <w:rFonts w:hint="eastAsia"/>
                <w:u w:val="single"/>
              </w:rPr>
              <w:t>/天，废水产生量预计为320m</w:t>
            </w:r>
            <w:r>
              <w:rPr>
                <w:rFonts w:hint="eastAsia"/>
                <w:u w:val="single"/>
                <w:vertAlign w:val="superscript"/>
              </w:rPr>
              <w:t>3</w:t>
            </w:r>
            <w:r>
              <w:rPr>
                <w:rFonts w:hint="eastAsia"/>
                <w:u w:val="single"/>
              </w:rPr>
              <w:t>/天，本项目每年饲养两批牛蛙，总计产生废水约68800m</w:t>
            </w:r>
            <w:r>
              <w:rPr>
                <w:rFonts w:hint="eastAsia"/>
                <w:u w:val="single"/>
                <w:vertAlign w:val="superscript"/>
              </w:rPr>
              <w:t>3</w:t>
            </w:r>
            <w:r>
              <w:rPr>
                <w:rFonts w:hint="eastAsia"/>
                <w:u w:val="single"/>
              </w:rPr>
              <w:t>/a，废水经三级过滤沉淀池+一体化污水处理设备处理后</w:t>
            </w:r>
            <w:r>
              <w:rPr>
                <w:rFonts w:hint="eastAsia"/>
                <w:u w:val="single"/>
                <w:lang w:val="en-US" w:eastAsia="zh-CN"/>
              </w:rPr>
              <w:t>通过提升泵抽入蓄水池回用于养殖</w:t>
            </w:r>
            <w:r>
              <w:rPr>
                <w:rFonts w:hint="eastAsia"/>
                <w:u w:val="single"/>
              </w:rPr>
              <w:t>。待一批次全部养殖完成后尾水约3019.2m</w:t>
            </w:r>
            <w:r>
              <w:rPr>
                <w:rFonts w:hint="eastAsia"/>
                <w:u w:val="single"/>
                <w:vertAlign w:val="superscript"/>
              </w:rPr>
              <w:t>3</w:t>
            </w:r>
            <w:r>
              <w:rPr>
                <w:rFonts w:hint="eastAsia"/>
                <w:u w:val="single"/>
              </w:rPr>
              <w:t>（6038.4m</w:t>
            </w:r>
            <w:r>
              <w:rPr>
                <w:rFonts w:hint="eastAsia"/>
                <w:u w:val="single"/>
                <w:vertAlign w:val="superscript"/>
              </w:rPr>
              <w:t>3</w:t>
            </w:r>
            <w:r>
              <w:rPr>
                <w:rFonts w:hint="eastAsia"/>
                <w:u w:val="single"/>
              </w:rPr>
              <w:t>/a）经三级过滤沉淀池+一体化污水处理设备处理达到</w:t>
            </w:r>
            <w:r>
              <w:rPr>
                <w:rFonts w:hint="eastAsia"/>
                <w:spacing w:val="-2"/>
                <w:u w:val="single"/>
              </w:rPr>
              <w:t>《湖南省水产养殖尾水综合排放标准》（DB43/1752-2020）二级标准</w:t>
            </w:r>
            <w:r>
              <w:rPr>
                <w:rFonts w:hint="eastAsia"/>
                <w:u w:val="single"/>
              </w:rPr>
              <w:t>后用于</w:t>
            </w:r>
            <w:r>
              <w:rPr>
                <w:rFonts w:hint="eastAsia"/>
                <w:u w:val="single"/>
                <w:lang w:val="en-US" w:eastAsia="zh-CN"/>
              </w:rPr>
              <w:t>周边农林果木灌溉</w:t>
            </w:r>
            <w:r>
              <w:rPr>
                <w:rFonts w:hint="eastAsia"/>
                <w:u w:val="single"/>
              </w:rPr>
              <w:t>。</w:t>
            </w:r>
            <w:bookmarkStart w:id="92" w:name="_GoBack"/>
            <w:bookmarkEnd w:id="92"/>
            <w:r>
              <w:rPr>
                <w:rFonts w:hint="eastAsia" w:eastAsia="宋体"/>
                <w:color w:val="000000"/>
                <w:u w:val="single"/>
                <w:lang w:eastAsia="zh-CN"/>
              </w:rPr>
              <w:drawing>
                <wp:inline distT="0" distB="0" distL="114300" distR="114300">
                  <wp:extent cx="4977130" cy="2038985"/>
                  <wp:effectExtent l="0" t="0" r="13970" b="18415"/>
                  <wp:docPr id="1" name="图片 1" descr="新建 PPT 演示文稿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新建 PPT 演示文稿_01(1)"/>
                          <pic:cNvPicPr>
                            <a:picLocks noChangeAspect="1"/>
                          </pic:cNvPicPr>
                        </pic:nvPicPr>
                        <pic:blipFill>
                          <a:blip r:embed="rId23"/>
                          <a:stretch>
                            <a:fillRect/>
                          </a:stretch>
                        </pic:blipFill>
                        <pic:spPr>
                          <a:xfrm>
                            <a:off x="0" y="0"/>
                            <a:ext cx="4977130" cy="2038985"/>
                          </a:xfrm>
                          <a:prstGeom prst="rect">
                            <a:avLst/>
                          </a:prstGeom>
                        </pic:spPr>
                      </pic:pic>
                    </a:graphicData>
                  </a:graphic>
                </wp:inline>
              </w:drawing>
            </w:r>
          </w:p>
          <w:p>
            <w:pPr>
              <w:snapToGrid w:val="0"/>
              <w:jc w:val="center"/>
            </w:pPr>
            <w:r>
              <w:rPr>
                <w:rFonts w:hint="eastAsia" w:hAnsi="宋体"/>
                <w:b/>
                <w:u w:val="single"/>
              </w:rPr>
              <w:t>图2-1项目水平衡图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7" w:hRule="atLeast"/>
          <w:jc w:val="center"/>
        </w:trPr>
        <w:tc>
          <w:tcPr>
            <w:tcW w:w="440" w:type="dxa"/>
            <w:vAlign w:val="center"/>
          </w:tcPr>
          <w:p>
            <w:pPr>
              <w:spacing w:line="240" w:lineRule="auto"/>
            </w:pPr>
            <w:r>
              <w:rPr>
                <w:rFonts w:hint="eastAsia"/>
              </w:rPr>
              <w:t>工艺流程和产排污环节</w:t>
            </w:r>
          </w:p>
        </w:tc>
        <w:tc>
          <w:tcPr>
            <w:tcW w:w="8075" w:type="dxa"/>
          </w:tcPr>
          <w:p>
            <w:pPr>
              <w:pStyle w:val="4"/>
              <w:widowControl/>
              <w:numPr>
                <w:ilvl w:val="0"/>
                <w:numId w:val="0"/>
              </w:numPr>
              <w:tabs>
                <w:tab w:val="left" w:pos="360"/>
                <w:tab w:val="left" w:pos="432"/>
              </w:tabs>
              <w:adjustRightInd w:val="0"/>
              <w:snapToGrid w:val="0"/>
              <w:spacing w:beforeLines="0" w:afterLines="0"/>
              <w:rPr>
                <w:rFonts w:cs="宋体"/>
                <w:bCs w:val="0"/>
                <w:sz w:val="30"/>
              </w:rPr>
            </w:pPr>
            <w:r>
              <w:rPr>
                <w:rFonts w:hint="eastAsia" w:cs="宋体"/>
                <w:bCs w:val="0"/>
                <w:sz w:val="30"/>
              </w:rPr>
              <w:t>1、施工期</w:t>
            </w:r>
          </w:p>
          <w:p>
            <w:pPr>
              <w:ind w:firstLine="480"/>
            </w:pPr>
            <w:bookmarkStart w:id="16" w:name="_Toc346897835"/>
            <w:bookmarkStart w:id="17" w:name="_Toc246784507"/>
            <w:bookmarkStart w:id="18" w:name="_Toc169517358"/>
            <w:bookmarkStart w:id="19" w:name="_Toc238739548"/>
            <w:r>
              <w:rPr>
                <w:rFonts w:hint="eastAsia"/>
                <w:bCs/>
                <w:snapToGrid w:val="0"/>
                <w:szCs w:val="21"/>
              </w:rPr>
              <w:t>本项目目前已完成施工，仅污水处理一体化设备需要安装，因此不分析施工期产排污。</w:t>
            </w:r>
          </w:p>
          <w:bookmarkEnd w:id="16"/>
          <w:bookmarkEnd w:id="17"/>
          <w:bookmarkEnd w:id="18"/>
          <w:bookmarkEnd w:id="19"/>
          <w:p>
            <w:pPr>
              <w:pStyle w:val="4"/>
              <w:widowControl/>
              <w:numPr>
                <w:ilvl w:val="0"/>
                <w:numId w:val="0"/>
              </w:numPr>
              <w:tabs>
                <w:tab w:val="left" w:pos="360"/>
                <w:tab w:val="left" w:pos="432"/>
              </w:tabs>
              <w:adjustRightInd w:val="0"/>
              <w:snapToGrid w:val="0"/>
              <w:spacing w:beforeLines="0" w:afterLines="0"/>
              <w:rPr>
                <w:rFonts w:cs="宋体"/>
                <w:bCs w:val="0"/>
                <w:sz w:val="30"/>
              </w:rPr>
            </w:pPr>
            <w:r>
              <w:rPr>
                <w:rFonts w:cs="宋体"/>
                <w:bCs w:val="0"/>
                <w:sz w:val="30"/>
              </w:rPr>
              <w:t>2、</w:t>
            </w:r>
            <w:r>
              <w:rPr>
                <w:rFonts w:hint="eastAsia" w:cs="宋体"/>
                <w:bCs w:val="0"/>
                <w:sz w:val="30"/>
              </w:rPr>
              <w:t>运营期</w:t>
            </w:r>
          </w:p>
          <w:p>
            <w:pPr>
              <w:widowControl/>
              <w:adjustRightInd w:val="0"/>
              <w:snapToGrid w:val="0"/>
              <w:ind w:firstLine="480"/>
            </w:pPr>
            <w:r>
              <w:rPr>
                <w:rFonts w:hint="eastAsia"/>
              </w:rPr>
              <w:t>生产工艺流程及产污环节见下图。</w:t>
            </w:r>
          </w:p>
          <w:p>
            <w:pPr>
              <w:snapToGrid w:val="0"/>
              <w:jc w:val="center"/>
              <w:rPr>
                <w:rFonts w:hAnsi="宋体"/>
                <w:b/>
              </w:rPr>
            </w:pPr>
            <w:r>
              <w:pict>
                <v:shape id="_x0000_s2067" o:spid="_x0000_s2067" o:spt="202" type="#_x0000_t202" style="position:absolute;left:0pt;margin-left:253.05pt;margin-top:1.6pt;height:36.45pt;width:65.45pt;z-index:251679744;mso-width-relative:page;mso-height-relative:page;" fillcolor="#FFFFFF" filled="t" stroked="f" coordsize="21600,21600" o:gfxdata="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8&#10;4k9b1wAAAAsBAAAPAAAAAAAAAAEAIAAAACIAAABkcnMvZG93bnJldi54bWxQSwECFAAUAAAACACH&#10;TuJAPzpwjF4CAACcBAAADgAAAAAAAAABACAAAAAmAQAAZHJzL2Uyb0RvYy54bWxQSwUGAAAAAAYA&#10;BgBZAQAA9gUAAAAA&#10;">
                  <v:path/>
                  <v:fill on="t" color2="#FFFFFF" focussize="0,0"/>
                  <v:stroke on="f" weight="0.5pt"/>
                  <v:imagedata o:title=""/>
                  <o:lock v:ext="edit" aspectratio="f"/>
                  <v:textbox>
                    <w:txbxContent>
                      <w:p>
                        <w:pPr>
                          <w:spacing w:line="240" w:lineRule="auto"/>
                          <w:rPr>
                            <w:rFonts w:hint="default" w:eastAsia="宋体"/>
                            <w:sz w:val="18"/>
                            <w:szCs w:val="18"/>
                            <w:lang w:val="en-US" w:eastAsia="zh-CN"/>
                          </w:rPr>
                        </w:pPr>
                        <w:r>
                          <w:rPr>
                            <w:rFonts w:hint="eastAsia"/>
                            <w:sz w:val="15"/>
                            <w:szCs w:val="15"/>
                            <w:lang w:val="en-US" w:eastAsia="zh-CN"/>
                          </w:rPr>
                          <w:t>养殖期废水回用于养殖</w:t>
                        </w:r>
                      </w:p>
                    </w:txbxContent>
                  </v:textbox>
                </v:shape>
              </w:pict>
            </w:r>
            <w:r>
              <w:pict>
                <v:shape id="_x0000_s2064" o:spid="_x0000_s2064" o:spt="202" type="#_x0000_t202" style="position:absolute;left:0pt;margin-left:278.45pt;margin-top:148.4pt;height:38.6pt;width:100pt;z-index:251665408;mso-width-relative:page;mso-height-relative:page;" fillcolor="#FFFFFF" filled="t" stroked="f" coordsize="21600,21600" o:gfxdata="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ECigLW&#10;AAAACwEAAA8AAAAAAAAAAQAgAAAAIgAAAGRycy9kb3ducmV2LnhtbFBLAQIUABQAAAAIAIdO4kBf&#10;SPruWwIAAJ0EAAAOAAAAAAAAAAEAIAAAACUBAABkcnMvZTJvRG9jLnhtbFBLBQYAAAAABgAGAFkB&#10;AADyBQAAAAA=&#10;">
                  <v:path/>
                  <v:fill on="t" focussize="0,0"/>
                  <v:stroke on="f" weight="0.5pt" joinstyle="miter"/>
                  <v:imagedata o:title=""/>
                  <o:lock v:ext="edit"/>
                  <v:textbox>
                    <w:txbxContent>
                      <w:p>
                        <w:pPr>
                          <w:spacing w:line="240" w:lineRule="auto"/>
                        </w:pPr>
                        <w:r>
                          <w:rPr>
                            <w:rFonts w:hint="eastAsia"/>
                            <w:sz w:val="15"/>
                            <w:szCs w:val="15"/>
                            <w:lang w:val="en-US" w:eastAsia="zh-CN"/>
                          </w:rPr>
                          <w:t>一批次养殖尾水</w:t>
                        </w:r>
                        <w:r>
                          <w:rPr>
                            <w:rFonts w:hint="eastAsia"/>
                            <w:sz w:val="15"/>
                            <w:szCs w:val="15"/>
                          </w:rPr>
                          <w:t>用作周边农</w:t>
                        </w:r>
                        <w:r>
                          <w:rPr>
                            <w:rFonts w:hint="eastAsia"/>
                            <w:sz w:val="15"/>
                            <w:szCs w:val="15"/>
                            <w:lang w:val="en-US" w:eastAsia="zh-CN"/>
                          </w:rPr>
                          <w:t>林</w:t>
                        </w:r>
                        <w:r>
                          <w:rPr>
                            <w:rFonts w:hint="eastAsia"/>
                            <w:sz w:val="15"/>
                            <w:szCs w:val="15"/>
                          </w:rPr>
                          <w:t>果</w:t>
                        </w:r>
                        <w:r>
                          <w:rPr>
                            <w:rFonts w:hint="eastAsia"/>
                            <w:sz w:val="15"/>
                            <w:szCs w:val="15"/>
                            <w:lang w:val="en-US" w:eastAsia="zh-CN"/>
                          </w:rPr>
                          <w:t>木</w:t>
                        </w:r>
                        <w:r>
                          <w:rPr>
                            <w:rFonts w:hint="eastAsia"/>
                            <w:sz w:val="15"/>
                            <w:szCs w:val="15"/>
                          </w:rPr>
                          <w:t>灌溉</w:t>
                        </w:r>
                      </w:p>
                    </w:txbxContent>
                  </v:textbox>
                </v:shape>
              </w:pict>
            </w:r>
            <w:r>
              <w:pict>
                <v:shape id="_x0000_s2063" o:spid="_x0000_s2063" o:spt="202" type="#_x0000_t202" style="position:absolute;left:0pt;margin-left:292.85pt;margin-top:101.6pt;height:37.6pt;width:74.85pt;z-index:251664384;mso-width-relative:page;mso-height-relative:page;" fillcolor="#FFFFFF" filled="t" stroked="f" coordsize="21600,21600" o:gfxdata="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8&#10;4k9b1wAAAAsBAAAPAAAAAAAAAAEAIAAAACIAAABkcnMvZG93bnJldi54bWxQSwECFAAUAAAACACH&#10;TuJAPzpwjF4CAACcBAAADgAAAAAAAAABACAAAAAmAQAAZHJzL2Uyb0RvYy54bWxQSwUGAAAAAAYA&#10;BgBZAQAA9gUAAAAA&#10;">
                  <v:path/>
                  <v:fill on="t" focussize="0,0"/>
                  <v:stroke on="f" weight="0.5pt" joinstyle="miter"/>
                  <v:imagedata o:title=""/>
                  <o:lock v:ext="edit"/>
                  <v:textbox>
                    <w:txbxContent>
                      <w:p>
                        <w:pPr>
                          <w:spacing w:line="240" w:lineRule="auto"/>
                          <w:rPr>
                            <w:sz w:val="18"/>
                            <w:szCs w:val="18"/>
                          </w:rPr>
                        </w:pPr>
                        <w:r>
                          <w:rPr>
                            <w:rFonts w:hint="eastAsia"/>
                            <w:sz w:val="15"/>
                            <w:szCs w:val="15"/>
                          </w:rPr>
                          <w:t>三级过滤沉淀池+一体化处理设备</w:t>
                        </w:r>
                      </w:p>
                    </w:txbxContent>
                  </v:textbox>
                </v:shape>
              </w:pict>
            </w:r>
            <w:r>
              <w:rPr>
                <w:position w:val="-127"/>
              </w:rPr>
              <w:drawing>
                <wp:inline distT="0" distB="0" distL="0" distR="0">
                  <wp:extent cx="4929505" cy="3299460"/>
                  <wp:effectExtent l="0" t="0" r="4445" b="15240"/>
                  <wp:docPr id="34" name="IM 34" descr="C:/Users/Administrator/Desktop/微信图片_20240703184215.png微信图片_20240703184215"/>
                  <wp:cNvGraphicFramePr/>
                  <a:graphic xmlns:a="http://schemas.openxmlformats.org/drawingml/2006/main">
                    <a:graphicData uri="http://schemas.openxmlformats.org/drawingml/2006/picture">
                      <pic:pic xmlns:pic="http://schemas.openxmlformats.org/drawingml/2006/picture">
                        <pic:nvPicPr>
                          <pic:cNvPr id="34" name="IM 34" descr="C:/Users/Administrator/Desktop/微信图片_20240703184215.png微信图片_20240703184215"/>
                          <pic:cNvPicPr/>
                        </pic:nvPicPr>
                        <pic:blipFill>
                          <a:blip r:embed="rId24"/>
                          <a:srcRect t="2789" b="2789"/>
                          <a:stretch>
                            <a:fillRect/>
                          </a:stretch>
                        </pic:blipFill>
                        <pic:spPr>
                          <a:xfrm>
                            <a:off x="0" y="0"/>
                            <a:ext cx="4929505" cy="3299460"/>
                          </a:xfrm>
                          <a:prstGeom prst="rect">
                            <a:avLst/>
                          </a:prstGeom>
                        </pic:spPr>
                      </pic:pic>
                    </a:graphicData>
                  </a:graphic>
                </wp:inline>
              </w:drawing>
            </w:r>
            <w:r>
              <w:rPr>
                <w:rFonts w:hint="eastAsia" w:hAnsi="宋体"/>
                <w:b/>
              </w:rPr>
              <w:t>图2-2本项目</w:t>
            </w:r>
            <w:r>
              <w:rPr>
                <w:rFonts w:hint="eastAsia" w:hAnsi="宋体"/>
                <w:b/>
                <w:lang w:val="en-US" w:eastAsia="zh-CN"/>
              </w:rPr>
              <w:t>养殖</w:t>
            </w:r>
            <w:r>
              <w:rPr>
                <w:rFonts w:hint="eastAsia" w:hAnsi="宋体"/>
                <w:b/>
              </w:rPr>
              <w:t>流程图</w:t>
            </w:r>
          </w:p>
          <w:p>
            <w:pPr>
              <w:ind w:firstLine="480"/>
            </w:pPr>
            <w:r>
              <w:t>工艺流程说明：</w:t>
            </w:r>
          </w:p>
          <w:p>
            <w:pPr>
              <w:ind w:firstLine="480"/>
            </w:pPr>
            <w:r>
              <w:rPr>
                <w:rFonts w:hint="eastAsia"/>
              </w:rPr>
              <w:t>消毒放苗：放苗前，干池每亩用生石灰50～75kg斤进行消毒，一般清池消毒10天即可放苗。幼蛙期放养密度为每平方米60～80只，随着个体差异的变化，再进行分级分池放养，成蛙期放养密度为每平方米30～40只。</w:t>
            </w:r>
          </w:p>
          <w:p>
            <w:pPr>
              <w:ind w:firstLine="480"/>
            </w:pPr>
            <w:r>
              <w:rPr>
                <w:rFonts w:hint="eastAsia"/>
              </w:rPr>
              <w:t>巡池查看：每天早、中晚各巡池一次，检查筛绢网是否出现破洞，如果有破损必须马上修复，防止牛蛙外逃，保证24小时不间断地流水，溢水口处可用塑料插管的升降来控 制水位的高低，一般水深保持在30～40厘米，且保持水质清新。还应注意观察，若牛蛙摄食与活动情况有异常现象，应及时采取相应的治疗措施。</w:t>
            </w:r>
          </w:p>
          <w:p>
            <w:pPr>
              <w:ind w:firstLine="480"/>
            </w:pPr>
            <w:r>
              <w:rPr>
                <w:rFonts w:hint="eastAsia"/>
              </w:rPr>
              <w:t>饲料投喂：主要以成品牛蛙饲料为主，饵料的投喂应做到“四定”，即定点、定时、定量、定质。 日投饵量保持在蛙体重的7～15％ ，投饵量除按蛙体重计算外，还应根据气候、水质及残饵等情况酌量调整，做到少量多次，投喂量以半小时内吃完为宜。投料时定期补水，</w:t>
            </w:r>
            <w:r>
              <w:rPr>
                <w:rFonts w:hint="eastAsia"/>
                <w:lang w:val="en-US" w:eastAsia="zh-CN"/>
              </w:rPr>
              <w:t>使水流流动</w:t>
            </w:r>
            <w:r>
              <w:rPr>
                <w:rFonts w:hint="eastAsia"/>
              </w:rPr>
              <w:t>。无需专门投放饲料。</w:t>
            </w:r>
          </w:p>
          <w:p>
            <w:pPr>
              <w:ind w:firstLine="480"/>
            </w:pPr>
            <w:r>
              <w:rPr>
                <w:rFonts w:hint="eastAsia"/>
              </w:rPr>
              <w:t>分级饲养：在牛蛙饲养过程中，为防止发生互相残食的现象，每隔一段时间要及时将规格相差较大的个体进行筛选分级，把规格相同的牛蛙调整到同一 口池进行饲养，防止大蛙吃小蛙，同时注意控制养殖密度。</w:t>
            </w:r>
          </w:p>
          <w:p>
            <w:pPr>
              <w:ind w:firstLine="480"/>
            </w:pPr>
            <w:r>
              <w:rPr>
                <w:rFonts w:hint="eastAsia"/>
              </w:rPr>
              <w:t>疾病防控：在牛蛙养殖过程中要做到“以防为主，防治结合 ”。放养前进行清塘消毒， 用生石灰进行消毒，杀灭敌害生物和病原体。发现病蛙、死蛙及时找出隔离，除此之外， 还要定时对工具进行消毒，且控制合理的养殖密度。当养至成蛙时，如出现个别歪头和红腿现象，应及时把歪头的牛蛙挑出隔离开。日常产生的病死蛙用作周边鱼塘做饲料；如若出现疫情，病死蛙送至化尸桶内里加入生石灰和消毒液，待病死牛蛙自然消解，化尸桶满后，委托有资质单位进行处置。经</w:t>
            </w:r>
            <w:r>
              <w:rPr>
                <w:rFonts w:hint="eastAsia"/>
                <w:lang w:val="en-US" w:eastAsia="zh-CN"/>
              </w:rPr>
              <w:t>5</w:t>
            </w:r>
            <w:r>
              <w:rPr>
                <w:rFonts w:hint="eastAsia"/>
              </w:rPr>
              <w:t>个月左右的牛蛙养殖周期后将合格的成蛙出售。</w:t>
            </w:r>
          </w:p>
          <w:p>
            <w:pPr>
              <w:ind w:firstLine="480"/>
            </w:pPr>
            <w:r>
              <w:rPr>
                <w:rFonts w:hint="eastAsia"/>
              </w:rPr>
              <w:t>牛蛙养殖废水经三级过滤沉淀池+一体化处理设备处理后养殖废水经处理后使用提升泵抽取至蓄水池</w:t>
            </w:r>
            <w:r>
              <w:rPr>
                <w:rFonts w:hint="eastAsia"/>
                <w:lang w:val="en-US" w:eastAsia="zh-CN"/>
              </w:rPr>
              <w:t>全部</w:t>
            </w:r>
            <w:r>
              <w:rPr>
                <w:rFonts w:hint="eastAsia"/>
              </w:rPr>
              <w:t>回用，待一批次牛蛙养殖完成后，养殖尾水经处理后用于</w:t>
            </w:r>
            <w:r>
              <w:rPr>
                <w:rFonts w:hint="eastAsia"/>
                <w:lang w:val="en-US" w:eastAsia="zh-CN"/>
              </w:rPr>
              <w:t>项目周边农林果木灌溉</w:t>
            </w:r>
            <w:r>
              <w:rPr>
                <w:rFonts w:hint="eastAsia"/>
              </w:rPr>
              <w:t>。</w:t>
            </w:r>
          </w:p>
          <w:p>
            <w:pPr>
              <w:ind w:firstLine="480"/>
              <w:rPr>
                <w:rFonts w:ascii="宋体" w:hAnsi="宋体"/>
                <w:b/>
                <w:bCs/>
              </w:rPr>
            </w:pPr>
            <w:r>
              <w:rPr>
                <w:rFonts w:ascii="宋体" w:hAnsi="宋体"/>
                <w:b/>
                <w:bCs/>
              </w:rPr>
              <w:t>2</w:t>
            </w:r>
            <w:r>
              <w:rPr>
                <w:rFonts w:hint="eastAsia" w:ascii="宋体" w:hAnsi="宋体"/>
                <w:b/>
                <w:bCs/>
              </w:rPr>
              <w:t>、主要产排污环节及排污特征</w:t>
            </w:r>
          </w:p>
          <w:p>
            <w:pPr>
              <w:ind w:firstLine="480"/>
              <w:rPr>
                <w:rFonts w:ascii="宋体" w:hAnsi="宋体"/>
                <w:u w:val="single"/>
              </w:rPr>
            </w:pPr>
            <w:r>
              <w:rPr>
                <w:rFonts w:ascii="宋体" w:hAnsi="宋体"/>
                <w:u w:val="single"/>
              </w:rPr>
              <w:t>本项目主要的产排污环节和排污特征见下表</w:t>
            </w:r>
          </w:p>
          <w:p>
            <w:pPr>
              <w:ind w:firstLine="482"/>
              <w:jc w:val="center"/>
              <w:rPr>
                <w:b/>
                <w:sz w:val="21"/>
                <w:szCs w:val="21"/>
                <w:u w:val="single"/>
              </w:rPr>
            </w:pPr>
            <w:r>
              <w:rPr>
                <w:b/>
                <w:sz w:val="21"/>
                <w:szCs w:val="21"/>
                <w:u w:val="single"/>
              </w:rPr>
              <w:t>表2-6 主要产排污环节和排污特征</w:t>
            </w:r>
          </w:p>
          <w:tbl>
            <w:tblPr>
              <w:tblStyle w:val="173"/>
              <w:tblW w:w="7838"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5"/>
              <w:gridCol w:w="381"/>
              <w:gridCol w:w="1058"/>
              <w:gridCol w:w="1318"/>
              <w:gridCol w:w="608"/>
              <w:gridCol w:w="407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2" w:hRule="atLeast"/>
              </w:trPr>
              <w:tc>
                <w:tcPr>
                  <w:tcW w:w="395"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类别</w:t>
                  </w:r>
                </w:p>
              </w:tc>
              <w:tc>
                <w:tcPr>
                  <w:tcW w:w="381"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代码</w:t>
                  </w:r>
                </w:p>
              </w:tc>
              <w:tc>
                <w:tcPr>
                  <w:tcW w:w="1058"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产污工序</w:t>
                  </w:r>
                </w:p>
              </w:tc>
              <w:tc>
                <w:tcPr>
                  <w:tcW w:w="1318"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主要污染物</w:t>
                  </w:r>
                </w:p>
              </w:tc>
              <w:tc>
                <w:tcPr>
                  <w:tcW w:w="608"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产污特征</w:t>
                  </w:r>
                </w:p>
              </w:tc>
              <w:tc>
                <w:tcPr>
                  <w:tcW w:w="4078" w:type="dxa"/>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b/>
                      <w:bCs/>
                      <w:color w:val="000000"/>
                      <w:spacing w:val="7"/>
                      <w:sz w:val="21"/>
                      <w:szCs w:val="21"/>
                      <w:u w:val="single"/>
                    </w:rPr>
                  </w:pPr>
                  <w:r>
                    <w:rPr>
                      <w:b/>
                      <w:bCs/>
                      <w:color w:val="000000"/>
                      <w:spacing w:val="7"/>
                      <w:sz w:val="21"/>
                      <w:szCs w:val="21"/>
                      <w:u w:val="single"/>
                    </w:rPr>
                    <w:t>去向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395" w:type="dxa"/>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5"/>
                      <w:sz w:val="21"/>
                      <w:szCs w:val="21"/>
                      <w:u w:val="single"/>
                    </w:rPr>
                    <w:t>废气</w:t>
                  </w:r>
                </w:p>
              </w:tc>
              <w:tc>
                <w:tcPr>
                  <w:tcW w:w="381"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u w:val="single"/>
                    </w:rPr>
                  </w:pPr>
                  <w:r>
                    <w:rPr>
                      <w:rFonts w:hint="eastAsia"/>
                      <w:color w:val="000000"/>
                      <w:sz w:val="21"/>
                      <w:szCs w:val="21"/>
                      <w:u w:val="single"/>
                    </w:rPr>
                    <w:t>/</w:t>
                  </w: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pacing w:val="7"/>
                      <w:sz w:val="21"/>
                      <w:szCs w:val="21"/>
                      <w:u w:val="single"/>
                      <w:lang w:eastAsia="zh-CN"/>
                    </w:rPr>
                    <w:t>养殖过程中产生的少量恶臭</w:t>
                  </w:r>
                </w:p>
              </w:tc>
              <w:tc>
                <w:tcPr>
                  <w:tcW w:w="1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u w:val="single"/>
                      <w:lang w:eastAsia="zh-CN"/>
                    </w:rPr>
                  </w:pPr>
                  <w:r>
                    <w:rPr>
                      <w:rFonts w:hint="eastAsia" w:ascii="Times New Roman" w:hAnsi="Times New Roman" w:cs="Times New Roman"/>
                      <w:color w:val="000000"/>
                      <w:spacing w:val="-14"/>
                      <w:sz w:val="21"/>
                      <w:szCs w:val="21"/>
                      <w:u w:val="single"/>
                      <w:lang w:eastAsia="zh-CN"/>
                    </w:rPr>
                    <w:t>恶臭浓度</w:t>
                  </w:r>
                </w:p>
              </w:tc>
              <w:tc>
                <w:tcPr>
                  <w:tcW w:w="60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4"/>
                      <w:sz w:val="21"/>
                      <w:szCs w:val="21"/>
                      <w:u w:val="single"/>
                    </w:rPr>
                    <w:t>间歇</w:t>
                  </w:r>
                </w:p>
              </w:tc>
              <w:tc>
                <w:tcPr>
                  <w:tcW w:w="4078"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color w:val="000000"/>
                      <w:sz w:val="21"/>
                      <w:szCs w:val="21"/>
                      <w:u w:val="single"/>
                    </w:rPr>
                  </w:pPr>
                  <w:r>
                    <w:rPr>
                      <w:color w:val="000000"/>
                      <w:spacing w:val="7"/>
                      <w:sz w:val="21"/>
                      <w:szCs w:val="21"/>
                      <w:u w:val="single"/>
                    </w:rPr>
                    <w:t>无组织排放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19" w:hRule="atLeast"/>
              </w:trPr>
              <w:tc>
                <w:tcPr>
                  <w:tcW w:w="395" w:type="dxa"/>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5"/>
                      <w:sz w:val="21"/>
                      <w:szCs w:val="21"/>
                      <w:u w:val="single"/>
                    </w:rPr>
                    <w:t>废水</w:t>
                  </w:r>
                </w:p>
              </w:tc>
              <w:tc>
                <w:tcPr>
                  <w:tcW w:w="381"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w:t>
                  </w: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养殖废水</w:t>
                  </w:r>
                </w:p>
              </w:tc>
              <w:tc>
                <w:tcPr>
                  <w:tcW w:w="1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ascii="Times New Roman" w:hAnsi="Times New Roman" w:eastAsia="Times New Roman" w:cs="Times New Roman"/>
                      <w:color w:val="000000"/>
                      <w:spacing w:val="-16"/>
                      <w:sz w:val="21"/>
                      <w:szCs w:val="21"/>
                      <w:u w:val="single"/>
                      <w:lang w:eastAsia="zh-CN"/>
                    </w:rPr>
                    <w:t>COD</w:t>
                  </w:r>
                  <w:r>
                    <w:rPr>
                      <w:color w:val="000000"/>
                      <w:spacing w:val="-16"/>
                      <w:sz w:val="21"/>
                      <w:szCs w:val="21"/>
                      <w:u w:val="single"/>
                      <w:lang w:eastAsia="zh-CN"/>
                    </w:rPr>
                    <w:t>、</w:t>
                  </w:r>
                  <w:r>
                    <w:rPr>
                      <w:rFonts w:ascii="Times New Roman" w:hAnsi="Times New Roman" w:eastAsia="Times New Roman" w:cs="Times New Roman"/>
                      <w:color w:val="000000"/>
                      <w:spacing w:val="-16"/>
                      <w:sz w:val="21"/>
                      <w:szCs w:val="21"/>
                      <w:u w:val="single"/>
                      <w:lang w:eastAsia="zh-CN"/>
                    </w:rPr>
                    <w:t>SS</w:t>
                  </w:r>
                  <w:r>
                    <w:rPr>
                      <w:color w:val="000000"/>
                      <w:spacing w:val="-16"/>
                      <w:sz w:val="21"/>
                      <w:szCs w:val="21"/>
                      <w:u w:val="single"/>
                      <w:lang w:eastAsia="zh-CN"/>
                    </w:rPr>
                    <w:t>、氨氮、</w:t>
                  </w:r>
                  <w:r>
                    <w:rPr>
                      <w:color w:val="000000"/>
                      <w:spacing w:val="7"/>
                      <w:sz w:val="21"/>
                      <w:szCs w:val="21"/>
                      <w:u w:val="single"/>
                      <w:lang w:eastAsia="zh-CN"/>
                    </w:rPr>
                    <w:t>总氮、总磷</w:t>
                  </w:r>
                </w:p>
              </w:tc>
              <w:tc>
                <w:tcPr>
                  <w:tcW w:w="60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4"/>
                      <w:sz w:val="21"/>
                      <w:szCs w:val="21"/>
                      <w:u w:val="single"/>
                    </w:rPr>
                    <w:t>间歇</w:t>
                  </w:r>
                </w:p>
              </w:tc>
              <w:tc>
                <w:tcPr>
                  <w:tcW w:w="4078"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color w:val="000000"/>
                      <w:sz w:val="21"/>
                      <w:szCs w:val="21"/>
                      <w:u w:val="single"/>
                      <w:lang w:val="en-US" w:eastAsia="zh-CN"/>
                    </w:rPr>
                  </w:pPr>
                  <w:r>
                    <w:rPr>
                      <w:rFonts w:hint="eastAsia"/>
                      <w:color w:val="000000"/>
                      <w:spacing w:val="8"/>
                      <w:sz w:val="21"/>
                      <w:szCs w:val="21"/>
                      <w:u w:val="single"/>
                      <w:lang w:eastAsia="zh-CN"/>
                    </w:rPr>
                    <w:t>牛蛙养殖废水经三级过滤沉淀池+一体化处理设备处理后养殖废水经处理后使用提升泵抽取至蓄水池回用</w:t>
                  </w:r>
                  <w:r>
                    <w:rPr>
                      <w:rStyle w:val="50"/>
                      <w:rFonts w:hint="eastAsia" w:ascii="Times New Roman" w:hAnsi="Times New Roman" w:cs="Times New Roman"/>
                      <w:kern w:val="0"/>
                      <w:szCs w:val="20"/>
                      <w:u w:val="single"/>
                      <w:lang w:eastAsia="zh-CN"/>
                    </w:rPr>
                    <w:t>，</w:t>
                  </w:r>
                  <w:r>
                    <w:rPr>
                      <w:rStyle w:val="50"/>
                      <w:rFonts w:hint="eastAsia" w:ascii="Times New Roman" w:hAnsi="Times New Roman" w:cs="Times New Roman"/>
                      <w:kern w:val="0"/>
                      <w:szCs w:val="20"/>
                      <w:u w:val="single"/>
                      <w:lang w:val="en-US" w:eastAsia="zh-CN"/>
                    </w:rPr>
                    <w:t>待一批次牛蛙养殖完成后，养殖尾水经处理后用于</w:t>
                  </w:r>
                  <w:r>
                    <w:rPr>
                      <w:rFonts w:hint="eastAsia"/>
                      <w:sz w:val="21"/>
                      <w:szCs w:val="21"/>
                      <w:u w:val="single"/>
                      <w:lang w:val="en-US" w:eastAsia="zh-CN"/>
                    </w:rPr>
                    <w:t>项目周边农林果木灌溉</w:t>
                  </w:r>
                  <w:r>
                    <w:rPr>
                      <w:rStyle w:val="50"/>
                      <w:rFonts w:hint="eastAsia" w:ascii="Times New Roman" w:hAnsi="Times New Roman" w:cs="Times New Roman"/>
                      <w:kern w:val="0"/>
                      <w:szCs w:val="20"/>
                      <w:u w:val="singl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395" w:type="dxa"/>
                  <w:vMerge w:val="restart"/>
                  <w:tcBorders>
                    <w:top w:val="single" w:color="000000" w:sz="4" w:space="0"/>
                    <w:left w:val="single" w:color="000000" w:sz="12"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1"/>
                      <w:sz w:val="21"/>
                      <w:szCs w:val="21"/>
                      <w:u w:val="single"/>
                    </w:rPr>
                    <w:t>噪声</w:t>
                  </w:r>
                </w:p>
              </w:tc>
              <w:tc>
                <w:tcPr>
                  <w:tcW w:w="381" w:type="dxa"/>
                  <w:vMerge w:val="restart"/>
                  <w:tcBorders>
                    <w:top w:val="single" w:color="000000" w:sz="4" w:space="0"/>
                    <w:left w:val="single" w:color="000000" w:sz="4" w:space="0"/>
                    <w:right w:val="single" w:color="000000" w:sz="4" w:space="0"/>
                  </w:tcBorders>
                  <w:shd w:val="clear" w:color="auto" w:fill="FFFFFF"/>
                  <w:vAlign w:val="center"/>
                </w:tcPr>
                <w:p>
                  <w:pPr>
                    <w:spacing w:line="240" w:lineRule="auto"/>
                    <w:jc w:val="center"/>
                    <w:rPr>
                      <w:color w:val="000000"/>
                      <w:sz w:val="21"/>
                      <w:szCs w:val="21"/>
                      <w:u w:val="single"/>
                    </w:rPr>
                  </w:pPr>
                  <w:r>
                    <w:rPr>
                      <w:rFonts w:hint="eastAsia"/>
                      <w:color w:val="000000"/>
                      <w:sz w:val="21"/>
                      <w:szCs w:val="21"/>
                      <w:u w:val="single"/>
                    </w:rPr>
                    <w:t>/</w:t>
                  </w: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蛙叫声</w:t>
                  </w:r>
                </w:p>
              </w:tc>
              <w:tc>
                <w:tcPr>
                  <w:tcW w:w="1318" w:type="dxa"/>
                  <w:vMerge w:val="restart"/>
                  <w:tcBorders>
                    <w:top w:val="single" w:color="000000" w:sz="4" w:space="0"/>
                    <w:left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1"/>
                      <w:sz w:val="21"/>
                      <w:szCs w:val="21"/>
                      <w:u w:val="single"/>
                    </w:rPr>
                    <w:t>噪声</w:t>
                  </w:r>
                </w:p>
              </w:tc>
              <w:tc>
                <w:tcPr>
                  <w:tcW w:w="608" w:type="dxa"/>
                  <w:vMerge w:val="restart"/>
                  <w:tcBorders>
                    <w:top w:val="single" w:color="000000" w:sz="4" w:space="0"/>
                    <w:left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4"/>
                      <w:sz w:val="21"/>
                      <w:szCs w:val="21"/>
                      <w:u w:val="single"/>
                    </w:rPr>
                    <w:t>间歇</w:t>
                  </w:r>
                </w:p>
              </w:tc>
              <w:tc>
                <w:tcPr>
                  <w:tcW w:w="4078" w:type="dxa"/>
                  <w:vMerge w:val="restart"/>
                  <w:tcBorders>
                    <w:top w:val="single" w:color="000000" w:sz="4" w:space="0"/>
                    <w:left w:val="single" w:color="000000" w:sz="4" w:space="0"/>
                    <w:right w:val="single" w:color="000000" w:sz="12"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395" w:type="dxa"/>
                  <w:vMerge w:val="continue"/>
                  <w:tcBorders>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pacing w:val="-1"/>
                      <w:sz w:val="21"/>
                      <w:szCs w:val="21"/>
                      <w:u w:val="single"/>
                    </w:rPr>
                  </w:pPr>
                </w:p>
              </w:tc>
              <w:tc>
                <w:tcPr>
                  <w:tcW w:w="381" w:type="dxa"/>
                  <w:vMerge w:val="continue"/>
                  <w:tcBorders>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u w:val="single"/>
                    </w:rPr>
                  </w:pP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机械设备</w:t>
                  </w:r>
                </w:p>
              </w:tc>
              <w:tc>
                <w:tcPr>
                  <w:tcW w:w="1318" w:type="dxa"/>
                  <w:vMerge w:val="continue"/>
                  <w:tcBorders>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pacing w:val="-1"/>
                      <w:sz w:val="21"/>
                      <w:szCs w:val="21"/>
                      <w:u w:val="single"/>
                    </w:rPr>
                  </w:pPr>
                </w:p>
              </w:tc>
              <w:tc>
                <w:tcPr>
                  <w:tcW w:w="608" w:type="dxa"/>
                  <w:vMerge w:val="continue"/>
                  <w:tcBorders>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pacing w:val="-4"/>
                      <w:sz w:val="21"/>
                      <w:szCs w:val="21"/>
                      <w:u w:val="single"/>
                    </w:rPr>
                  </w:pPr>
                </w:p>
              </w:tc>
              <w:tc>
                <w:tcPr>
                  <w:tcW w:w="4078" w:type="dxa"/>
                  <w:vMerge w:val="continue"/>
                  <w:tcBorders>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color w:val="000000"/>
                      <w:spacing w:val="6"/>
                      <w:sz w:val="21"/>
                      <w:szCs w:val="21"/>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trPr>
              <w:tc>
                <w:tcPr>
                  <w:tcW w:w="395" w:type="dxa"/>
                  <w:vMerge w:val="restar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5"/>
                      <w:sz w:val="21"/>
                      <w:szCs w:val="21"/>
                      <w:u w:val="single"/>
                    </w:rPr>
                    <w:t>固废</w:t>
                  </w:r>
                </w:p>
              </w:tc>
              <w:tc>
                <w:tcPr>
                  <w:tcW w:w="381"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u w:val="single"/>
                    </w:rPr>
                  </w:pPr>
                  <w:r>
                    <w:rPr>
                      <w:rFonts w:eastAsia="Times New Roman"/>
                      <w:color w:val="000000"/>
                      <w:spacing w:val="-3"/>
                      <w:sz w:val="21"/>
                      <w:szCs w:val="21"/>
                      <w:u w:val="single"/>
                    </w:rPr>
                    <w:t>S1</w:t>
                  </w: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喂养</w:t>
                  </w:r>
                </w:p>
              </w:tc>
              <w:tc>
                <w:tcPr>
                  <w:tcW w:w="1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7"/>
                      <w:sz w:val="21"/>
                      <w:szCs w:val="21"/>
                      <w:u w:val="single"/>
                    </w:rPr>
                    <w:t>废包装袋</w:t>
                  </w:r>
                </w:p>
              </w:tc>
              <w:tc>
                <w:tcPr>
                  <w:tcW w:w="60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4"/>
                      <w:sz w:val="21"/>
                      <w:szCs w:val="21"/>
                      <w:u w:val="single"/>
                    </w:rPr>
                    <w:t>间歇</w:t>
                  </w:r>
                </w:p>
              </w:tc>
              <w:tc>
                <w:tcPr>
                  <w:tcW w:w="4078"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color w:val="000000"/>
                      <w:sz w:val="21"/>
                      <w:szCs w:val="21"/>
                      <w:u w:val="single"/>
                    </w:rPr>
                  </w:pPr>
                  <w:r>
                    <w:rPr>
                      <w:color w:val="000000"/>
                      <w:spacing w:val="7"/>
                      <w:sz w:val="21"/>
                      <w:szCs w:val="21"/>
                      <w:u w:val="single"/>
                    </w:rPr>
                    <w:t>收集后统一出售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37" w:hRule="atLeast"/>
              </w:trPr>
              <w:tc>
                <w:tcPr>
                  <w:tcW w:w="395" w:type="dxa"/>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ascii="Arial"/>
                      <w:color w:val="000000"/>
                      <w:sz w:val="21"/>
                      <w:szCs w:val="21"/>
                      <w:u w:val="single"/>
                    </w:rPr>
                  </w:pPr>
                </w:p>
              </w:tc>
              <w:tc>
                <w:tcPr>
                  <w:tcW w:w="381"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u w:val="single"/>
                    </w:rPr>
                  </w:pPr>
                  <w:r>
                    <w:rPr>
                      <w:rFonts w:eastAsia="Times New Roman"/>
                      <w:color w:val="000000"/>
                      <w:spacing w:val="-3"/>
                      <w:sz w:val="21"/>
                      <w:szCs w:val="21"/>
                      <w:u w:val="single"/>
                    </w:rPr>
                    <w:t>S2</w:t>
                  </w:r>
                </w:p>
              </w:tc>
              <w:tc>
                <w:tcPr>
                  <w:tcW w:w="10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z w:val="21"/>
                      <w:szCs w:val="21"/>
                      <w:u w:val="single"/>
                      <w:lang w:eastAsia="zh-CN"/>
                    </w:rPr>
                    <w:t>喂养</w:t>
                  </w:r>
                </w:p>
              </w:tc>
              <w:tc>
                <w:tcPr>
                  <w:tcW w:w="1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lang w:eastAsia="zh-CN"/>
                    </w:rPr>
                  </w:pPr>
                  <w:r>
                    <w:rPr>
                      <w:rFonts w:hint="eastAsia"/>
                      <w:color w:val="000000"/>
                      <w:spacing w:val="6"/>
                      <w:sz w:val="21"/>
                      <w:szCs w:val="21"/>
                      <w:u w:val="single"/>
                      <w:lang w:eastAsia="zh-CN"/>
                    </w:rPr>
                    <w:t>病死牛蛙</w:t>
                  </w:r>
                </w:p>
              </w:tc>
              <w:tc>
                <w:tcPr>
                  <w:tcW w:w="608"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u w:val="single"/>
                    </w:rPr>
                  </w:pPr>
                  <w:r>
                    <w:rPr>
                      <w:color w:val="000000"/>
                      <w:spacing w:val="-4"/>
                      <w:sz w:val="21"/>
                      <w:szCs w:val="21"/>
                      <w:u w:val="single"/>
                    </w:rPr>
                    <w:t>间歇</w:t>
                  </w:r>
                </w:p>
              </w:tc>
              <w:tc>
                <w:tcPr>
                  <w:tcW w:w="4078"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color w:val="000000"/>
                      <w:sz w:val="21"/>
                      <w:szCs w:val="21"/>
                      <w:u w:val="single"/>
                      <w:lang w:val="en-US" w:eastAsia="zh-CN"/>
                    </w:rPr>
                  </w:pPr>
                  <w:r>
                    <w:rPr>
                      <w:rFonts w:hint="eastAsia"/>
                      <w:sz w:val="21"/>
                      <w:szCs w:val="21"/>
                      <w:u w:val="single"/>
                      <w:lang w:val="en-US" w:eastAsia="zh-CN"/>
                    </w:rPr>
                    <w:t>日常</w:t>
                  </w:r>
                  <w:r>
                    <w:rPr>
                      <w:rFonts w:hint="eastAsia"/>
                      <w:sz w:val="21"/>
                      <w:szCs w:val="21"/>
                      <w:u w:val="single"/>
                      <w:lang w:eastAsia="zh-CN"/>
                    </w:rPr>
                    <w:t>产生的病死蛙</w:t>
                  </w:r>
                  <w:r>
                    <w:rPr>
                      <w:rFonts w:hint="eastAsia"/>
                      <w:sz w:val="21"/>
                      <w:szCs w:val="21"/>
                      <w:u w:val="single"/>
                      <w:lang w:val="en-US" w:eastAsia="zh-CN"/>
                    </w:rPr>
                    <w:t>使用安全填埋井进行无害化填埋处置</w:t>
                  </w:r>
                  <w:r>
                    <w:rPr>
                      <w:rFonts w:hint="eastAsia"/>
                      <w:sz w:val="21"/>
                      <w:szCs w:val="21"/>
                      <w:u w:val="single"/>
                      <w:lang w:eastAsia="zh-CN"/>
                    </w:rPr>
                    <w:t>；</w:t>
                  </w:r>
                  <w:r>
                    <w:rPr>
                      <w:rFonts w:hint="eastAsia"/>
                      <w:sz w:val="21"/>
                      <w:szCs w:val="21"/>
                      <w:u w:val="single"/>
                      <w:lang w:val="en-US" w:eastAsia="zh-CN"/>
                    </w:rPr>
                    <w:t>如若出现疫情，应放置在化尸桶内存放在危废暂存间内后联系附近病死畜禽处置中心进行安全处置</w:t>
                  </w:r>
                </w:p>
              </w:tc>
            </w:tr>
          </w:tbl>
          <w:p>
            <w:pPr>
              <w:ind w:firstLine="480"/>
              <w:rPr>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46" w:hRule="atLeast"/>
          <w:jc w:val="center"/>
        </w:trPr>
        <w:tc>
          <w:tcPr>
            <w:tcW w:w="440" w:type="dxa"/>
            <w:vAlign w:val="center"/>
          </w:tcPr>
          <w:p>
            <w:pPr>
              <w:spacing w:line="240" w:lineRule="auto"/>
            </w:pPr>
            <w:r>
              <w:rPr>
                <w:rFonts w:hint="eastAsia"/>
              </w:rPr>
              <w:t>与项目有关的原有环境污染问题</w:t>
            </w:r>
          </w:p>
        </w:tc>
        <w:tc>
          <w:tcPr>
            <w:tcW w:w="8075" w:type="dxa"/>
            <w:vAlign w:val="center"/>
          </w:tcPr>
          <w:p>
            <w:pPr>
              <w:pStyle w:val="5"/>
              <w:ind w:firstLine="480" w:firstLineChars="200"/>
            </w:pPr>
            <w:r>
              <w:rPr>
                <w:rFonts w:hint="eastAsia"/>
              </w:rPr>
              <w:t>本项目位于永州市新田县大坪塘镇龙溪村。项目主要为牛蛙养殖，项目占地面积为16648m</w:t>
            </w:r>
            <w:r>
              <w:rPr>
                <w:rFonts w:hint="eastAsia"/>
                <w:vertAlign w:val="superscript"/>
              </w:rPr>
              <w:t>2</w:t>
            </w:r>
            <w:r>
              <w:rPr>
                <w:rFonts w:hint="eastAsia"/>
              </w:rPr>
              <w:t>。</w:t>
            </w:r>
          </w:p>
          <w:p>
            <w:pPr>
              <w:pStyle w:val="5"/>
              <w:ind w:firstLine="480"/>
            </w:pPr>
            <w:r>
              <w:rPr>
                <w:rFonts w:hint="eastAsia"/>
              </w:rPr>
              <w:t>本项目为新建项目，目前项目已建设完成，项目用地主要为林地，周边多为农田、林地、荒地</w:t>
            </w:r>
            <w:r>
              <w:rPr>
                <w:rFonts w:hint="eastAsia"/>
                <w:lang w:eastAsia="zh-CN"/>
              </w:rPr>
              <w:t>，</w:t>
            </w:r>
            <w:r>
              <w:rPr>
                <w:rFonts w:hint="eastAsia"/>
                <w:lang w:val="en-US" w:eastAsia="zh-CN"/>
              </w:rPr>
              <w:t>不存在原有环境污染问题</w:t>
            </w:r>
            <w:r>
              <w:rPr>
                <w:rFonts w:hint="eastAsia"/>
              </w:rPr>
              <w:t>。</w:t>
            </w:r>
          </w:p>
        </w:tc>
      </w:tr>
      <w:bookmarkEnd w:id="10"/>
      <w:bookmarkEnd w:id="11"/>
      <w:bookmarkEnd w:id="12"/>
      <w:bookmarkEnd w:id="13"/>
      <w:bookmarkEnd w:id="14"/>
      <w:bookmarkEnd w:id="15"/>
    </w:tbl>
    <w:p>
      <w:pPr>
        <w:pStyle w:val="40"/>
        <w:ind w:firstLine="600"/>
        <w:jc w:val="center"/>
        <w:outlineLvl w:val="0"/>
        <w:rPr>
          <w:rFonts w:ascii="黑体" w:hAnsi="黑体" w:eastAsia="黑体"/>
          <w:snapToGrid w:val="0"/>
          <w:sz w:val="30"/>
          <w:szCs w:val="30"/>
        </w:rPr>
        <w:sectPr>
          <w:pgSz w:w="11905" w:h="16838"/>
          <w:pgMar w:top="1440" w:right="1803" w:bottom="1440" w:left="1803" w:header="851" w:footer="992" w:gutter="0"/>
          <w:cols w:space="720" w:num="1"/>
          <w:docGrid w:type="lines" w:linePitch="312" w:charSpace="0"/>
        </w:sectPr>
      </w:pPr>
      <w:bookmarkStart w:id="20" w:name="_Toc68011912"/>
      <w:bookmarkStart w:id="21" w:name="_Toc22009"/>
      <w:bookmarkStart w:id="22" w:name="_Toc2641"/>
      <w:bookmarkStart w:id="23" w:name="_Toc33"/>
      <w:bookmarkStart w:id="24" w:name="_Toc23569"/>
      <w:bookmarkStart w:id="25" w:name="_Toc9795"/>
      <w:bookmarkStart w:id="26" w:name="_Toc79"/>
    </w:p>
    <w:p>
      <w:pPr>
        <w:pStyle w:val="2"/>
        <w:adjustRightInd w:val="0"/>
        <w:jc w:val="center"/>
        <w:rPr>
          <w:rFonts w:ascii="宋体" w:hAnsi="宋体" w:cs="宋体"/>
          <w:bCs w:val="0"/>
          <w:sz w:val="32"/>
          <w:szCs w:val="32"/>
        </w:rPr>
      </w:pPr>
      <w:bookmarkStart w:id="27" w:name="_Toc5317"/>
      <w:bookmarkStart w:id="28" w:name="_Toc159582692"/>
      <w:r>
        <w:rPr>
          <w:rFonts w:hint="eastAsia" w:ascii="宋体" w:hAnsi="宋体" w:cs="宋体"/>
          <w:bCs w:val="0"/>
          <w:sz w:val="32"/>
          <w:szCs w:val="32"/>
        </w:rPr>
        <w:t>三、区域环境质量现状、环境保护目标及评价标准</w:t>
      </w:r>
      <w:bookmarkEnd w:id="20"/>
      <w:bookmarkEnd w:id="27"/>
      <w:bookmarkEnd w:id="28"/>
    </w:p>
    <w:tbl>
      <w:tblPr>
        <w:tblStyle w:val="42"/>
        <w:tblW w:w="88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4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456" w:type="dxa"/>
            <w:vAlign w:val="center"/>
          </w:tcPr>
          <w:p>
            <w:pPr>
              <w:spacing w:line="240" w:lineRule="auto"/>
            </w:pPr>
            <w:r>
              <w:t>区域</w:t>
            </w:r>
          </w:p>
          <w:p>
            <w:pPr>
              <w:spacing w:line="240" w:lineRule="auto"/>
            </w:pPr>
            <w:r>
              <w:t>环境</w:t>
            </w:r>
          </w:p>
          <w:p>
            <w:pPr>
              <w:spacing w:line="240" w:lineRule="auto"/>
            </w:pPr>
            <w:r>
              <w:t>质量</w:t>
            </w:r>
          </w:p>
          <w:p>
            <w:pPr>
              <w:spacing w:line="240" w:lineRule="auto"/>
            </w:pPr>
            <w:r>
              <w:t>现状</w:t>
            </w:r>
          </w:p>
        </w:tc>
        <w:tc>
          <w:tcPr>
            <w:tcW w:w="8425" w:type="dxa"/>
            <w:vAlign w:val="center"/>
          </w:tcPr>
          <w:p>
            <w:pPr>
              <w:pStyle w:val="4"/>
              <w:numPr>
                <w:ilvl w:val="0"/>
                <w:numId w:val="0"/>
              </w:numPr>
              <w:spacing w:beforeLines="0" w:afterLines="0"/>
            </w:pPr>
            <w:bookmarkStart w:id="29" w:name="_Toc1413"/>
            <w:r>
              <w:rPr>
                <w:rFonts w:hint="eastAsia"/>
              </w:rPr>
              <w:t>1、环境空气质量现状</w:t>
            </w:r>
            <w:bookmarkEnd w:id="29"/>
          </w:p>
          <w:p>
            <w:pPr>
              <w:pStyle w:val="266"/>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imes New Roman" w:hAnsi="Times New Roman" w:eastAsia="宋体" w:cs="Times New Roman"/>
                <w:spacing w:val="-4"/>
                <w:u w:val="none" w:color="auto"/>
              </w:rPr>
            </w:pPr>
            <w:bookmarkStart w:id="30" w:name="_Toc25460"/>
            <w:r>
              <w:rPr>
                <w:rFonts w:hint="default" w:ascii="Times New Roman" w:hAnsi="Times New Roman" w:eastAsia="宋体" w:cs="Times New Roman"/>
                <w:color w:val="auto"/>
                <w:kern w:val="0"/>
                <w:sz w:val="24"/>
                <w:szCs w:val="24"/>
                <w:u w:val="none" w:color="auto"/>
                <w:lang w:val="en-US" w:eastAsia="zh-CN" w:bidi="ar"/>
              </w:rPr>
              <w:t>本项目位于湖南省永州市</w:t>
            </w:r>
            <w:r>
              <w:rPr>
                <w:rFonts w:hint="default" w:ascii="Times New Roman" w:hAnsi="Times New Roman" w:eastAsia="宋体" w:cs="Times New Roman"/>
                <w:b w:val="0"/>
                <w:bCs w:val="0"/>
                <w:color w:val="auto"/>
                <w:sz w:val="24"/>
                <w:szCs w:val="24"/>
                <w:u w:val="none" w:color="auto"/>
                <w:lang w:val="en-US" w:eastAsia="zh-CN"/>
              </w:rPr>
              <w:t>新田县</w:t>
            </w:r>
            <w:r>
              <w:rPr>
                <w:rFonts w:hint="default" w:ascii="Times New Roman" w:hAnsi="Times New Roman" w:eastAsia="宋体" w:cs="Times New Roman"/>
                <w:color w:val="auto"/>
                <w:kern w:val="0"/>
                <w:sz w:val="24"/>
                <w:szCs w:val="24"/>
                <w:u w:val="none" w:color="auto"/>
                <w:lang w:val="en-US" w:eastAsia="zh-CN" w:bidi="ar"/>
              </w:rPr>
              <w:t>，评价区域属于环境空气二类功能区，其空气质量执行《环境空气质量标准》（GB3095-2012）中二级标准：根据《环境影响评价技术导则 大气环境》（HJ2.2-2018）中要求，项目所在区域达标判定，优先采用国家或地方生态环境主管部门公开发布的评价基准年环境质量公告或环境质量报告中的数据或结论。</w:t>
            </w:r>
            <w:r>
              <w:rPr>
                <w:rFonts w:hint="default" w:ascii="Times New Roman" w:hAnsi="Times New Roman" w:eastAsia="宋体" w:cs="Times New Roman"/>
                <w:spacing w:val="-4"/>
                <w:u w:val="none" w:color="auto"/>
              </w:rPr>
              <w:t>本次选定202</w:t>
            </w:r>
            <w:r>
              <w:rPr>
                <w:rFonts w:hint="default" w:ascii="Times New Roman" w:hAnsi="Times New Roman" w:eastAsia="宋体" w:cs="Times New Roman"/>
                <w:spacing w:val="-4"/>
                <w:u w:val="none" w:color="auto"/>
                <w:lang w:val="en-US" w:eastAsia="zh-CN"/>
              </w:rPr>
              <w:t>3</w:t>
            </w:r>
            <w:r>
              <w:rPr>
                <w:rFonts w:hint="default" w:ascii="Times New Roman" w:hAnsi="Times New Roman" w:eastAsia="宋体" w:cs="Times New Roman"/>
                <w:spacing w:val="-4"/>
                <w:u w:val="none" w:color="auto"/>
              </w:rPr>
              <w:t>年为评价基准年，收集了永州市新田生态环境监测站发布的《202</w:t>
            </w:r>
            <w:r>
              <w:rPr>
                <w:rFonts w:hint="default" w:ascii="Times New Roman" w:hAnsi="Times New Roman" w:eastAsia="宋体" w:cs="Times New Roman"/>
                <w:spacing w:val="-4"/>
                <w:u w:val="none" w:color="auto"/>
                <w:lang w:val="en-US" w:eastAsia="zh-CN"/>
              </w:rPr>
              <w:t>3</w:t>
            </w:r>
            <w:r>
              <w:rPr>
                <w:rFonts w:hint="default" w:ascii="Times New Roman" w:hAnsi="Times New Roman" w:eastAsia="宋体" w:cs="Times New Roman"/>
                <w:spacing w:val="-4"/>
                <w:u w:val="none" w:color="auto"/>
              </w:rPr>
              <w:t>年度1-12月份全市环境质量状况的通报》</w:t>
            </w:r>
            <w:r>
              <w:rPr>
                <w:rFonts w:hint="default" w:ascii="Times New Roman" w:hAnsi="Times New Roman" w:eastAsia="宋体" w:cs="Times New Roman"/>
                <w:spacing w:val="-4"/>
                <w:u w:val="none" w:color="auto"/>
                <w:lang w:val="en-US" w:eastAsia="zh-CN"/>
              </w:rPr>
              <w:t>新田县</w:t>
            </w:r>
            <w:r>
              <w:rPr>
                <w:rFonts w:hint="default" w:ascii="Times New Roman" w:hAnsi="Times New Roman" w:eastAsia="宋体" w:cs="Times New Roman"/>
                <w:spacing w:val="-4"/>
                <w:u w:val="none" w:color="auto"/>
              </w:rPr>
              <w:t>环境空气质量统计数据。根据永州市生态环境局发布的监测数据可知，202</w:t>
            </w:r>
            <w:r>
              <w:rPr>
                <w:rFonts w:hint="default" w:ascii="Times New Roman" w:hAnsi="Times New Roman" w:cs="Times New Roman"/>
                <w:spacing w:val="-4"/>
                <w:u w:val="none" w:color="auto"/>
                <w:lang w:val="en-US" w:eastAsia="zh-CN"/>
              </w:rPr>
              <w:t>3</w:t>
            </w:r>
            <w:r>
              <w:rPr>
                <w:rFonts w:hint="default" w:ascii="Times New Roman" w:hAnsi="Times New Roman" w:eastAsia="宋体" w:cs="Times New Roman"/>
                <w:spacing w:val="-4"/>
                <w:u w:val="none" w:color="auto"/>
              </w:rPr>
              <w:t>年</w:t>
            </w:r>
            <w:r>
              <w:rPr>
                <w:rFonts w:hint="default" w:ascii="Times New Roman" w:hAnsi="Times New Roman" w:eastAsia="宋体" w:cs="Times New Roman"/>
                <w:spacing w:val="-4"/>
                <w:u w:val="none" w:color="auto"/>
                <w:lang w:val="en-US" w:eastAsia="zh-CN"/>
              </w:rPr>
              <w:t>新田县</w:t>
            </w:r>
            <w:r>
              <w:rPr>
                <w:rFonts w:hint="default" w:ascii="Times New Roman" w:hAnsi="Times New Roman" w:eastAsia="宋体" w:cs="Times New Roman"/>
                <w:spacing w:val="-4"/>
                <w:u w:val="none" w:color="auto"/>
              </w:rPr>
              <w:t>环境空气中污染物年均浓度统计见下表</w:t>
            </w:r>
            <w:r>
              <w:rPr>
                <w:rFonts w:hint="default" w:ascii="Times New Roman" w:hAnsi="Times New Roman" w:cs="Times New Roman"/>
                <w:spacing w:val="-4"/>
                <w:u w:val="none" w:color="auto"/>
                <w:lang w:val="en-US" w:eastAsia="zh-CN"/>
              </w:rPr>
              <w:t>3-1</w:t>
            </w:r>
            <w:r>
              <w:rPr>
                <w:rFonts w:hint="default" w:ascii="Times New Roman" w:hAnsi="Times New Roman" w:eastAsia="宋体" w:cs="Times New Roman"/>
                <w:spacing w:val="-4"/>
                <w:u w:val="none" w:color="auto"/>
              </w:rPr>
              <w:t>。</w:t>
            </w:r>
          </w:p>
          <w:p>
            <w:pPr>
              <w:snapToGrid w:val="0"/>
              <w:jc w:val="center"/>
              <w:rPr>
                <w:rFonts w:hint="default" w:ascii="Times New Roman" w:hAnsi="Times New Roman" w:eastAsia="宋体" w:cs="Times New Roman"/>
                <w:b/>
                <w:color w:val="000000"/>
                <w:sz w:val="21"/>
                <w:szCs w:val="21"/>
                <w:u w:val="none" w:color="auto"/>
              </w:rPr>
            </w:pPr>
            <w:r>
              <w:rPr>
                <w:rFonts w:hint="default" w:ascii="Times New Roman" w:hAnsi="Times New Roman" w:eastAsia="宋体" w:cs="Times New Roman"/>
                <w:b/>
                <w:color w:val="000000"/>
                <w:sz w:val="21"/>
                <w:szCs w:val="21"/>
                <w:u w:val="none" w:color="auto"/>
              </w:rPr>
              <w:t>表</w:t>
            </w:r>
            <w:r>
              <w:rPr>
                <w:rFonts w:hint="default" w:ascii="Times New Roman" w:hAnsi="Times New Roman" w:eastAsia="宋体" w:cs="Times New Roman"/>
                <w:b/>
                <w:color w:val="000000"/>
                <w:sz w:val="21"/>
                <w:szCs w:val="21"/>
                <w:u w:val="none" w:color="auto"/>
                <w:lang w:val="en-US" w:eastAsia="zh-CN"/>
              </w:rPr>
              <w:t>3-1</w:t>
            </w:r>
            <w:r>
              <w:rPr>
                <w:rFonts w:hint="default" w:ascii="Times New Roman" w:hAnsi="Times New Roman" w:eastAsia="宋体" w:cs="Times New Roman"/>
                <w:b/>
                <w:color w:val="000000"/>
                <w:sz w:val="21"/>
                <w:szCs w:val="21"/>
                <w:u w:val="none" w:color="auto"/>
              </w:rPr>
              <w:t xml:space="preserve">   </w:t>
            </w:r>
            <w:r>
              <w:rPr>
                <w:rFonts w:hint="default" w:ascii="Times New Roman" w:hAnsi="Times New Roman" w:eastAsia="宋体" w:cs="Times New Roman"/>
                <w:b/>
                <w:bCs/>
                <w:color w:val="000000"/>
                <w:kern w:val="0"/>
                <w:sz w:val="21"/>
                <w:szCs w:val="21"/>
                <w:u w:val="none" w:color="auto"/>
              </w:rPr>
              <w:t>202</w:t>
            </w:r>
            <w:r>
              <w:rPr>
                <w:rFonts w:hint="default" w:ascii="Times New Roman" w:hAnsi="Times New Roman" w:eastAsia="宋体" w:cs="Times New Roman"/>
                <w:b/>
                <w:bCs/>
                <w:color w:val="000000"/>
                <w:kern w:val="0"/>
                <w:sz w:val="21"/>
                <w:szCs w:val="21"/>
                <w:u w:val="none" w:color="auto"/>
                <w:lang w:val="en-US" w:eastAsia="zh-CN"/>
              </w:rPr>
              <w:t>3</w:t>
            </w:r>
            <w:r>
              <w:rPr>
                <w:rFonts w:hint="default" w:ascii="Times New Roman" w:hAnsi="Times New Roman" w:eastAsia="宋体" w:cs="Times New Roman"/>
                <w:b/>
                <w:bCs/>
                <w:color w:val="000000"/>
                <w:kern w:val="0"/>
                <w:sz w:val="21"/>
                <w:szCs w:val="21"/>
                <w:u w:val="none" w:color="auto"/>
              </w:rPr>
              <w:t>年</w:t>
            </w:r>
            <w:r>
              <w:rPr>
                <w:rFonts w:hint="default" w:ascii="Times New Roman" w:hAnsi="Times New Roman" w:eastAsia="宋体" w:cs="Times New Roman"/>
                <w:b/>
                <w:bCs/>
                <w:color w:val="000000"/>
                <w:kern w:val="0"/>
                <w:sz w:val="21"/>
                <w:szCs w:val="21"/>
                <w:u w:val="none" w:color="auto"/>
                <w:lang w:val="en-US" w:eastAsia="zh-CN"/>
              </w:rPr>
              <w:t>新田县</w:t>
            </w:r>
            <w:r>
              <w:rPr>
                <w:rFonts w:hint="default" w:ascii="Times New Roman" w:hAnsi="Times New Roman" w:eastAsia="宋体" w:cs="Times New Roman"/>
                <w:b/>
                <w:bCs/>
                <w:color w:val="000000"/>
                <w:kern w:val="0"/>
                <w:sz w:val="21"/>
                <w:szCs w:val="21"/>
                <w:u w:val="none" w:color="auto"/>
              </w:rPr>
              <w:t>空气质量监测结果一览表 单位：</w:t>
            </w:r>
            <w:r>
              <w:rPr>
                <w:rFonts w:hint="default" w:ascii="Times New Roman" w:hAnsi="Times New Roman" w:eastAsia="宋体" w:cs="Times New Roman"/>
                <w:b/>
                <w:color w:val="000000"/>
                <w:sz w:val="21"/>
                <w:szCs w:val="21"/>
                <w:u w:val="none" w:color="auto"/>
              </w:rPr>
              <w:t>µg/m</w:t>
            </w:r>
            <w:r>
              <w:rPr>
                <w:rFonts w:hint="default" w:ascii="Times New Roman" w:hAnsi="Times New Roman" w:eastAsia="宋体" w:cs="Times New Roman"/>
                <w:b/>
                <w:color w:val="000000"/>
                <w:sz w:val="21"/>
                <w:szCs w:val="21"/>
                <w:u w:val="none" w:color="auto"/>
                <w:vertAlign w:val="superscript"/>
              </w:rPr>
              <w:t>3</w:t>
            </w:r>
            <w:r>
              <w:rPr>
                <w:rFonts w:hint="default" w:ascii="Times New Roman" w:hAnsi="Times New Roman" w:eastAsia="宋体" w:cs="Times New Roman"/>
                <w:b/>
                <w:color w:val="000000"/>
                <w:sz w:val="21"/>
                <w:szCs w:val="21"/>
                <w:u w:val="none" w:color="auto"/>
              </w:rPr>
              <w:t>(CO：mg/m</w:t>
            </w:r>
            <w:r>
              <w:rPr>
                <w:rFonts w:hint="default" w:ascii="Times New Roman" w:hAnsi="Times New Roman" w:eastAsia="宋体" w:cs="Times New Roman"/>
                <w:b/>
                <w:color w:val="000000"/>
                <w:sz w:val="21"/>
                <w:szCs w:val="21"/>
                <w:u w:val="none" w:color="auto"/>
                <w:vertAlign w:val="superscript"/>
              </w:rPr>
              <w:t>3</w:t>
            </w:r>
            <w:r>
              <w:rPr>
                <w:rFonts w:hint="default" w:ascii="Times New Roman" w:hAnsi="Times New Roman" w:eastAsia="宋体" w:cs="Times New Roman"/>
                <w:b/>
                <w:color w:val="000000"/>
                <w:sz w:val="21"/>
                <w:szCs w:val="21"/>
                <w:u w:val="none" w:color="auto"/>
              </w:rPr>
              <w:t>)</w:t>
            </w:r>
          </w:p>
          <w:tbl>
            <w:tblPr>
              <w:tblStyle w:val="42"/>
              <w:tblW w:w="482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23"/>
              <w:gridCol w:w="2334"/>
              <w:gridCol w:w="1396"/>
              <w:gridCol w:w="1258"/>
              <w:gridCol w:w="149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b/>
                      <w:bCs/>
                      <w:kern w:val="0"/>
                      <w:sz w:val="21"/>
                      <w:szCs w:val="21"/>
                      <w:u w:val="none" w:color="auto"/>
                    </w:rPr>
                  </w:pPr>
                  <w:r>
                    <w:rPr>
                      <w:rFonts w:hint="default" w:ascii="Times New Roman" w:hAnsi="Times New Roman" w:eastAsia="宋体" w:cs="Times New Roman"/>
                      <w:b/>
                      <w:bCs/>
                      <w:kern w:val="0"/>
                      <w:sz w:val="21"/>
                      <w:szCs w:val="21"/>
                      <w:u w:val="none" w:color="auto"/>
                    </w:rPr>
                    <w:t>污染物</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b/>
                      <w:bCs/>
                      <w:kern w:val="0"/>
                      <w:sz w:val="21"/>
                      <w:szCs w:val="21"/>
                      <w:u w:val="none" w:color="auto"/>
                    </w:rPr>
                  </w:pPr>
                  <w:r>
                    <w:rPr>
                      <w:rFonts w:hint="default" w:ascii="Times New Roman" w:hAnsi="Times New Roman" w:eastAsia="宋体" w:cs="Times New Roman"/>
                      <w:b/>
                      <w:bCs/>
                      <w:kern w:val="0"/>
                      <w:sz w:val="21"/>
                      <w:szCs w:val="21"/>
                      <w:u w:val="none" w:color="auto"/>
                    </w:rPr>
                    <w:t>评价指标</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b/>
                      <w:bCs/>
                      <w:kern w:val="0"/>
                      <w:sz w:val="21"/>
                      <w:szCs w:val="21"/>
                      <w:u w:val="none" w:color="auto"/>
                    </w:rPr>
                  </w:pPr>
                  <w:r>
                    <w:rPr>
                      <w:rFonts w:hint="default" w:ascii="Times New Roman" w:hAnsi="Times New Roman" w:eastAsia="宋体" w:cs="Times New Roman"/>
                      <w:b/>
                      <w:bCs/>
                      <w:kern w:val="0"/>
                      <w:sz w:val="21"/>
                      <w:szCs w:val="21"/>
                      <w:u w:val="none" w:color="auto"/>
                    </w:rPr>
                    <w:t>年均值</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b/>
                      <w:bCs/>
                      <w:kern w:val="0"/>
                      <w:sz w:val="21"/>
                      <w:szCs w:val="21"/>
                      <w:u w:val="none" w:color="auto"/>
                    </w:rPr>
                  </w:pPr>
                  <w:r>
                    <w:rPr>
                      <w:rFonts w:hint="default" w:ascii="Times New Roman" w:hAnsi="Times New Roman" w:eastAsia="宋体" w:cs="Times New Roman"/>
                      <w:b/>
                      <w:bCs/>
                      <w:kern w:val="0"/>
                      <w:sz w:val="21"/>
                      <w:szCs w:val="21"/>
                      <w:u w:val="none" w:color="auto"/>
                    </w:rPr>
                    <w:t>标准值</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b/>
                      <w:bCs/>
                      <w:kern w:val="0"/>
                      <w:sz w:val="21"/>
                      <w:szCs w:val="21"/>
                      <w:u w:val="none" w:color="auto"/>
                    </w:rPr>
                  </w:pPr>
                  <w:r>
                    <w:rPr>
                      <w:rFonts w:hint="default" w:ascii="Times New Roman" w:hAnsi="Times New Roman" w:eastAsia="宋体" w:cs="Times New Roman"/>
                      <w:b/>
                      <w:bCs/>
                      <w:kern w:val="0"/>
                      <w:sz w:val="21"/>
                      <w:szCs w:val="21"/>
                      <w:u w:val="none" w:color="auto"/>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SO</w:t>
                  </w:r>
                  <w:r>
                    <w:rPr>
                      <w:rFonts w:hint="default" w:ascii="Times New Roman" w:hAnsi="Times New Roman" w:eastAsia="宋体" w:cs="Times New Roman"/>
                      <w:kern w:val="0"/>
                      <w:sz w:val="21"/>
                      <w:szCs w:val="21"/>
                      <w:u w:val="none" w:color="auto"/>
                      <w:vertAlign w:val="subscript"/>
                    </w:rPr>
                    <w:t>2</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年平均浓度</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6</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60</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NO</w:t>
                  </w:r>
                  <w:r>
                    <w:rPr>
                      <w:rFonts w:hint="default" w:ascii="Times New Roman" w:hAnsi="Times New Roman" w:eastAsia="宋体" w:cs="Times New Roman"/>
                      <w:kern w:val="0"/>
                      <w:sz w:val="21"/>
                      <w:szCs w:val="21"/>
                      <w:u w:val="none" w:color="auto"/>
                      <w:vertAlign w:val="subscript"/>
                    </w:rPr>
                    <w:t>2</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年平均浓度</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8</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40</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PM</w:t>
                  </w:r>
                  <w:r>
                    <w:rPr>
                      <w:rFonts w:hint="default" w:ascii="Times New Roman" w:hAnsi="Times New Roman" w:eastAsia="宋体" w:cs="Times New Roman"/>
                      <w:kern w:val="0"/>
                      <w:sz w:val="21"/>
                      <w:szCs w:val="21"/>
                      <w:u w:val="none" w:color="auto"/>
                      <w:vertAlign w:val="subscript"/>
                    </w:rPr>
                    <w:t>10</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年平均浓度</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43</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70</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CO</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24小时平均第95百分位数</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1.0</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4.0</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O</w:t>
                  </w:r>
                  <w:r>
                    <w:rPr>
                      <w:rFonts w:hint="default" w:ascii="Times New Roman" w:hAnsi="Times New Roman" w:eastAsia="宋体" w:cs="Times New Roman"/>
                      <w:kern w:val="0"/>
                      <w:sz w:val="21"/>
                      <w:szCs w:val="21"/>
                      <w:u w:val="none" w:color="auto"/>
                      <w:vertAlign w:val="subscript"/>
                    </w:rPr>
                    <w:t>3</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8h平均第90百分位数</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105</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160</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899"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PM</w:t>
                  </w:r>
                  <w:r>
                    <w:rPr>
                      <w:rFonts w:hint="default" w:ascii="Times New Roman" w:hAnsi="Times New Roman" w:eastAsia="宋体" w:cs="Times New Roman"/>
                      <w:kern w:val="0"/>
                      <w:sz w:val="21"/>
                      <w:szCs w:val="21"/>
                      <w:u w:val="none" w:color="auto"/>
                      <w:vertAlign w:val="subscript"/>
                    </w:rPr>
                    <w:t>2.5</w:t>
                  </w:r>
                </w:p>
              </w:tc>
              <w:tc>
                <w:tcPr>
                  <w:tcW w:w="147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年平均浓度</w:t>
                  </w:r>
                </w:p>
              </w:tc>
              <w:tc>
                <w:tcPr>
                  <w:tcW w:w="882"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lang w:val="en-US" w:eastAsia="zh-CN"/>
                    </w:rPr>
                  </w:pPr>
                  <w:r>
                    <w:rPr>
                      <w:rFonts w:hint="default" w:ascii="Times New Roman" w:hAnsi="Times New Roman" w:eastAsia="宋体" w:cs="Times New Roman"/>
                      <w:kern w:val="0"/>
                      <w:sz w:val="21"/>
                      <w:szCs w:val="21"/>
                      <w:u w:val="none" w:color="auto"/>
                      <w:lang w:val="en-US" w:eastAsia="zh-CN"/>
                    </w:rPr>
                    <w:t>29</w:t>
                  </w:r>
                </w:p>
              </w:tc>
              <w:tc>
                <w:tcPr>
                  <w:tcW w:w="795"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35</w:t>
                  </w:r>
                </w:p>
              </w:tc>
              <w:tc>
                <w:tcPr>
                  <w:tcW w:w="947" w:type="pct"/>
                  <w:noWrap w:val="0"/>
                  <w:vAlign w:val="center"/>
                </w:tcPr>
                <w:p>
                  <w:pPr>
                    <w:pStyle w:val="90"/>
                    <w:tabs>
                      <w:tab w:val="left" w:pos="3541"/>
                    </w:tabs>
                    <w:spacing w:before="43" w:line="240" w:lineRule="auto"/>
                    <w:jc w:val="center"/>
                    <w:rPr>
                      <w:rFonts w:hint="default" w:ascii="Times New Roman" w:hAnsi="Times New Roman" w:eastAsia="宋体" w:cs="Times New Roman"/>
                      <w:kern w:val="0"/>
                      <w:sz w:val="21"/>
                      <w:szCs w:val="21"/>
                      <w:u w:val="none" w:color="auto"/>
                    </w:rPr>
                  </w:pPr>
                  <w:r>
                    <w:rPr>
                      <w:rFonts w:hint="default" w:ascii="Times New Roman" w:hAnsi="Times New Roman" w:eastAsia="宋体" w:cs="Times New Roman"/>
                      <w:kern w:val="0"/>
                      <w:sz w:val="21"/>
                      <w:szCs w:val="21"/>
                      <w:u w:val="none" w:color="auto"/>
                    </w:rPr>
                    <w:t>达标</w:t>
                  </w:r>
                </w:p>
              </w:tc>
            </w:tr>
          </w:tbl>
          <w:p>
            <w:pPr>
              <w:ind w:firstLine="480"/>
              <w:rPr>
                <w:rFonts w:hint="default" w:ascii="Times New Roman" w:hAnsi="Times New Roman" w:cs="Times New Roman"/>
                <w:u w:val="none" w:color="auto"/>
              </w:rPr>
            </w:pPr>
            <w:r>
              <w:rPr>
                <w:rFonts w:hint="default" w:ascii="Times New Roman" w:hAnsi="Times New Roman" w:eastAsia="宋体" w:cs="Times New Roman"/>
                <w:snapToGrid w:val="0"/>
                <w:color w:val="000000"/>
                <w:spacing w:val="-4"/>
                <w:sz w:val="24"/>
                <w:szCs w:val="24"/>
                <w:u w:val="none" w:color="auto"/>
                <w:lang w:val="en-US" w:eastAsia="en-US" w:bidi="ar-SA"/>
              </w:rPr>
              <w:t>根据上表数据分析可知，</w:t>
            </w:r>
            <w:r>
              <w:rPr>
                <w:rFonts w:hint="default" w:ascii="Times New Roman" w:hAnsi="Times New Roman" w:eastAsia="宋体" w:cs="Times New Roman"/>
                <w:snapToGrid w:val="0"/>
                <w:color w:val="000000"/>
                <w:spacing w:val="-4"/>
                <w:sz w:val="24"/>
                <w:szCs w:val="24"/>
                <w:u w:val="none" w:color="auto"/>
                <w:lang w:val="en-US" w:eastAsia="zh-CN" w:bidi="ar-SA"/>
              </w:rPr>
              <w:t>新田县</w:t>
            </w:r>
            <w:r>
              <w:rPr>
                <w:rFonts w:hint="default" w:ascii="Times New Roman" w:hAnsi="Times New Roman" w:eastAsia="宋体" w:cs="Times New Roman"/>
                <w:snapToGrid w:val="0"/>
                <w:color w:val="000000"/>
                <w:spacing w:val="-4"/>
                <w:sz w:val="24"/>
                <w:szCs w:val="24"/>
                <w:u w:val="none" w:color="auto"/>
                <w:lang w:val="en-US" w:eastAsia="en-US" w:bidi="ar-SA"/>
              </w:rPr>
              <w:t>20</w:t>
            </w:r>
            <w:r>
              <w:rPr>
                <w:rFonts w:hint="default" w:ascii="Times New Roman" w:hAnsi="Times New Roman" w:eastAsia="宋体" w:cs="Times New Roman"/>
                <w:snapToGrid w:val="0"/>
                <w:color w:val="000000"/>
                <w:spacing w:val="-4"/>
                <w:sz w:val="24"/>
                <w:szCs w:val="24"/>
                <w:u w:val="none" w:color="auto"/>
                <w:lang w:val="en-US" w:eastAsia="zh-CN" w:bidi="ar-SA"/>
              </w:rPr>
              <w:t>23</w:t>
            </w:r>
            <w:r>
              <w:rPr>
                <w:rFonts w:hint="default" w:ascii="Times New Roman" w:hAnsi="Times New Roman" w:eastAsia="宋体" w:cs="Times New Roman"/>
                <w:snapToGrid w:val="0"/>
                <w:color w:val="000000"/>
                <w:spacing w:val="-4"/>
                <w:sz w:val="24"/>
                <w:szCs w:val="24"/>
                <w:u w:val="none" w:color="auto"/>
                <w:lang w:val="en-US" w:eastAsia="en-US" w:bidi="ar-SA"/>
              </w:rPr>
              <w:t>年环境空气中SO</w:t>
            </w:r>
            <w:r>
              <w:rPr>
                <w:rFonts w:hint="default" w:ascii="Times New Roman" w:hAnsi="Times New Roman" w:eastAsia="宋体" w:cs="Times New Roman"/>
                <w:snapToGrid w:val="0"/>
                <w:color w:val="000000"/>
                <w:spacing w:val="-4"/>
                <w:sz w:val="24"/>
                <w:szCs w:val="24"/>
                <w:u w:val="none" w:color="auto"/>
                <w:vertAlign w:val="subscript"/>
                <w:lang w:val="en-US" w:eastAsia="en-US" w:bidi="ar-SA"/>
              </w:rPr>
              <w:t>2</w:t>
            </w:r>
            <w:r>
              <w:rPr>
                <w:rFonts w:hint="default" w:ascii="Times New Roman" w:hAnsi="Times New Roman" w:eastAsia="宋体" w:cs="Times New Roman"/>
                <w:snapToGrid w:val="0"/>
                <w:color w:val="000000"/>
                <w:spacing w:val="-4"/>
                <w:sz w:val="24"/>
                <w:szCs w:val="24"/>
                <w:u w:val="none" w:color="auto"/>
                <w:lang w:val="en-US" w:eastAsia="en-US" w:bidi="ar-SA"/>
              </w:rPr>
              <w:t>、NO</w:t>
            </w:r>
            <w:r>
              <w:rPr>
                <w:rFonts w:hint="default" w:ascii="Times New Roman" w:hAnsi="Times New Roman" w:eastAsia="宋体" w:cs="Times New Roman"/>
                <w:snapToGrid w:val="0"/>
                <w:color w:val="000000"/>
                <w:spacing w:val="-4"/>
                <w:sz w:val="24"/>
                <w:szCs w:val="24"/>
                <w:u w:val="none" w:color="auto"/>
                <w:vertAlign w:val="subscript"/>
                <w:lang w:val="en-US" w:eastAsia="en-US" w:bidi="ar-SA"/>
              </w:rPr>
              <w:t>2</w:t>
            </w:r>
            <w:r>
              <w:rPr>
                <w:rFonts w:hint="default" w:ascii="Times New Roman" w:hAnsi="Times New Roman" w:eastAsia="宋体" w:cs="Times New Roman"/>
                <w:snapToGrid w:val="0"/>
                <w:color w:val="000000"/>
                <w:spacing w:val="-4"/>
                <w:sz w:val="24"/>
                <w:szCs w:val="24"/>
                <w:u w:val="none" w:color="auto"/>
                <w:lang w:val="en-US" w:eastAsia="en-US" w:bidi="ar-SA"/>
              </w:rPr>
              <w:t>、PM</w:t>
            </w:r>
            <w:r>
              <w:rPr>
                <w:rFonts w:hint="default" w:ascii="Times New Roman" w:hAnsi="Times New Roman" w:eastAsia="宋体" w:cs="Times New Roman"/>
                <w:snapToGrid w:val="0"/>
                <w:color w:val="000000"/>
                <w:spacing w:val="-4"/>
                <w:sz w:val="24"/>
                <w:szCs w:val="24"/>
                <w:u w:val="none" w:color="auto"/>
                <w:vertAlign w:val="subscript"/>
                <w:lang w:val="en-US" w:eastAsia="en-US" w:bidi="ar-SA"/>
              </w:rPr>
              <w:t>10</w:t>
            </w:r>
            <w:r>
              <w:rPr>
                <w:rFonts w:hint="default" w:ascii="Times New Roman" w:hAnsi="Times New Roman" w:eastAsia="宋体" w:cs="Times New Roman"/>
                <w:snapToGrid w:val="0"/>
                <w:color w:val="000000"/>
                <w:spacing w:val="-4"/>
                <w:sz w:val="24"/>
                <w:szCs w:val="24"/>
                <w:u w:val="none" w:color="auto"/>
                <w:lang w:val="en-US" w:eastAsia="en-US" w:bidi="ar-SA"/>
              </w:rPr>
              <w:t>、PM</w:t>
            </w:r>
            <w:r>
              <w:rPr>
                <w:rFonts w:hint="default" w:ascii="Times New Roman" w:hAnsi="Times New Roman" w:eastAsia="宋体" w:cs="Times New Roman"/>
                <w:snapToGrid w:val="0"/>
                <w:color w:val="000000"/>
                <w:spacing w:val="-4"/>
                <w:sz w:val="24"/>
                <w:szCs w:val="24"/>
                <w:u w:val="none" w:color="auto"/>
                <w:vertAlign w:val="subscript"/>
                <w:lang w:val="en-US" w:eastAsia="en-US" w:bidi="ar-SA"/>
              </w:rPr>
              <w:t>2.5</w:t>
            </w:r>
            <w:r>
              <w:rPr>
                <w:rFonts w:hint="default" w:ascii="Times New Roman" w:hAnsi="Times New Roman" w:eastAsia="宋体" w:cs="Times New Roman"/>
                <w:snapToGrid w:val="0"/>
                <w:color w:val="000000"/>
                <w:spacing w:val="-4"/>
                <w:sz w:val="24"/>
                <w:szCs w:val="24"/>
                <w:u w:val="none" w:color="auto"/>
                <w:lang w:val="en-US" w:eastAsia="en-US" w:bidi="ar-SA"/>
              </w:rPr>
              <w:t>年均浓度、CO24小时平均浓度、O</w:t>
            </w:r>
            <w:r>
              <w:rPr>
                <w:rFonts w:hint="default" w:ascii="Times New Roman" w:hAnsi="Times New Roman" w:eastAsia="宋体" w:cs="Times New Roman"/>
                <w:snapToGrid w:val="0"/>
                <w:color w:val="000000"/>
                <w:spacing w:val="-4"/>
                <w:sz w:val="24"/>
                <w:szCs w:val="24"/>
                <w:u w:val="none" w:color="auto"/>
                <w:vertAlign w:val="subscript"/>
                <w:lang w:val="en-US" w:eastAsia="en-US" w:bidi="ar-SA"/>
              </w:rPr>
              <w:t>3</w:t>
            </w:r>
            <w:r>
              <w:rPr>
                <w:rFonts w:hint="default" w:ascii="Times New Roman" w:hAnsi="Times New Roman" w:eastAsia="宋体" w:cs="Times New Roman"/>
                <w:snapToGrid w:val="0"/>
                <w:color w:val="000000"/>
                <w:spacing w:val="-4"/>
                <w:sz w:val="24"/>
                <w:szCs w:val="24"/>
                <w:u w:val="none" w:color="auto"/>
                <w:lang w:val="en-US" w:eastAsia="en-US" w:bidi="ar-SA"/>
              </w:rPr>
              <w:t>最大8h平均浓度均能满足《环境空气质量标准》（GB3095-2012）二级标准要求，故判定202</w:t>
            </w:r>
            <w:r>
              <w:rPr>
                <w:rFonts w:hint="default" w:ascii="Times New Roman" w:hAnsi="Times New Roman" w:eastAsia="宋体" w:cs="Times New Roman"/>
                <w:snapToGrid w:val="0"/>
                <w:color w:val="000000"/>
                <w:spacing w:val="-4"/>
                <w:sz w:val="24"/>
                <w:szCs w:val="24"/>
                <w:u w:val="none" w:color="auto"/>
                <w:lang w:val="en-US" w:eastAsia="zh-CN" w:bidi="ar-SA"/>
              </w:rPr>
              <w:t>3</w:t>
            </w:r>
            <w:r>
              <w:rPr>
                <w:rFonts w:hint="default" w:ascii="Times New Roman" w:hAnsi="Times New Roman" w:eastAsia="宋体" w:cs="Times New Roman"/>
                <w:snapToGrid w:val="0"/>
                <w:color w:val="000000"/>
                <w:spacing w:val="-4"/>
                <w:sz w:val="24"/>
                <w:szCs w:val="24"/>
                <w:u w:val="none" w:color="auto"/>
                <w:lang w:val="en-US" w:eastAsia="en-US" w:bidi="ar-SA"/>
              </w:rPr>
              <w:t>年</w:t>
            </w:r>
            <w:r>
              <w:rPr>
                <w:rFonts w:hint="default" w:ascii="Times New Roman" w:hAnsi="Times New Roman" w:eastAsia="宋体" w:cs="Times New Roman"/>
                <w:snapToGrid w:val="0"/>
                <w:color w:val="000000"/>
                <w:spacing w:val="-4"/>
                <w:sz w:val="24"/>
                <w:szCs w:val="24"/>
                <w:u w:val="none" w:color="auto"/>
                <w:lang w:val="en-US" w:eastAsia="zh-CN" w:bidi="ar-SA"/>
              </w:rPr>
              <w:t>新田县</w:t>
            </w:r>
            <w:r>
              <w:rPr>
                <w:rFonts w:hint="default" w:ascii="Times New Roman" w:hAnsi="Times New Roman" w:eastAsia="宋体" w:cs="Times New Roman"/>
                <w:snapToGrid w:val="0"/>
                <w:color w:val="000000"/>
                <w:spacing w:val="-4"/>
                <w:sz w:val="24"/>
                <w:szCs w:val="24"/>
                <w:u w:val="none" w:color="auto"/>
                <w:lang w:val="en-US" w:eastAsia="en-US" w:bidi="ar-SA"/>
              </w:rPr>
              <w:t>环境空气质量为达标区</w:t>
            </w:r>
            <w:r>
              <w:rPr>
                <w:rFonts w:hint="default" w:ascii="Times New Roman" w:hAnsi="Times New Roman" w:cs="Times New Roman"/>
                <w:u w:val="none" w:color="auto"/>
              </w:rPr>
              <w:t>。</w:t>
            </w:r>
          </w:p>
          <w:p>
            <w:pPr>
              <w:pStyle w:val="4"/>
              <w:numPr>
                <w:ilvl w:val="0"/>
                <w:numId w:val="0"/>
              </w:numPr>
              <w:spacing w:beforeLines="0" w:afterLines="0"/>
            </w:pPr>
            <w:r>
              <w:rPr>
                <w:rFonts w:hint="eastAsia"/>
              </w:rPr>
              <w:t>2、地表水环境质量现状</w:t>
            </w:r>
            <w:bookmarkEnd w:id="30"/>
          </w:p>
          <w:p>
            <w:pPr>
              <w:ind w:firstLine="480"/>
            </w:pPr>
            <w:r>
              <w:rPr>
                <w:rFonts w:hint="eastAsia"/>
              </w:rPr>
              <w:t>本厂区</w:t>
            </w:r>
            <w:r>
              <w:rPr>
                <w:rFonts w:hint="eastAsia"/>
                <w:lang w:val="en-US" w:eastAsia="zh-CN"/>
              </w:rPr>
              <w:t>养殖</w:t>
            </w:r>
            <w:r>
              <w:rPr>
                <w:rFonts w:hint="eastAsia"/>
              </w:rPr>
              <w:t>废水经三级过滤沉淀池+一体化处理设备</w:t>
            </w:r>
            <w:r>
              <w:rPr>
                <w:rFonts w:hint="eastAsia"/>
                <w:lang w:val="en-US" w:eastAsia="zh-CN"/>
              </w:rPr>
              <w:t>处理后</w:t>
            </w:r>
            <w:r>
              <w:rPr>
                <w:rFonts w:hint="eastAsia"/>
              </w:rPr>
              <w:t>，</w:t>
            </w:r>
            <w:r>
              <w:rPr>
                <w:rFonts w:hint="eastAsia"/>
                <w:lang w:val="en-US" w:eastAsia="zh-CN"/>
              </w:rPr>
              <w:t>全部回用于生产，一批次牛蛙养殖完成后用于周边果园灌溉</w:t>
            </w:r>
            <w:r>
              <w:rPr>
                <w:rFonts w:hint="eastAsia"/>
              </w:rPr>
              <w:t>。评价收集了</w:t>
            </w:r>
            <w:r>
              <w:t>202</w:t>
            </w:r>
            <w:r>
              <w:rPr>
                <w:rFonts w:hint="eastAsia"/>
              </w:rPr>
              <w:t>3年</w:t>
            </w:r>
            <w:r>
              <w:rPr>
                <w:rFonts w:hint="eastAsia"/>
                <w:lang w:val="en-US" w:eastAsia="zh-CN"/>
              </w:rPr>
              <w:t>新田县</w:t>
            </w:r>
            <w:r>
              <w:rPr>
                <w:rFonts w:hint="eastAsia"/>
              </w:rPr>
              <w:t>新田河纱帽岭村断面的水质状况报告，具体见下表：</w:t>
            </w:r>
          </w:p>
          <w:p>
            <w:pPr>
              <w:tabs>
                <w:tab w:val="left" w:pos="1021"/>
              </w:tabs>
              <w:spacing w:line="240" w:lineRule="auto"/>
              <w:jc w:val="center"/>
              <w:rPr>
                <w:rFonts w:hAnsi="宋体"/>
                <w:b/>
              </w:rPr>
            </w:pPr>
            <w:r>
              <w:rPr>
                <w:rFonts w:hAnsi="宋体"/>
                <w:b/>
              </w:rPr>
              <w:t>表3-</w:t>
            </w:r>
            <w:r>
              <w:rPr>
                <w:rFonts w:hint="eastAsia" w:hAnsi="宋体"/>
                <w:b/>
              </w:rPr>
              <w:t>2</w:t>
            </w:r>
            <w:r>
              <w:rPr>
                <w:rFonts w:hAnsi="宋体"/>
                <w:b/>
              </w:rPr>
              <w:t xml:space="preserve"> </w:t>
            </w:r>
            <w:r>
              <w:rPr>
                <w:rFonts w:hint="eastAsia" w:hAnsi="宋体"/>
                <w:b/>
              </w:rPr>
              <w:t xml:space="preserve">  水环境质量监测结果一览表</w:t>
            </w:r>
          </w:p>
          <w:tbl>
            <w:tblPr>
              <w:tblStyle w:val="42"/>
              <w:tblW w:w="4998" w:type="pct"/>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35"/>
              <w:gridCol w:w="663"/>
              <w:gridCol w:w="1554"/>
              <w:gridCol w:w="427"/>
              <w:gridCol w:w="427"/>
              <w:gridCol w:w="427"/>
              <w:gridCol w:w="427"/>
              <w:gridCol w:w="427"/>
              <w:gridCol w:w="427"/>
              <w:gridCol w:w="427"/>
              <w:gridCol w:w="427"/>
              <w:gridCol w:w="427"/>
              <w:gridCol w:w="427"/>
              <w:gridCol w:w="428"/>
              <w:gridCol w:w="428"/>
              <w:gridCol w:w="4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7" w:hRule="atLeast"/>
              </w:trPr>
              <w:tc>
                <w:tcPr>
                  <w:tcW w:w="335" w:type="pct"/>
                  <w:vMerge w:val="restar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断面名称</w:t>
                  </w:r>
                </w:p>
              </w:tc>
              <w:tc>
                <w:tcPr>
                  <w:tcW w:w="489"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rFonts w:hint="default" w:eastAsia="宋体"/>
                      <w:b/>
                      <w:bCs/>
                      <w:color w:val="000000"/>
                      <w:kern w:val="0"/>
                      <w:sz w:val="21"/>
                      <w:szCs w:val="21"/>
                      <w:lang w:val="en-US" w:eastAsia="zh-CN"/>
                    </w:rPr>
                  </w:pPr>
                  <w:r>
                    <w:rPr>
                      <w:rFonts w:hint="eastAsia"/>
                      <w:b/>
                      <w:bCs/>
                      <w:color w:val="000000"/>
                      <w:kern w:val="0"/>
                      <w:sz w:val="21"/>
                      <w:szCs w:val="21"/>
                      <w:lang w:val="en-US" w:eastAsia="zh-CN"/>
                    </w:rPr>
                    <w:t>所属河流</w:t>
                  </w:r>
                </w:p>
              </w:tc>
              <w:tc>
                <w:tcPr>
                  <w:tcW w:w="799" w:type="dxa"/>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执行标准</w:t>
                  </w:r>
                </w:p>
              </w:tc>
              <w:tc>
                <w:tcPr>
                  <w:tcW w:w="3347" w:type="pct"/>
                  <w:gridSpan w:val="12"/>
                  <w:tcBorders>
                    <w:top w:val="single" w:color="000000" w:sz="12"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水质类别</w:t>
                  </w:r>
                </w:p>
              </w:tc>
              <w:tc>
                <w:tcPr>
                  <w:tcW w:w="336"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8" w:hRule="atLeast"/>
              </w:trPr>
              <w:tc>
                <w:tcPr>
                  <w:tcW w:w="335"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adjustRightInd w:val="0"/>
                    <w:snapToGrid w:val="0"/>
                    <w:spacing w:line="240" w:lineRule="auto"/>
                    <w:jc w:val="center"/>
                    <w:rPr>
                      <w:b w:val="0"/>
                      <w:color w:val="000000"/>
                      <w:sz w:val="21"/>
                      <w:szCs w:val="21"/>
                    </w:rPr>
                  </w:pPr>
                </w:p>
              </w:tc>
              <w:tc>
                <w:tcPr>
                  <w:tcW w:w="48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val="0"/>
                      <w:color w:val="000000"/>
                      <w:sz w:val="21"/>
                      <w:szCs w:val="21"/>
                    </w:rPr>
                  </w:pPr>
                </w:p>
              </w:tc>
              <w:tc>
                <w:tcPr>
                  <w:tcW w:w="49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val="0"/>
                      <w:color w:val="000000"/>
                      <w:sz w:val="21"/>
                      <w:szCs w:val="21"/>
                    </w:rPr>
                  </w:pP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1月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2月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3月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4月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5月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6月</w:t>
                  </w:r>
                </w:p>
              </w:tc>
              <w:tc>
                <w:tcPr>
                  <w:tcW w:w="2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7月</w:t>
                  </w:r>
                </w:p>
              </w:tc>
              <w:tc>
                <w:tcPr>
                  <w:tcW w:w="2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8月</w:t>
                  </w:r>
                </w:p>
              </w:tc>
              <w:tc>
                <w:tcPr>
                  <w:tcW w:w="2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9月</w:t>
                  </w:r>
                </w:p>
              </w:tc>
              <w:tc>
                <w:tcPr>
                  <w:tcW w:w="2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10月</w:t>
                  </w:r>
                </w:p>
              </w:tc>
              <w:tc>
                <w:tcPr>
                  <w:tcW w:w="2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11月</w:t>
                  </w:r>
                </w:p>
              </w:tc>
              <w:tc>
                <w:tcPr>
                  <w:tcW w:w="291" w:type="pct"/>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spacing w:line="240" w:lineRule="auto"/>
                    <w:jc w:val="center"/>
                    <w:rPr>
                      <w:b/>
                      <w:bCs/>
                      <w:color w:val="000000"/>
                      <w:kern w:val="0"/>
                      <w:sz w:val="21"/>
                      <w:szCs w:val="21"/>
                    </w:rPr>
                  </w:pPr>
                  <w:r>
                    <w:rPr>
                      <w:b/>
                      <w:bCs/>
                      <w:color w:val="000000"/>
                      <w:kern w:val="0"/>
                      <w:sz w:val="21"/>
                      <w:szCs w:val="21"/>
                    </w:rPr>
                    <w:t>12月</w:t>
                  </w:r>
                </w:p>
              </w:tc>
              <w:tc>
                <w:tcPr>
                  <w:tcW w:w="336" w:type="pct"/>
                  <w:vMerge w:val="continue"/>
                  <w:tcBorders>
                    <w:top w:val="single" w:color="000000" w:sz="4" w:space="0"/>
                    <w:left w:val="single" w:color="000000" w:sz="4" w:space="0"/>
                    <w:bottom w:val="single" w:color="000000" w:sz="4" w:space="0"/>
                    <w:right w:val="single" w:color="000000" w:sz="12" w:space="0"/>
                  </w:tcBorders>
                  <w:shd w:val="clear" w:color="auto" w:fill="FFFFFF"/>
                  <w:vAlign w:val="center"/>
                </w:tcPr>
                <w:p>
                  <w:pPr>
                    <w:adjustRightInd w:val="0"/>
                    <w:snapToGrid w:val="0"/>
                    <w:spacing w:line="240" w:lineRule="auto"/>
                    <w:jc w:val="center"/>
                    <w:rPr>
                      <w:b w:val="0"/>
                      <w:color w:val="000000"/>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335" w:type="pct"/>
                  <w:tcBorders>
                    <w:top w:val="single" w:color="000000" w:sz="4" w:space="0"/>
                    <w:left w:val="single" w:color="000000" w:sz="12"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纱帽岭村断面</w:t>
                  </w:r>
                </w:p>
              </w:tc>
              <w:tc>
                <w:tcPr>
                  <w:tcW w:w="489"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rFonts w:hint="default" w:eastAsia="宋体"/>
                      <w:b w:val="0"/>
                      <w:color w:val="000000"/>
                      <w:kern w:val="0"/>
                      <w:sz w:val="21"/>
                      <w:szCs w:val="21"/>
                      <w:lang w:val="en-US" w:eastAsia="zh-CN"/>
                    </w:rPr>
                  </w:pPr>
                  <w:r>
                    <w:rPr>
                      <w:rFonts w:hint="eastAsia"/>
                      <w:b w:val="0"/>
                      <w:color w:val="000000"/>
                      <w:kern w:val="0"/>
                      <w:sz w:val="21"/>
                      <w:szCs w:val="21"/>
                      <w:lang w:val="en-US" w:eastAsia="zh-CN"/>
                    </w:rPr>
                    <w:t>新田河</w:t>
                  </w:r>
                </w:p>
              </w:tc>
              <w:tc>
                <w:tcPr>
                  <w:tcW w:w="799" w:type="dxa"/>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GB3838-2002Ⅱ类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Ⅰ类</w:t>
                  </w:r>
                </w:p>
              </w:tc>
              <w:tc>
                <w:tcPr>
                  <w:tcW w:w="28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II类</w:t>
                  </w:r>
                </w:p>
              </w:tc>
              <w:tc>
                <w:tcPr>
                  <w:tcW w:w="28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Ⅱ类</w:t>
                  </w:r>
                </w:p>
              </w:tc>
              <w:tc>
                <w:tcPr>
                  <w:tcW w:w="28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Ⅱ类</w:t>
                  </w:r>
                </w:p>
              </w:tc>
              <w:tc>
                <w:tcPr>
                  <w:tcW w:w="28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Ⅱ类</w:t>
                  </w:r>
                </w:p>
              </w:tc>
              <w:tc>
                <w:tcPr>
                  <w:tcW w:w="291" w:type="pct"/>
                  <w:tcBorders>
                    <w:top w:val="single" w:color="000000" w:sz="4" w:space="0"/>
                    <w:left w:val="single" w:color="000000" w:sz="4" w:space="0"/>
                    <w:bottom w:val="single" w:color="000000" w:sz="12" w:space="0"/>
                    <w:right w:val="single" w:color="000000" w:sz="4"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Ⅱ类</w:t>
                  </w:r>
                </w:p>
              </w:tc>
              <w:tc>
                <w:tcPr>
                  <w:tcW w:w="336" w:type="pct"/>
                  <w:tcBorders>
                    <w:top w:val="single" w:color="000000" w:sz="4" w:space="0"/>
                    <w:left w:val="single" w:color="000000" w:sz="4" w:space="0"/>
                    <w:bottom w:val="single" w:color="000000" w:sz="12" w:space="0"/>
                    <w:right w:val="single" w:color="000000" w:sz="12" w:space="0"/>
                  </w:tcBorders>
                  <w:shd w:val="clear" w:color="auto" w:fill="FFFFFF"/>
                  <w:vAlign w:val="center"/>
                </w:tcPr>
                <w:p>
                  <w:pPr>
                    <w:adjustRightInd w:val="0"/>
                    <w:snapToGrid w:val="0"/>
                    <w:spacing w:line="240" w:lineRule="auto"/>
                    <w:jc w:val="center"/>
                    <w:rPr>
                      <w:b w:val="0"/>
                      <w:color w:val="000000"/>
                      <w:kern w:val="0"/>
                      <w:sz w:val="21"/>
                      <w:szCs w:val="21"/>
                    </w:rPr>
                  </w:pPr>
                  <w:r>
                    <w:rPr>
                      <w:b w:val="0"/>
                      <w:color w:val="000000"/>
                      <w:kern w:val="0"/>
                      <w:sz w:val="21"/>
                      <w:szCs w:val="21"/>
                    </w:rPr>
                    <w:t>达标</w:t>
                  </w:r>
                </w:p>
              </w:tc>
            </w:tr>
          </w:tbl>
          <w:p>
            <w:pPr>
              <w:ind w:firstLine="480"/>
            </w:pPr>
            <w:r>
              <w:rPr>
                <w:rFonts w:hint="eastAsia"/>
              </w:rPr>
              <w:t>根据以上统计结果，新田河纱帽岭村断面</w:t>
            </w:r>
            <w:r>
              <w:t>202</w:t>
            </w:r>
            <w:r>
              <w:rPr>
                <w:rFonts w:hint="eastAsia"/>
              </w:rPr>
              <w:t>3年度水质状况均达到《地表水环境质量标准》（</w:t>
            </w:r>
            <w:r>
              <w:t>GB3838-2002</w:t>
            </w:r>
            <w:r>
              <w:rPr>
                <w:rFonts w:hint="eastAsia"/>
              </w:rPr>
              <w:t>）Ⅱ类标准要求，项目所在区域地表水环境质量良好。</w:t>
            </w:r>
          </w:p>
          <w:p>
            <w:pPr>
              <w:pStyle w:val="4"/>
              <w:numPr>
                <w:ilvl w:val="1"/>
                <w:numId w:val="0"/>
              </w:numPr>
              <w:spacing w:beforeLines="0" w:afterLines="0"/>
            </w:pPr>
            <w:bookmarkStart w:id="31" w:name="_Toc10289"/>
            <w:r>
              <w:rPr>
                <w:rFonts w:hint="eastAsia"/>
              </w:rPr>
              <w:t>3、声环境质量现状</w:t>
            </w:r>
            <w:bookmarkEnd w:id="31"/>
          </w:p>
          <w:p>
            <w:pPr>
              <w:ind w:firstLine="480"/>
            </w:pPr>
            <w:r>
              <w:rPr>
                <w:rFonts w:hint="eastAsia"/>
              </w:rPr>
              <w:t>根据生态环境部办公厅</w:t>
            </w:r>
            <w:r>
              <w:t>2020</w:t>
            </w:r>
            <w:r>
              <w:rPr>
                <w:rFonts w:hint="eastAsia"/>
              </w:rPr>
              <w:t>年</w:t>
            </w:r>
            <w:r>
              <w:t>12</w:t>
            </w:r>
            <w:r>
              <w:rPr>
                <w:rFonts w:hint="eastAsia"/>
              </w:rPr>
              <w:t>月</w:t>
            </w:r>
            <w:r>
              <w:t>24</w:t>
            </w:r>
            <w:r>
              <w:rPr>
                <w:rFonts w:hint="eastAsia"/>
              </w:rPr>
              <w:t>日印发的《建设项目环境影响报告表编制技术指南（污染影响类）（试行）》中具体编制要求</w:t>
            </w:r>
            <w:r>
              <w:t>“</w:t>
            </w:r>
            <w:r>
              <w:rPr>
                <w:rFonts w:hint="eastAsia"/>
              </w:rPr>
              <w:t>厂界外周边50米范围内存在声环境保护目标的建设项目，应监测保护目标声环境质量现状并评价达标情况。</w:t>
            </w:r>
            <w:r>
              <w:t>”</w:t>
            </w:r>
            <w:r>
              <w:rPr>
                <w:rFonts w:hint="eastAsia"/>
              </w:rPr>
              <w:t>结合现场调查，本项目位于永州市新田县大坪塘镇龙溪村，项目50m范围内无声环境保护目标，因此不开展声环境现状调查。</w:t>
            </w:r>
          </w:p>
          <w:p>
            <w:pPr>
              <w:pStyle w:val="4"/>
              <w:numPr>
                <w:ilvl w:val="1"/>
                <w:numId w:val="0"/>
              </w:numPr>
              <w:spacing w:beforeLines="0" w:afterLines="0"/>
            </w:pPr>
            <w:r>
              <w:rPr>
                <w:rFonts w:hint="eastAsia"/>
              </w:rPr>
              <w:t>4、生态环境</w:t>
            </w:r>
          </w:p>
          <w:p>
            <w:pPr>
              <w:ind w:firstLine="480"/>
            </w:pPr>
            <w:r>
              <w:rPr>
                <w:rFonts w:hint="eastAsia"/>
              </w:rPr>
              <w:t>根据生态环境部办公厅</w:t>
            </w:r>
            <w:r>
              <w:t>2020</w:t>
            </w:r>
            <w:r>
              <w:rPr>
                <w:rFonts w:hint="eastAsia"/>
              </w:rPr>
              <w:t>年</w:t>
            </w:r>
            <w:r>
              <w:t>12</w:t>
            </w:r>
            <w:r>
              <w:rPr>
                <w:rFonts w:hint="eastAsia"/>
              </w:rPr>
              <w:t>月</w:t>
            </w:r>
            <w:r>
              <w:t>24</w:t>
            </w:r>
            <w:r>
              <w:rPr>
                <w:rFonts w:hint="eastAsia"/>
              </w:rPr>
              <w:t>日印发的《建设项目环境影响报告表编制技术指南（污染影响类）（试行）》中具体编制要求</w:t>
            </w:r>
            <w:r>
              <w:t>“</w:t>
            </w:r>
            <w:r>
              <w:rPr>
                <w:rFonts w:hint="eastAsia"/>
              </w:rPr>
              <w:t>产业园区外建设项目新增用地且用地范围内含有生态环境敏感目标时，应进行生态调查。</w:t>
            </w:r>
            <w:r>
              <w:t>”</w:t>
            </w:r>
            <w:r>
              <w:rPr>
                <w:rFonts w:hint="eastAsia"/>
              </w:rPr>
              <w:t>结合现场调查，本项目位于永州市新田县大坪塘镇龙溪村，项目用地为林地（目前已取得用地许可）周边主要为果园、农田，经现场勘查，用地范围内无生态环境保护目标，因此不开展生态现状调查。</w:t>
            </w:r>
          </w:p>
          <w:p>
            <w:pPr>
              <w:pStyle w:val="4"/>
              <w:numPr>
                <w:ilvl w:val="1"/>
                <w:numId w:val="0"/>
              </w:numPr>
              <w:spacing w:beforeLines="0" w:afterLines="0"/>
            </w:pPr>
            <w:r>
              <w:rPr>
                <w:rFonts w:hint="eastAsia"/>
              </w:rPr>
              <w:t>5、电磁辐射</w:t>
            </w:r>
          </w:p>
          <w:p>
            <w:pPr>
              <w:ind w:firstLine="480"/>
            </w:pPr>
            <w:r>
              <w:t>本项目</w:t>
            </w:r>
            <w:r>
              <w:rPr>
                <w:rFonts w:hint="eastAsia"/>
              </w:rPr>
              <w:t>不属于</w:t>
            </w:r>
            <w:r>
              <w:t>电磁辐射</w:t>
            </w:r>
            <w:r>
              <w:rPr>
                <w:rFonts w:hint="eastAsia"/>
              </w:rPr>
              <w:t>类项目，不需开展电磁辐射监测与评价。</w:t>
            </w:r>
          </w:p>
          <w:p>
            <w:pPr>
              <w:pStyle w:val="4"/>
              <w:numPr>
                <w:ilvl w:val="1"/>
                <w:numId w:val="0"/>
              </w:numPr>
              <w:spacing w:beforeLines="0" w:afterLines="0"/>
            </w:pPr>
            <w:r>
              <w:rPr>
                <w:rFonts w:hint="eastAsia"/>
              </w:rPr>
              <w:t>6、地下水、土壤环境</w:t>
            </w:r>
          </w:p>
          <w:p>
            <w:pPr>
              <w:widowControl/>
              <w:ind w:firstLine="480"/>
            </w:pPr>
            <w:r>
              <w:rPr>
                <w:rFonts w:hint="eastAsia"/>
              </w:rPr>
              <w:t>本项目蛙池已铺设塑料布和瓷砖，不存在地下水、土壤污染途径，根据生态环境部办公厅2020年12月24日印发的《建设项目环境影响报告表编制技术指南（污染影响类）（试行）》，原则上不开展地下水、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14" w:hRule="atLeast"/>
          <w:jc w:val="center"/>
        </w:trPr>
        <w:tc>
          <w:tcPr>
            <w:tcW w:w="456" w:type="dxa"/>
            <w:vAlign w:val="center"/>
          </w:tcPr>
          <w:p>
            <w:pPr>
              <w:spacing w:line="240" w:lineRule="auto"/>
            </w:pPr>
            <w:r>
              <w:t>环境</w:t>
            </w:r>
          </w:p>
          <w:p>
            <w:pPr>
              <w:spacing w:line="240" w:lineRule="auto"/>
            </w:pPr>
            <w:r>
              <w:t>保护</w:t>
            </w:r>
          </w:p>
          <w:p>
            <w:pPr>
              <w:spacing w:line="240" w:lineRule="auto"/>
            </w:pPr>
            <w:r>
              <w:t>目标</w:t>
            </w:r>
          </w:p>
        </w:tc>
        <w:tc>
          <w:tcPr>
            <w:tcW w:w="8425" w:type="dxa"/>
            <w:vAlign w:val="center"/>
          </w:tcPr>
          <w:p>
            <w:pPr>
              <w:pStyle w:val="4"/>
              <w:numPr>
                <w:ilvl w:val="1"/>
                <w:numId w:val="0"/>
              </w:numPr>
              <w:spacing w:beforeLines="0" w:afterLines="0"/>
            </w:pPr>
            <w:r>
              <w:rPr>
                <w:rFonts w:hint="eastAsia"/>
              </w:rPr>
              <w:t>1、大气环境保护目标</w:t>
            </w:r>
          </w:p>
          <w:p>
            <w:pPr>
              <w:ind w:firstLine="480"/>
            </w:pPr>
            <w:r>
              <w:rPr>
                <w:rFonts w:hint="eastAsia"/>
              </w:rPr>
              <w:t>本项目厂界外500米范围内无大气环境保护目标</w:t>
            </w:r>
            <w:r>
              <w:rPr>
                <w:rFonts w:hint="eastAsia"/>
                <w:lang w:eastAsia="zh-CN"/>
              </w:rPr>
              <w:t>，</w:t>
            </w:r>
            <w:r>
              <w:rPr>
                <w:rFonts w:hint="eastAsia"/>
              </w:rPr>
              <w:t>与项目最近的居民点为</w:t>
            </w:r>
            <w:r>
              <w:rPr>
                <w:rFonts w:hint="eastAsia"/>
                <w:lang w:val="en-US" w:eastAsia="zh-CN"/>
              </w:rPr>
              <w:t>西南</w:t>
            </w:r>
            <w:r>
              <w:rPr>
                <w:rFonts w:hint="eastAsia"/>
              </w:rPr>
              <w:t>方位</w:t>
            </w:r>
            <w:r>
              <w:rPr>
                <w:rFonts w:hint="eastAsia"/>
                <w:lang w:val="en-US" w:eastAsia="zh-CN"/>
              </w:rPr>
              <w:t>610</w:t>
            </w:r>
            <w:r>
              <w:rPr>
                <w:rFonts w:hint="eastAsia"/>
              </w:rPr>
              <w:t>米的</w:t>
            </w:r>
            <w:r>
              <w:rPr>
                <w:rFonts w:hint="eastAsia"/>
                <w:lang w:val="en-US" w:eastAsia="zh-CN"/>
              </w:rPr>
              <w:t>龙溪</w:t>
            </w:r>
            <w:r>
              <w:rPr>
                <w:rFonts w:hint="eastAsia"/>
              </w:rPr>
              <w:t>村，项目牛蛙养殖不会对其造成不利影响</w:t>
            </w:r>
            <w:r>
              <w:t>。</w:t>
            </w:r>
          </w:p>
          <w:p>
            <w:pPr>
              <w:pStyle w:val="4"/>
              <w:numPr>
                <w:ilvl w:val="1"/>
                <w:numId w:val="0"/>
              </w:numPr>
              <w:spacing w:beforeLines="0" w:afterLines="0"/>
            </w:pPr>
            <w:r>
              <w:rPr>
                <w:rFonts w:hint="eastAsia"/>
              </w:rPr>
              <w:t>2、声环境保护目标</w:t>
            </w:r>
          </w:p>
          <w:p>
            <w:pPr>
              <w:ind w:firstLine="480"/>
            </w:pPr>
            <w:r>
              <w:rPr>
                <w:rFonts w:hint="eastAsia"/>
              </w:rPr>
              <w:t>本项目厂界外50米范围内无声环境保护目标。</w:t>
            </w:r>
          </w:p>
          <w:p>
            <w:pPr>
              <w:pStyle w:val="4"/>
              <w:numPr>
                <w:ilvl w:val="1"/>
                <w:numId w:val="0"/>
              </w:numPr>
              <w:spacing w:beforeLines="0" w:afterLines="0"/>
            </w:pPr>
            <w:r>
              <w:rPr>
                <w:rFonts w:hint="eastAsia"/>
              </w:rPr>
              <w:t>3、地下水环境保护目标</w:t>
            </w:r>
          </w:p>
          <w:p>
            <w:pPr>
              <w:ind w:firstLine="480"/>
            </w:pPr>
            <w:r>
              <w:rPr>
                <w:rFonts w:hint="eastAsia"/>
              </w:rPr>
              <w:t>本项目厂界外500米范围内无地下水集中式饮用水水源和热水、矿泉水、温泉等特殊地下水资源。</w:t>
            </w:r>
          </w:p>
          <w:p>
            <w:pPr>
              <w:pStyle w:val="4"/>
              <w:numPr>
                <w:ilvl w:val="1"/>
                <w:numId w:val="0"/>
              </w:numPr>
              <w:spacing w:beforeLines="0" w:afterLines="0"/>
            </w:pPr>
            <w:r>
              <w:rPr>
                <w:rFonts w:hint="eastAsia"/>
              </w:rPr>
              <w:t>4、地表水环境保护目标</w:t>
            </w:r>
          </w:p>
          <w:p>
            <w:pPr>
              <w:ind w:firstLine="480"/>
              <w:rPr>
                <w:u w:val="single"/>
              </w:rPr>
            </w:pPr>
            <w:r>
              <w:rPr>
                <w:rFonts w:hint="eastAsia"/>
                <w:u w:val="single"/>
              </w:rPr>
              <w:t>项目地表水环境保护目标见下表3-3。</w:t>
            </w:r>
          </w:p>
          <w:p>
            <w:pPr>
              <w:tabs>
                <w:tab w:val="left" w:pos="1021"/>
              </w:tabs>
              <w:spacing w:line="240" w:lineRule="auto"/>
              <w:jc w:val="center"/>
              <w:rPr>
                <w:rFonts w:hAnsi="宋体"/>
                <w:b/>
                <w:u w:val="single"/>
              </w:rPr>
            </w:pPr>
            <w:r>
              <w:rPr>
                <w:rFonts w:hint="eastAsia" w:hAnsi="宋体"/>
                <w:b/>
                <w:u w:val="single"/>
              </w:rPr>
              <w:t>表3-3项目水环境保护目标</w:t>
            </w:r>
          </w:p>
          <w:tbl>
            <w:tblPr>
              <w:tblStyle w:val="4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9"/>
              <w:gridCol w:w="978"/>
              <w:gridCol w:w="992"/>
              <w:gridCol w:w="828"/>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pct"/>
                  <w:vAlign w:val="center"/>
                </w:tcPr>
                <w:p>
                  <w:pPr>
                    <w:spacing w:line="240" w:lineRule="auto"/>
                    <w:jc w:val="center"/>
                    <w:rPr>
                      <w:b/>
                      <w:bCs/>
                      <w:color w:val="000000"/>
                      <w:sz w:val="21"/>
                      <w:u w:val="single"/>
                    </w:rPr>
                  </w:pPr>
                  <w:r>
                    <w:rPr>
                      <w:rFonts w:hint="eastAsia"/>
                      <w:b/>
                      <w:bCs/>
                      <w:color w:val="000000"/>
                      <w:sz w:val="21"/>
                      <w:u w:val="single"/>
                    </w:rPr>
                    <w:t>名称</w:t>
                  </w:r>
                </w:p>
              </w:tc>
              <w:tc>
                <w:tcPr>
                  <w:tcW w:w="596" w:type="pct"/>
                  <w:vAlign w:val="center"/>
                </w:tcPr>
                <w:p>
                  <w:pPr>
                    <w:spacing w:line="240" w:lineRule="auto"/>
                    <w:jc w:val="center"/>
                    <w:rPr>
                      <w:b/>
                      <w:bCs/>
                      <w:color w:val="000000"/>
                      <w:sz w:val="21"/>
                      <w:u w:val="single"/>
                    </w:rPr>
                  </w:pPr>
                  <w:r>
                    <w:rPr>
                      <w:rFonts w:hint="eastAsia"/>
                      <w:b/>
                      <w:bCs/>
                      <w:color w:val="000000"/>
                      <w:sz w:val="21"/>
                      <w:u w:val="single"/>
                    </w:rPr>
                    <w:t>相对厂址方向</w:t>
                  </w:r>
                </w:p>
              </w:tc>
              <w:tc>
                <w:tcPr>
                  <w:tcW w:w="605" w:type="pct"/>
                  <w:vAlign w:val="center"/>
                </w:tcPr>
                <w:p>
                  <w:pPr>
                    <w:spacing w:line="240" w:lineRule="auto"/>
                    <w:jc w:val="center"/>
                    <w:rPr>
                      <w:b/>
                      <w:bCs/>
                      <w:color w:val="000000"/>
                      <w:sz w:val="21"/>
                      <w:u w:val="single"/>
                    </w:rPr>
                  </w:pPr>
                  <w:r>
                    <w:rPr>
                      <w:rFonts w:hint="eastAsia"/>
                      <w:b/>
                      <w:bCs/>
                      <w:color w:val="000000"/>
                      <w:sz w:val="21"/>
                      <w:u w:val="single"/>
                    </w:rPr>
                    <w:t>相对厂址距离</w:t>
                  </w:r>
                </w:p>
              </w:tc>
              <w:tc>
                <w:tcPr>
                  <w:tcW w:w="505" w:type="pct"/>
                  <w:vAlign w:val="center"/>
                </w:tcPr>
                <w:p>
                  <w:pPr>
                    <w:spacing w:line="240" w:lineRule="auto"/>
                    <w:jc w:val="center"/>
                    <w:rPr>
                      <w:b/>
                      <w:bCs/>
                      <w:color w:val="000000"/>
                      <w:sz w:val="21"/>
                      <w:u w:val="single"/>
                    </w:rPr>
                  </w:pPr>
                  <w:r>
                    <w:rPr>
                      <w:rFonts w:hint="eastAsia"/>
                      <w:b/>
                      <w:bCs/>
                      <w:color w:val="000000"/>
                      <w:sz w:val="21"/>
                      <w:u w:val="single"/>
                    </w:rPr>
                    <w:t>功能</w:t>
                  </w:r>
                </w:p>
              </w:tc>
              <w:tc>
                <w:tcPr>
                  <w:tcW w:w="1804" w:type="pct"/>
                  <w:vAlign w:val="center"/>
                </w:tcPr>
                <w:p>
                  <w:pPr>
                    <w:spacing w:line="240" w:lineRule="auto"/>
                    <w:jc w:val="center"/>
                    <w:rPr>
                      <w:b/>
                      <w:bCs/>
                      <w:color w:val="000000"/>
                      <w:sz w:val="21"/>
                      <w:u w:val="single"/>
                    </w:rPr>
                  </w:pPr>
                  <w:r>
                    <w:rPr>
                      <w:rFonts w:hint="eastAsia"/>
                      <w:b/>
                      <w:bCs/>
                      <w:color w:val="000000"/>
                      <w:sz w:val="21"/>
                      <w:u w:val="single"/>
                    </w:rPr>
                    <w:t>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pct"/>
                  <w:vAlign w:val="center"/>
                </w:tcPr>
                <w:p>
                  <w:pPr>
                    <w:spacing w:line="240" w:lineRule="auto"/>
                    <w:jc w:val="center"/>
                    <w:rPr>
                      <w:rFonts w:hint="eastAsia" w:eastAsia="宋体"/>
                      <w:b w:val="0"/>
                      <w:bCs w:val="0"/>
                      <w:color w:val="000000"/>
                      <w:sz w:val="21"/>
                      <w:u w:val="single"/>
                      <w:lang w:val="en-US" w:eastAsia="zh-CN"/>
                    </w:rPr>
                  </w:pPr>
                  <w:r>
                    <w:rPr>
                      <w:rFonts w:hint="eastAsia"/>
                      <w:b w:val="0"/>
                      <w:bCs w:val="0"/>
                      <w:color w:val="000000"/>
                      <w:sz w:val="21"/>
                      <w:u w:val="single"/>
                      <w:lang w:val="en-US" w:eastAsia="zh-CN"/>
                    </w:rPr>
                    <w:t>野山塘</w:t>
                  </w:r>
                </w:p>
              </w:tc>
              <w:tc>
                <w:tcPr>
                  <w:tcW w:w="596" w:type="pct"/>
                  <w:vAlign w:val="center"/>
                </w:tcPr>
                <w:p>
                  <w:pPr>
                    <w:spacing w:line="240" w:lineRule="auto"/>
                    <w:jc w:val="center"/>
                    <w:rPr>
                      <w:rFonts w:hint="default" w:eastAsia="宋体"/>
                      <w:b w:val="0"/>
                      <w:bCs w:val="0"/>
                      <w:color w:val="000000"/>
                      <w:sz w:val="21"/>
                      <w:u w:val="single"/>
                      <w:lang w:val="en-US" w:eastAsia="zh-CN"/>
                    </w:rPr>
                  </w:pPr>
                  <w:r>
                    <w:rPr>
                      <w:rFonts w:hint="eastAsia"/>
                      <w:b w:val="0"/>
                      <w:bCs w:val="0"/>
                      <w:color w:val="000000"/>
                      <w:sz w:val="21"/>
                      <w:u w:val="single"/>
                      <w:lang w:val="en-US" w:eastAsia="zh-CN"/>
                    </w:rPr>
                    <w:t>NW</w:t>
                  </w:r>
                </w:p>
              </w:tc>
              <w:tc>
                <w:tcPr>
                  <w:tcW w:w="605" w:type="pct"/>
                  <w:vAlign w:val="center"/>
                </w:tcPr>
                <w:p>
                  <w:pPr>
                    <w:spacing w:line="240" w:lineRule="auto"/>
                    <w:jc w:val="center"/>
                    <w:rPr>
                      <w:rFonts w:hint="default" w:eastAsia="宋体"/>
                      <w:b w:val="0"/>
                      <w:bCs w:val="0"/>
                      <w:color w:val="000000"/>
                      <w:sz w:val="21"/>
                      <w:u w:val="single"/>
                      <w:lang w:val="en-US" w:eastAsia="zh-CN"/>
                    </w:rPr>
                  </w:pPr>
                  <w:r>
                    <w:rPr>
                      <w:rFonts w:hint="eastAsia"/>
                      <w:b w:val="0"/>
                      <w:bCs w:val="0"/>
                      <w:color w:val="000000"/>
                      <w:sz w:val="21"/>
                      <w:u w:val="single"/>
                      <w:lang w:val="en-US" w:eastAsia="zh-CN"/>
                    </w:rPr>
                    <w:t>11m</w:t>
                  </w:r>
                </w:p>
              </w:tc>
              <w:tc>
                <w:tcPr>
                  <w:tcW w:w="505" w:type="pct"/>
                  <w:vAlign w:val="center"/>
                </w:tcPr>
                <w:p>
                  <w:pPr>
                    <w:spacing w:line="240" w:lineRule="auto"/>
                    <w:jc w:val="center"/>
                    <w:rPr>
                      <w:rFonts w:hint="default" w:eastAsia="宋体"/>
                      <w:b w:val="0"/>
                      <w:bCs w:val="0"/>
                      <w:color w:val="000000"/>
                      <w:sz w:val="21"/>
                      <w:u w:val="single"/>
                      <w:lang w:val="en-US" w:eastAsia="zh-CN"/>
                    </w:rPr>
                  </w:pPr>
                  <w:r>
                    <w:rPr>
                      <w:rFonts w:hint="eastAsia"/>
                      <w:b w:val="0"/>
                      <w:bCs w:val="0"/>
                      <w:color w:val="000000"/>
                      <w:sz w:val="21"/>
                      <w:u w:val="single"/>
                      <w:lang w:val="en-US" w:eastAsia="zh-CN"/>
                    </w:rPr>
                    <w:t>荒废池塘</w:t>
                  </w:r>
                </w:p>
              </w:tc>
              <w:tc>
                <w:tcPr>
                  <w:tcW w:w="1804" w:type="pct"/>
                  <w:vAlign w:val="center"/>
                </w:tcPr>
                <w:p>
                  <w:pPr>
                    <w:spacing w:line="240" w:lineRule="auto"/>
                    <w:jc w:val="center"/>
                    <w:rPr>
                      <w:rFonts w:hint="eastAsia" w:eastAsia="宋体"/>
                      <w:b w:val="0"/>
                      <w:bCs w:val="0"/>
                      <w:color w:val="000000"/>
                      <w:sz w:val="21"/>
                      <w:u w:val="single"/>
                      <w:lang w:val="en-US" w:eastAsia="zh-CN"/>
                    </w:rPr>
                  </w:pPr>
                  <w:r>
                    <w:rPr>
                      <w:rFonts w:hint="eastAsia"/>
                      <w:b w:val="0"/>
                      <w:bCs w:val="0"/>
                      <w:color w:val="000000"/>
                      <w:sz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pct"/>
                  <w:vAlign w:val="center"/>
                </w:tcPr>
                <w:p>
                  <w:pPr>
                    <w:spacing w:line="240" w:lineRule="auto"/>
                    <w:jc w:val="center"/>
                    <w:rPr>
                      <w:rFonts w:hint="eastAsia"/>
                      <w:b w:val="0"/>
                      <w:bCs w:val="0"/>
                      <w:color w:val="000000"/>
                      <w:sz w:val="21"/>
                      <w:u w:val="single"/>
                      <w:lang w:val="en-US" w:eastAsia="zh-CN"/>
                    </w:rPr>
                  </w:pPr>
                  <w:r>
                    <w:rPr>
                      <w:rFonts w:hint="eastAsia"/>
                      <w:color w:val="000000" w:themeColor="text1"/>
                      <w:sz w:val="21"/>
                      <w:u w:val="single"/>
                      <w:lang w:val="en-US" w:eastAsia="zh-CN"/>
                    </w:rPr>
                    <w:t>农灌渠</w:t>
                  </w:r>
                </w:p>
              </w:tc>
              <w:tc>
                <w:tcPr>
                  <w:tcW w:w="596" w:type="pct"/>
                  <w:vAlign w:val="center"/>
                </w:tcPr>
                <w:p>
                  <w:pPr>
                    <w:spacing w:line="240" w:lineRule="auto"/>
                    <w:jc w:val="center"/>
                    <w:rPr>
                      <w:rFonts w:hint="eastAsia"/>
                      <w:b w:val="0"/>
                      <w:bCs w:val="0"/>
                      <w:color w:val="000000"/>
                      <w:sz w:val="21"/>
                      <w:u w:val="single"/>
                      <w:lang w:val="en-US" w:eastAsia="zh-CN"/>
                    </w:rPr>
                  </w:pPr>
                  <w:r>
                    <w:rPr>
                      <w:rFonts w:hint="eastAsia"/>
                      <w:sz w:val="21"/>
                      <w:szCs w:val="21"/>
                      <w:u w:val="single"/>
                      <w:lang w:val="en-US" w:eastAsia="zh-CN"/>
                    </w:rPr>
                    <w:t>E</w:t>
                  </w:r>
                </w:p>
              </w:tc>
              <w:tc>
                <w:tcPr>
                  <w:tcW w:w="605" w:type="pct"/>
                  <w:vAlign w:val="center"/>
                </w:tcPr>
                <w:p>
                  <w:pPr>
                    <w:spacing w:line="240" w:lineRule="auto"/>
                    <w:jc w:val="center"/>
                    <w:rPr>
                      <w:rFonts w:hint="eastAsia"/>
                      <w:b w:val="0"/>
                      <w:bCs w:val="0"/>
                      <w:color w:val="000000"/>
                      <w:sz w:val="21"/>
                      <w:u w:val="single"/>
                      <w:lang w:val="en-US" w:eastAsia="zh-CN"/>
                    </w:rPr>
                  </w:pPr>
                  <w:r>
                    <w:rPr>
                      <w:rFonts w:hint="eastAsia"/>
                      <w:sz w:val="21"/>
                      <w:szCs w:val="21"/>
                      <w:u w:val="single"/>
                      <w:lang w:val="en-US" w:eastAsia="zh-CN"/>
                    </w:rPr>
                    <w:t>765m</w:t>
                  </w:r>
                </w:p>
              </w:tc>
              <w:tc>
                <w:tcPr>
                  <w:tcW w:w="505" w:type="pct"/>
                  <w:vAlign w:val="center"/>
                </w:tcPr>
                <w:p>
                  <w:pPr>
                    <w:spacing w:line="240" w:lineRule="auto"/>
                    <w:jc w:val="center"/>
                    <w:rPr>
                      <w:rFonts w:hint="eastAsia"/>
                      <w:b w:val="0"/>
                      <w:bCs w:val="0"/>
                      <w:color w:val="000000"/>
                      <w:sz w:val="21"/>
                      <w:u w:val="single"/>
                      <w:lang w:val="en-US" w:eastAsia="zh-CN"/>
                    </w:rPr>
                  </w:pPr>
                  <w:r>
                    <w:rPr>
                      <w:rFonts w:hint="eastAsia"/>
                      <w:color w:val="000000"/>
                      <w:sz w:val="21"/>
                      <w:u w:val="single"/>
                      <w:lang w:val="en-US" w:eastAsia="zh-CN"/>
                    </w:rPr>
                    <w:t>农用</w:t>
                  </w:r>
                </w:p>
              </w:tc>
              <w:tc>
                <w:tcPr>
                  <w:tcW w:w="1804" w:type="pct"/>
                  <w:vAlign w:val="center"/>
                </w:tcPr>
                <w:p>
                  <w:pPr>
                    <w:spacing w:line="240" w:lineRule="auto"/>
                    <w:jc w:val="center"/>
                    <w:rPr>
                      <w:rFonts w:hint="eastAsia"/>
                      <w:b w:val="0"/>
                      <w:bCs w:val="0"/>
                      <w:color w:val="000000"/>
                      <w:sz w:val="21"/>
                      <w:u w:val="single"/>
                      <w:lang w:val="en-US" w:eastAsia="zh-CN"/>
                    </w:rPr>
                  </w:pPr>
                  <w:r>
                    <w:rPr>
                      <w:rFonts w:hint="eastAsia"/>
                      <w:sz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pct"/>
                  <w:vAlign w:val="center"/>
                </w:tcPr>
                <w:p>
                  <w:pPr>
                    <w:spacing w:line="240" w:lineRule="auto"/>
                    <w:jc w:val="center"/>
                    <w:rPr>
                      <w:color w:val="000000"/>
                      <w:sz w:val="21"/>
                      <w:u w:val="single"/>
                    </w:rPr>
                  </w:pPr>
                  <w:r>
                    <w:rPr>
                      <w:rFonts w:hint="eastAsia"/>
                      <w:color w:val="000000" w:themeColor="text1"/>
                      <w:sz w:val="21"/>
                      <w:u w:val="single"/>
                    </w:rPr>
                    <w:t>新田河</w:t>
                  </w:r>
                </w:p>
              </w:tc>
              <w:tc>
                <w:tcPr>
                  <w:tcW w:w="596" w:type="pct"/>
                  <w:vAlign w:val="center"/>
                </w:tcPr>
                <w:p>
                  <w:pPr>
                    <w:spacing w:line="240" w:lineRule="auto"/>
                    <w:jc w:val="center"/>
                    <w:rPr>
                      <w:rFonts w:hint="default" w:eastAsia="宋体"/>
                      <w:color w:val="000000"/>
                      <w:sz w:val="21"/>
                      <w:u w:val="single"/>
                      <w:lang w:val="en-US" w:eastAsia="zh-CN"/>
                    </w:rPr>
                  </w:pPr>
                  <w:r>
                    <w:rPr>
                      <w:rFonts w:hint="eastAsia"/>
                      <w:sz w:val="21"/>
                      <w:szCs w:val="21"/>
                      <w:u w:val="single"/>
                      <w:lang w:val="en-US" w:eastAsia="zh-CN"/>
                    </w:rPr>
                    <w:t>SW</w:t>
                  </w:r>
                </w:p>
              </w:tc>
              <w:tc>
                <w:tcPr>
                  <w:tcW w:w="605" w:type="pct"/>
                  <w:vAlign w:val="center"/>
                </w:tcPr>
                <w:p>
                  <w:pPr>
                    <w:spacing w:line="240" w:lineRule="auto"/>
                    <w:jc w:val="center"/>
                    <w:rPr>
                      <w:color w:val="000000"/>
                      <w:sz w:val="21"/>
                      <w:u w:val="single"/>
                    </w:rPr>
                  </w:pPr>
                  <w:r>
                    <w:rPr>
                      <w:rFonts w:hint="eastAsia"/>
                      <w:sz w:val="21"/>
                      <w:szCs w:val="21"/>
                      <w:u w:val="single"/>
                    </w:rPr>
                    <w:t>3.5</w:t>
                  </w:r>
                  <w:r>
                    <w:rPr>
                      <w:color w:val="000000"/>
                      <w:kern w:val="0"/>
                      <w:sz w:val="21"/>
                      <w:szCs w:val="21"/>
                      <w:u w:val="single"/>
                    </w:rPr>
                    <w:t>km</w:t>
                  </w:r>
                </w:p>
              </w:tc>
              <w:tc>
                <w:tcPr>
                  <w:tcW w:w="505" w:type="pct"/>
                  <w:vAlign w:val="center"/>
                </w:tcPr>
                <w:p>
                  <w:pPr>
                    <w:spacing w:line="240" w:lineRule="auto"/>
                    <w:jc w:val="center"/>
                    <w:rPr>
                      <w:rFonts w:hint="default" w:eastAsia="宋体"/>
                      <w:color w:val="000000"/>
                      <w:sz w:val="21"/>
                      <w:u w:val="single"/>
                      <w:lang w:val="en-US" w:eastAsia="zh-CN"/>
                    </w:rPr>
                  </w:pPr>
                  <w:r>
                    <w:rPr>
                      <w:rFonts w:hint="eastAsia"/>
                      <w:color w:val="000000"/>
                      <w:sz w:val="21"/>
                      <w:u w:val="single"/>
                      <w:lang w:val="en-US" w:eastAsia="zh-CN"/>
                    </w:rPr>
                    <w:t>小河农用</w:t>
                  </w:r>
                </w:p>
              </w:tc>
              <w:tc>
                <w:tcPr>
                  <w:tcW w:w="1804" w:type="pct"/>
                  <w:vAlign w:val="center"/>
                </w:tcPr>
                <w:p>
                  <w:pPr>
                    <w:spacing w:line="240" w:lineRule="auto"/>
                    <w:jc w:val="center"/>
                    <w:rPr>
                      <w:color w:val="000000"/>
                      <w:sz w:val="21"/>
                      <w:u w:val="single"/>
                    </w:rPr>
                  </w:pPr>
                  <w:r>
                    <w:rPr>
                      <w:rFonts w:hint="eastAsia"/>
                      <w:sz w:val="21"/>
                      <w:u w:val="single"/>
                    </w:rPr>
                    <w:t>《地表水环境质量标准》（GB3838-2002）中的</w:t>
                  </w:r>
                  <w:r>
                    <w:rPr>
                      <w:rFonts w:hint="eastAsia"/>
                      <w:kern w:val="0"/>
                      <w:sz w:val="21"/>
                      <w:szCs w:val="21"/>
                      <w:u w:val="single"/>
                      <w:lang w:val="en-US" w:eastAsia="zh-CN"/>
                    </w:rPr>
                    <w:t>Ⅲ</w:t>
                  </w:r>
                  <w:r>
                    <w:rPr>
                      <w:rFonts w:hint="eastAsia"/>
                      <w:sz w:val="21"/>
                      <w:u w:val="single"/>
                    </w:rPr>
                    <w:t>类标</w:t>
                  </w:r>
                  <w:r>
                    <w:rPr>
                      <w:rFonts w:hint="eastAsia"/>
                      <w:color w:val="000000"/>
                      <w:sz w:val="21"/>
                      <w:u w:val="single"/>
                    </w:rPr>
                    <w:t>准</w:t>
                  </w:r>
                </w:p>
              </w:tc>
            </w:tr>
          </w:tbl>
          <w:p>
            <w:pPr>
              <w:pStyle w:val="4"/>
              <w:numPr>
                <w:ilvl w:val="1"/>
                <w:numId w:val="0"/>
              </w:numPr>
              <w:spacing w:beforeLines="0" w:afterLines="0"/>
            </w:pPr>
            <w:r>
              <w:rPr>
                <w:rFonts w:hint="eastAsia"/>
              </w:rPr>
              <w:t>5、生态环境保护目标</w:t>
            </w:r>
          </w:p>
          <w:p>
            <w:pPr>
              <w:pStyle w:val="266"/>
              <w:spacing w:line="358" w:lineRule="auto"/>
              <w:ind w:firstLine="480"/>
              <w:rPr>
                <w:lang w:eastAsia="zh-CN"/>
              </w:rPr>
            </w:pPr>
            <w:r>
              <w:rPr>
                <w:rFonts w:hint="eastAsia"/>
                <w:lang w:eastAsia="zh-CN"/>
              </w:rPr>
              <w:t>本项目位于永州市新田县大坪塘镇龙溪村，主要生态保护目标为周边的农田、林地，无自然保护区、风景名胜区等生态保护目标。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456" w:type="dxa"/>
            <w:tcMar>
              <w:left w:w="28" w:type="dxa"/>
              <w:right w:w="28" w:type="dxa"/>
            </w:tcMar>
            <w:vAlign w:val="center"/>
          </w:tcPr>
          <w:p>
            <w:pPr>
              <w:spacing w:line="240" w:lineRule="auto"/>
            </w:pPr>
            <w:r>
              <w:t>污染物排放控制标准</w:t>
            </w:r>
          </w:p>
        </w:tc>
        <w:tc>
          <w:tcPr>
            <w:tcW w:w="8425" w:type="dxa"/>
            <w:vAlign w:val="center"/>
          </w:tcPr>
          <w:p>
            <w:pPr>
              <w:pStyle w:val="4"/>
              <w:numPr>
                <w:ilvl w:val="1"/>
                <w:numId w:val="0"/>
              </w:numPr>
              <w:spacing w:beforeLines="0" w:afterLines="0"/>
            </w:pPr>
            <w:r>
              <w:rPr>
                <w:rFonts w:hint="eastAsia"/>
              </w:rPr>
              <w:t>1、废水</w:t>
            </w:r>
          </w:p>
          <w:p>
            <w:pPr>
              <w:ind w:firstLine="472" w:firstLineChars="200"/>
              <w:rPr>
                <w:spacing w:val="-2"/>
              </w:rPr>
            </w:pPr>
            <w:r>
              <w:rPr>
                <w:rFonts w:hint="eastAsia"/>
                <w:spacing w:val="-2"/>
              </w:rPr>
              <w:t>本牛蛙蝌蚪期项目养殖水经净化沉淀池处理后，回用于养殖进入环境水。幼蛙及中蛙、大蛙养殖水经净化沉淀池处理后达到《湖南省水产养殖尾水综合排放标准》（DB43/1752-2020）二级标准，其中化学需氧量、五日生化需氧量参照执行《淡水池塘养殖排放要求》（SC/T9101-2007）中二级标准</w:t>
            </w:r>
            <w:r>
              <w:rPr>
                <w:rStyle w:val="50"/>
                <w:rFonts w:hint="eastAsia"/>
                <w:kern w:val="0"/>
                <w:szCs w:val="20"/>
                <w:lang w:eastAsia="zh-CN"/>
              </w:rPr>
              <w:t>，</w:t>
            </w:r>
            <w:r>
              <w:rPr>
                <w:rFonts w:hint="eastAsia"/>
                <w:spacing w:val="-2"/>
              </w:rPr>
              <w:t>尾水用于周边果园灌溉。</w:t>
            </w:r>
          </w:p>
          <w:p>
            <w:pPr>
              <w:tabs>
                <w:tab w:val="left" w:pos="1021"/>
              </w:tabs>
              <w:spacing w:line="240" w:lineRule="auto"/>
              <w:jc w:val="center"/>
              <w:rPr>
                <w:spacing w:val="-2"/>
              </w:rPr>
            </w:pPr>
            <w:r>
              <w:rPr>
                <w:rFonts w:hAnsi="宋体"/>
                <w:b/>
              </w:rPr>
              <w:t>表</w:t>
            </w:r>
            <w:r>
              <w:rPr>
                <w:rFonts w:hint="eastAsia" w:hAnsi="宋体"/>
                <w:b/>
              </w:rPr>
              <w:t>3-4废水</w:t>
            </w:r>
            <w:r>
              <w:rPr>
                <w:rFonts w:hAnsi="宋体"/>
                <w:b/>
              </w:rPr>
              <w:t>评价标准</w:t>
            </w:r>
            <w:r>
              <w:rPr>
                <w:rFonts w:hint="eastAsia" w:hAnsi="宋体"/>
                <w:b/>
              </w:rPr>
              <w:t xml:space="preserve">   </w:t>
            </w:r>
            <w:r>
              <w:rPr>
                <w:rFonts w:hAnsi="宋体"/>
                <w:b/>
              </w:rPr>
              <w:t>单位：</w:t>
            </w:r>
            <w:r>
              <w:rPr>
                <w:rFonts w:hint="eastAsia" w:hAnsi="宋体"/>
                <w:b/>
              </w:rPr>
              <w:t>mg/L</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540"/>
              <w:gridCol w:w="612"/>
              <w:gridCol w:w="706"/>
              <w:gridCol w:w="660"/>
              <w:gridCol w:w="526"/>
              <w:gridCol w:w="526"/>
              <w:gridCol w:w="478"/>
              <w:gridCol w:w="530"/>
              <w:gridCol w:w="3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pPr>
                    <w:spacing w:line="240" w:lineRule="auto"/>
                    <w:jc w:val="center"/>
                    <w:rPr>
                      <w:sz w:val="21"/>
                      <w:szCs w:val="21"/>
                    </w:rPr>
                  </w:pPr>
                  <w:r>
                    <w:rPr>
                      <w:rFonts w:hint="eastAsia"/>
                      <w:sz w:val="21"/>
                      <w:szCs w:val="21"/>
                    </w:rPr>
                    <w:t>序号</w:t>
                  </w:r>
                </w:p>
              </w:tc>
              <w:tc>
                <w:tcPr>
                  <w:tcW w:w="540" w:type="dxa"/>
                  <w:vAlign w:val="center"/>
                </w:tcPr>
                <w:p>
                  <w:pPr>
                    <w:spacing w:line="240" w:lineRule="auto"/>
                    <w:jc w:val="center"/>
                    <w:rPr>
                      <w:sz w:val="21"/>
                      <w:szCs w:val="21"/>
                    </w:rPr>
                  </w:pPr>
                  <w:r>
                    <w:rPr>
                      <w:rFonts w:hint="eastAsia"/>
                      <w:sz w:val="21"/>
                      <w:szCs w:val="21"/>
                    </w:rPr>
                    <w:t>PH</w:t>
                  </w:r>
                </w:p>
              </w:tc>
              <w:tc>
                <w:tcPr>
                  <w:tcW w:w="640" w:type="dxa"/>
                  <w:vAlign w:val="center"/>
                </w:tcPr>
                <w:p>
                  <w:pPr>
                    <w:spacing w:line="240" w:lineRule="auto"/>
                    <w:jc w:val="center"/>
                    <w:rPr>
                      <w:sz w:val="21"/>
                      <w:szCs w:val="21"/>
                    </w:rPr>
                  </w:pPr>
                  <w:r>
                    <w:rPr>
                      <w:rFonts w:hint="eastAsia"/>
                      <w:sz w:val="21"/>
                      <w:szCs w:val="21"/>
                    </w:rPr>
                    <w:t>化学需氧量</w:t>
                  </w:r>
                </w:p>
              </w:tc>
              <w:tc>
                <w:tcPr>
                  <w:tcW w:w="747" w:type="dxa"/>
                  <w:vAlign w:val="center"/>
                </w:tcPr>
                <w:p>
                  <w:pPr>
                    <w:spacing w:line="240" w:lineRule="auto"/>
                    <w:jc w:val="center"/>
                    <w:rPr>
                      <w:sz w:val="21"/>
                      <w:szCs w:val="21"/>
                    </w:rPr>
                  </w:pPr>
                  <w:r>
                    <w:rPr>
                      <w:rFonts w:hint="eastAsia"/>
                      <w:sz w:val="21"/>
                      <w:szCs w:val="21"/>
                    </w:rPr>
                    <w:t>五日生化需氧量</w:t>
                  </w:r>
                </w:p>
              </w:tc>
              <w:tc>
                <w:tcPr>
                  <w:tcW w:w="694" w:type="dxa"/>
                  <w:vAlign w:val="center"/>
                </w:tcPr>
                <w:p>
                  <w:pPr>
                    <w:spacing w:line="240" w:lineRule="auto"/>
                    <w:jc w:val="center"/>
                    <w:rPr>
                      <w:sz w:val="21"/>
                      <w:szCs w:val="21"/>
                    </w:rPr>
                  </w:pPr>
                  <w:r>
                    <w:rPr>
                      <w:rFonts w:hint="eastAsia"/>
                      <w:sz w:val="21"/>
                      <w:szCs w:val="21"/>
                    </w:rPr>
                    <w:t>高</w:t>
                  </w:r>
                  <w:r>
                    <w:rPr>
                      <w:rFonts w:hint="eastAsia"/>
                      <w:sz w:val="21"/>
                      <w:szCs w:val="21"/>
                      <w:lang w:val="en-US" w:eastAsia="zh-CN"/>
                    </w:rPr>
                    <w:t>锰</w:t>
                  </w:r>
                  <w:r>
                    <w:rPr>
                      <w:rFonts w:hint="eastAsia"/>
                      <w:sz w:val="21"/>
                      <w:szCs w:val="21"/>
                    </w:rPr>
                    <w:t>酸盐指数</w:t>
                  </w:r>
                </w:p>
              </w:tc>
              <w:tc>
                <w:tcPr>
                  <w:tcW w:w="533" w:type="dxa"/>
                  <w:vAlign w:val="center"/>
                </w:tcPr>
                <w:p>
                  <w:pPr>
                    <w:spacing w:line="240" w:lineRule="auto"/>
                    <w:jc w:val="center"/>
                    <w:rPr>
                      <w:sz w:val="21"/>
                      <w:szCs w:val="21"/>
                    </w:rPr>
                  </w:pPr>
                  <w:r>
                    <w:rPr>
                      <w:rFonts w:hint="eastAsia"/>
                      <w:sz w:val="21"/>
                      <w:szCs w:val="21"/>
                    </w:rPr>
                    <w:t>总磷</w:t>
                  </w:r>
                </w:p>
              </w:tc>
              <w:tc>
                <w:tcPr>
                  <w:tcW w:w="533" w:type="dxa"/>
                  <w:vAlign w:val="center"/>
                </w:tcPr>
                <w:p>
                  <w:pPr>
                    <w:spacing w:line="240" w:lineRule="auto"/>
                    <w:jc w:val="center"/>
                    <w:rPr>
                      <w:sz w:val="21"/>
                      <w:szCs w:val="21"/>
                    </w:rPr>
                  </w:pPr>
                  <w:r>
                    <w:rPr>
                      <w:rFonts w:hint="eastAsia"/>
                      <w:sz w:val="21"/>
                      <w:szCs w:val="21"/>
                    </w:rPr>
                    <w:t>总氮</w:t>
                  </w:r>
                </w:p>
              </w:tc>
              <w:tc>
                <w:tcPr>
                  <w:tcW w:w="486" w:type="dxa"/>
                  <w:vAlign w:val="center"/>
                </w:tcPr>
                <w:p>
                  <w:pPr>
                    <w:spacing w:line="240" w:lineRule="auto"/>
                    <w:jc w:val="center"/>
                    <w:rPr>
                      <w:sz w:val="21"/>
                      <w:szCs w:val="21"/>
                    </w:rPr>
                  </w:pPr>
                  <w:r>
                    <w:rPr>
                      <w:rFonts w:hint="eastAsia"/>
                      <w:sz w:val="21"/>
                      <w:szCs w:val="21"/>
                    </w:rPr>
                    <w:t>氨氮</w:t>
                  </w:r>
                </w:p>
              </w:tc>
              <w:tc>
                <w:tcPr>
                  <w:tcW w:w="545" w:type="dxa"/>
                  <w:vAlign w:val="center"/>
                </w:tcPr>
                <w:p>
                  <w:pPr>
                    <w:spacing w:line="240" w:lineRule="auto"/>
                    <w:jc w:val="center"/>
                    <w:rPr>
                      <w:sz w:val="21"/>
                      <w:szCs w:val="21"/>
                    </w:rPr>
                  </w:pPr>
                  <w:r>
                    <w:rPr>
                      <w:rFonts w:hint="eastAsia"/>
                      <w:sz w:val="21"/>
                      <w:szCs w:val="21"/>
                    </w:rPr>
                    <w:t>悬浮物</w:t>
                  </w:r>
                </w:p>
              </w:tc>
              <w:tc>
                <w:tcPr>
                  <w:tcW w:w="3307" w:type="dxa"/>
                  <w:vAlign w:val="center"/>
                </w:tcPr>
                <w:p>
                  <w:pPr>
                    <w:spacing w:line="240" w:lineRule="auto"/>
                    <w:jc w:val="center"/>
                    <w:rPr>
                      <w:sz w:val="21"/>
                      <w:szCs w:val="21"/>
                    </w:rPr>
                  </w:pPr>
                  <w:r>
                    <w:rPr>
                      <w:rFonts w:hint="eastAsia"/>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pPr>
                    <w:spacing w:line="240" w:lineRule="auto"/>
                    <w:jc w:val="center"/>
                    <w:rPr>
                      <w:sz w:val="21"/>
                      <w:szCs w:val="21"/>
                    </w:rPr>
                  </w:pPr>
                  <w:r>
                    <w:rPr>
                      <w:rFonts w:hint="eastAsia"/>
                      <w:sz w:val="21"/>
                      <w:szCs w:val="21"/>
                    </w:rPr>
                    <w:t>1</w:t>
                  </w:r>
                </w:p>
              </w:tc>
              <w:tc>
                <w:tcPr>
                  <w:tcW w:w="540" w:type="dxa"/>
                  <w:vAlign w:val="center"/>
                </w:tcPr>
                <w:p>
                  <w:pPr>
                    <w:spacing w:line="240" w:lineRule="auto"/>
                    <w:jc w:val="center"/>
                    <w:rPr>
                      <w:sz w:val="21"/>
                      <w:szCs w:val="21"/>
                    </w:rPr>
                  </w:pPr>
                  <w:r>
                    <w:rPr>
                      <w:rFonts w:hint="eastAsia"/>
                      <w:sz w:val="21"/>
                      <w:szCs w:val="21"/>
                    </w:rPr>
                    <w:t>6~9</w:t>
                  </w:r>
                </w:p>
              </w:tc>
              <w:tc>
                <w:tcPr>
                  <w:tcW w:w="640" w:type="dxa"/>
                  <w:vAlign w:val="center"/>
                </w:tcPr>
                <w:p>
                  <w:pPr>
                    <w:spacing w:line="240" w:lineRule="auto"/>
                    <w:jc w:val="center"/>
                    <w:rPr>
                      <w:sz w:val="21"/>
                      <w:szCs w:val="21"/>
                    </w:rPr>
                  </w:pPr>
                  <w:r>
                    <w:rPr>
                      <w:rFonts w:hint="eastAsia"/>
                      <w:sz w:val="21"/>
                      <w:szCs w:val="21"/>
                    </w:rPr>
                    <w:t>/</w:t>
                  </w:r>
                </w:p>
              </w:tc>
              <w:tc>
                <w:tcPr>
                  <w:tcW w:w="747" w:type="dxa"/>
                  <w:vAlign w:val="center"/>
                </w:tcPr>
                <w:p>
                  <w:pPr>
                    <w:spacing w:line="240" w:lineRule="auto"/>
                    <w:jc w:val="center"/>
                    <w:rPr>
                      <w:sz w:val="21"/>
                      <w:szCs w:val="21"/>
                    </w:rPr>
                  </w:pPr>
                  <w:r>
                    <w:rPr>
                      <w:rFonts w:hint="eastAsia"/>
                      <w:sz w:val="21"/>
                      <w:szCs w:val="21"/>
                    </w:rPr>
                    <w:t>/</w:t>
                  </w:r>
                </w:p>
              </w:tc>
              <w:tc>
                <w:tcPr>
                  <w:tcW w:w="694" w:type="dxa"/>
                  <w:vAlign w:val="center"/>
                </w:tcPr>
                <w:p>
                  <w:pPr>
                    <w:spacing w:line="240" w:lineRule="auto"/>
                    <w:jc w:val="center"/>
                    <w:rPr>
                      <w:sz w:val="21"/>
                      <w:szCs w:val="21"/>
                    </w:rPr>
                  </w:pPr>
                  <w:r>
                    <w:rPr>
                      <w:rFonts w:hint="eastAsia"/>
                      <w:sz w:val="21"/>
                      <w:szCs w:val="21"/>
                    </w:rPr>
                    <w:t>≤25</w:t>
                  </w:r>
                </w:p>
              </w:tc>
              <w:tc>
                <w:tcPr>
                  <w:tcW w:w="533" w:type="dxa"/>
                  <w:vAlign w:val="center"/>
                </w:tcPr>
                <w:p>
                  <w:pPr>
                    <w:spacing w:line="240" w:lineRule="auto"/>
                    <w:jc w:val="center"/>
                    <w:rPr>
                      <w:sz w:val="21"/>
                      <w:szCs w:val="21"/>
                    </w:rPr>
                  </w:pPr>
                  <w:r>
                    <w:rPr>
                      <w:rFonts w:hint="eastAsia"/>
                      <w:sz w:val="21"/>
                      <w:szCs w:val="21"/>
                    </w:rPr>
                    <w:t>≤0.8</w:t>
                  </w:r>
                </w:p>
              </w:tc>
              <w:tc>
                <w:tcPr>
                  <w:tcW w:w="533" w:type="dxa"/>
                  <w:vAlign w:val="center"/>
                </w:tcPr>
                <w:p>
                  <w:pPr>
                    <w:spacing w:line="240" w:lineRule="auto"/>
                    <w:jc w:val="center"/>
                    <w:rPr>
                      <w:sz w:val="21"/>
                      <w:szCs w:val="21"/>
                    </w:rPr>
                  </w:pPr>
                  <w:r>
                    <w:rPr>
                      <w:rFonts w:hint="eastAsia"/>
                      <w:sz w:val="21"/>
                      <w:szCs w:val="21"/>
                    </w:rPr>
                    <w:t>≤5.0</w:t>
                  </w:r>
                </w:p>
              </w:tc>
              <w:tc>
                <w:tcPr>
                  <w:tcW w:w="486" w:type="dxa"/>
                  <w:vAlign w:val="center"/>
                </w:tcPr>
                <w:p>
                  <w:pPr>
                    <w:spacing w:line="240" w:lineRule="auto"/>
                    <w:jc w:val="center"/>
                    <w:rPr>
                      <w:sz w:val="21"/>
                      <w:szCs w:val="21"/>
                    </w:rPr>
                  </w:pPr>
                  <w:r>
                    <w:rPr>
                      <w:rFonts w:hint="eastAsia"/>
                      <w:sz w:val="21"/>
                      <w:szCs w:val="21"/>
                    </w:rPr>
                    <w:t>/</w:t>
                  </w:r>
                </w:p>
              </w:tc>
              <w:tc>
                <w:tcPr>
                  <w:tcW w:w="545" w:type="dxa"/>
                  <w:vAlign w:val="center"/>
                </w:tcPr>
                <w:p>
                  <w:pPr>
                    <w:spacing w:line="240" w:lineRule="auto"/>
                    <w:jc w:val="center"/>
                    <w:rPr>
                      <w:sz w:val="21"/>
                      <w:szCs w:val="21"/>
                    </w:rPr>
                  </w:pPr>
                  <w:r>
                    <w:rPr>
                      <w:rFonts w:hint="eastAsia"/>
                      <w:sz w:val="21"/>
                      <w:szCs w:val="21"/>
                    </w:rPr>
                    <w:t>≤90</w:t>
                  </w:r>
                </w:p>
              </w:tc>
              <w:tc>
                <w:tcPr>
                  <w:tcW w:w="3307" w:type="dxa"/>
                  <w:vAlign w:val="center"/>
                </w:tcPr>
                <w:p>
                  <w:pPr>
                    <w:spacing w:line="240" w:lineRule="auto"/>
                    <w:jc w:val="center"/>
                    <w:rPr>
                      <w:sz w:val="21"/>
                      <w:szCs w:val="21"/>
                    </w:rPr>
                  </w:pPr>
                  <w:r>
                    <w:rPr>
                      <w:rFonts w:hint="eastAsia"/>
                      <w:spacing w:val="-2"/>
                    </w:rPr>
                    <w:t>《</w:t>
                  </w:r>
                  <w:r>
                    <w:rPr>
                      <w:rFonts w:hint="eastAsia"/>
                      <w:spacing w:val="-2"/>
                      <w:sz w:val="21"/>
                      <w:szCs w:val="21"/>
                    </w:rPr>
                    <w:t>湖南省水产养殖尾水综合排放标准》（DB43/1752-2020）二级标准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vAlign w:val="center"/>
                </w:tcPr>
                <w:p>
                  <w:pPr>
                    <w:spacing w:line="240" w:lineRule="auto"/>
                    <w:jc w:val="center"/>
                    <w:rPr>
                      <w:sz w:val="21"/>
                      <w:szCs w:val="21"/>
                    </w:rPr>
                  </w:pPr>
                  <w:r>
                    <w:rPr>
                      <w:rFonts w:hint="eastAsia"/>
                      <w:sz w:val="21"/>
                      <w:szCs w:val="21"/>
                    </w:rPr>
                    <w:t>2</w:t>
                  </w:r>
                </w:p>
              </w:tc>
              <w:tc>
                <w:tcPr>
                  <w:tcW w:w="540" w:type="dxa"/>
                  <w:vAlign w:val="center"/>
                </w:tcPr>
                <w:p>
                  <w:pPr>
                    <w:spacing w:line="240" w:lineRule="auto"/>
                    <w:jc w:val="center"/>
                    <w:rPr>
                      <w:sz w:val="21"/>
                      <w:szCs w:val="21"/>
                    </w:rPr>
                  </w:pPr>
                  <w:r>
                    <w:rPr>
                      <w:rFonts w:hint="eastAsia"/>
                      <w:sz w:val="21"/>
                      <w:szCs w:val="21"/>
                    </w:rPr>
                    <w:t>/</w:t>
                  </w:r>
                </w:p>
              </w:tc>
              <w:tc>
                <w:tcPr>
                  <w:tcW w:w="640" w:type="dxa"/>
                  <w:vAlign w:val="center"/>
                </w:tcPr>
                <w:p>
                  <w:pPr>
                    <w:spacing w:line="240" w:lineRule="auto"/>
                    <w:jc w:val="center"/>
                    <w:rPr>
                      <w:sz w:val="21"/>
                      <w:szCs w:val="21"/>
                    </w:rPr>
                  </w:pPr>
                  <w:r>
                    <w:rPr>
                      <w:rFonts w:hint="eastAsia"/>
                      <w:sz w:val="21"/>
                      <w:szCs w:val="21"/>
                    </w:rPr>
                    <w:t>≤25</w:t>
                  </w:r>
                </w:p>
              </w:tc>
              <w:tc>
                <w:tcPr>
                  <w:tcW w:w="747" w:type="dxa"/>
                  <w:vAlign w:val="center"/>
                </w:tcPr>
                <w:p>
                  <w:pPr>
                    <w:spacing w:line="240" w:lineRule="auto"/>
                    <w:jc w:val="center"/>
                    <w:rPr>
                      <w:sz w:val="21"/>
                      <w:szCs w:val="21"/>
                    </w:rPr>
                  </w:pPr>
                  <w:r>
                    <w:rPr>
                      <w:rFonts w:hint="eastAsia"/>
                      <w:sz w:val="21"/>
                      <w:szCs w:val="21"/>
                    </w:rPr>
                    <w:t>≤15</w:t>
                  </w:r>
                </w:p>
              </w:tc>
              <w:tc>
                <w:tcPr>
                  <w:tcW w:w="694" w:type="dxa"/>
                  <w:vAlign w:val="center"/>
                </w:tcPr>
                <w:p>
                  <w:pPr>
                    <w:spacing w:line="240" w:lineRule="auto"/>
                    <w:jc w:val="center"/>
                    <w:rPr>
                      <w:sz w:val="21"/>
                      <w:szCs w:val="21"/>
                    </w:rPr>
                  </w:pPr>
                  <w:r>
                    <w:rPr>
                      <w:rFonts w:hint="eastAsia"/>
                      <w:sz w:val="21"/>
                      <w:szCs w:val="21"/>
                    </w:rPr>
                    <w:t>/</w:t>
                  </w:r>
                </w:p>
              </w:tc>
              <w:tc>
                <w:tcPr>
                  <w:tcW w:w="533" w:type="dxa"/>
                  <w:vAlign w:val="center"/>
                </w:tcPr>
                <w:p>
                  <w:pPr>
                    <w:spacing w:line="240" w:lineRule="auto"/>
                    <w:jc w:val="center"/>
                    <w:rPr>
                      <w:sz w:val="21"/>
                      <w:szCs w:val="21"/>
                    </w:rPr>
                  </w:pPr>
                  <w:r>
                    <w:rPr>
                      <w:rFonts w:hint="eastAsia"/>
                      <w:sz w:val="21"/>
                      <w:szCs w:val="21"/>
                    </w:rPr>
                    <w:t>/</w:t>
                  </w:r>
                </w:p>
              </w:tc>
              <w:tc>
                <w:tcPr>
                  <w:tcW w:w="533" w:type="dxa"/>
                  <w:vAlign w:val="center"/>
                </w:tcPr>
                <w:p>
                  <w:pPr>
                    <w:spacing w:line="240" w:lineRule="auto"/>
                    <w:jc w:val="center"/>
                    <w:rPr>
                      <w:sz w:val="21"/>
                      <w:szCs w:val="21"/>
                    </w:rPr>
                  </w:pPr>
                  <w:r>
                    <w:rPr>
                      <w:rFonts w:hint="eastAsia"/>
                      <w:sz w:val="21"/>
                      <w:szCs w:val="21"/>
                    </w:rPr>
                    <w:t>/</w:t>
                  </w:r>
                </w:p>
              </w:tc>
              <w:tc>
                <w:tcPr>
                  <w:tcW w:w="486" w:type="dxa"/>
                  <w:vAlign w:val="center"/>
                </w:tcPr>
                <w:p>
                  <w:pPr>
                    <w:spacing w:line="240" w:lineRule="auto"/>
                    <w:jc w:val="center"/>
                    <w:rPr>
                      <w:sz w:val="21"/>
                      <w:szCs w:val="21"/>
                    </w:rPr>
                  </w:pPr>
                  <w:r>
                    <w:rPr>
                      <w:rFonts w:hint="eastAsia"/>
                      <w:sz w:val="21"/>
                      <w:szCs w:val="21"/>
                    </w:rPr>
                    <w:t>/</w:t>
                  </w:r>
                </w:p>
              </w:tc>
              <w:tc>
                <w:tcPr>
                  <w:tcW w:w="545" w:type="dxa"/>
                  <w:vAlign w:val="center"/>
                </w:tcPr>
                <w:p>
                  <w:pPr>
                    <w:spacing w:line="240" w:lineRule="auto"/>
                    <w:jc w:val="center"/>
                    <w:rPr>
                      <w:sz w:val="21"/>
                      <w:szCs w:val="21"/>
                    </w:rPr>
                  </w:pPr>
                  <w:r>
                    <w:rPr>
                      <w:rFonts w:hint="eastAsia"/>
                      <w:sz w:val="21"/>
                      <w:szCs w:val="21"/>
                    </w:rPr>
                    <w:t>/</w:t>
                  </w:r>
                </w:p>
              </w:tc>
              <w:tc>
                <w:tcPr>
                  <w:tcW w:w="3307" w:type="dxa"/>
                  <w:vAlign w:val="center"/>
                </w:tcPr>
                <w:p>
                  <w:pPr>
                    <w:spacing w:line="240" w:lineRule="auto"/>
                    <w:jc w:val="center"/>
                    <w:rPr>
                      <w:sz w:val="21"/>
                      <w:szCs w:val="21"/>
                    </w:rPr>
                  </w:pPr>
                  <w:r>
                    <w:rPr>
                      <w:sz w:val="21"/>
                      <w:szCs w:val="21"/>
                    </w:rPr>
                    <w:t>《淡水池塘养殖排放要求》</w:t>
                  </w:r>
                </w:p>
                <w:p>
                  <w:pPr>
                    <w:spacing w:line="240" w:lineRule="auto"/>
                    <w:jc w:val="center"/>
                    <w:rPr>
                      <w:sz w:val="21"/>
                      <w:szCs w:val="21"/>
                    </w:rPr>
                  </w:pPr>
                  <w:r>
                    <w:rPr>
                      <w:sz w:val="21"/>
                      <w:szCs w:val="21"/>
                    </w:rPr>
                    <w:t>（SC/T9101-2007）中二级标准</w:t>
                  </w:r>
                </w:p>
              </w:tc>
            </w:tr>
          </w:tbl>
          <w:p>
            <w:pPr>
              <w:pStyle w:val="4"/>
              <w:numPr>
                <w:ilvl w:val="0"/>
                <w:numId w:val="0"/>
              </w:numPr>
              <w:spacing w:beforeLines="0" w:afterLines="0" w:line="240" w:lineRule="auto"/>
            </w:pPr>
            <w:r>
              <w:rPr>
                <w:rFonts w:hint="eastAsia"/>
              </w:rPr>
              <w:t>2、废气</w:t>
            </w:r>
          </w:p>
          <w:p>
            <w:pPr>
              <w:pStyle w:val="5"/>
              <w:spacing w:before="0"/>
              <w:ind w:firstLine="480" w:firstLineChars="200"/>
            </w:pPr>
            <w:r>
              <w:rPr>
                <w:rFonts w:hint="eastAsia"/>
              </w:rPr>
              <w:t>本项目运营期养殖过程中产生的腥恶臭执行《恶臭污染物排放标准》（GB14554-93）中</w:t>
            </w:r>
            <w:r>
              <w:rPr>
                <w:rFonts w:hint="eastAsia"/>
                <w:lang w:val="en-US" w:eastAsia="zh-CN"/>
              </w:rPr>
              <w:t>无组织排放</w:t>
            </w:r>
            <w:r>
              <w:rPr>
                <w:rFonts w:hint="eastAsia"/>
              </w:rPr>
              <w:t>标准，即臭气浓度最高容许浓度20（无量纲）</w:t>
            </w:r>
            <w:r>
              <w:rPr>
                <w:rFonts w:hint="eastAsia"/>
                <w:spacing w:val="-2"/>
              </w:rPr>
              <w:t>。</w:t>
            </w:r>
          </w:p>
          <w:p>
            <w:pPr>
              <w:pStyle w:val="4"/>
              <w:numPr>
                <w:ilvl w:val="1"/>
                <w:numId w:val="0"/>
              </w:numPr>
              <w:spacing w:beforeLines="0" w:afterLines="0" w:line="240" w:lineRule="auto"/>
            </w:pPr>
            <w:r>
              <w:rPr>
                <w:rFonts w:hint="eastAsia"/>
              </w:rPr>
              <w:t>3、噪声</w:t>
            </w:r>
          </w:p>
          <w:p>
            <w:pPr>
              <w:pStyle w:val="5"/>
              <w:spacing w:before="0"/>
              <w:ind w:firstLine="480"/>
            </w:pPr>
            <w:r>
              <w:rPr>
                <w:szCs w:val="24"/>
              </w:rPr>
              <w:t>项目运营期执行</w:t>
            </w:r>
            <w:r>
              <w:t>《工业企业厂界环境噪声排放标准》（GB12348-2008）</w:t>
            </w:r>
            <w:r>
              <w:rPr>
                <w:rFonts w:hint="eastAsia"/>
                <w:lang w:val="en-US" w:eastAsia="zh-CN"/>
              </w:rPr>
              <w:t>2</w:t>
            </w:r>
            <w:r>
              <w:t>类标准，具体指标见表3-</w:t>
            </w:r>
            <w:r>
              <w:rPr>
                <w:rFonts w:hint="eastAsia"/>
              </w:rPr>
              <w:t>7</w:t>
            </w:r>
            <w:r>
              <w:t>。</w:t>
            </w:r>
          </w:p>
          <w:p>
            <w:pPr>
              <w:tabs>
                <w:tab w:val="left" w:pos="1021"/>
              </w:tabs>
              <w:spacing w:line="240" w:lineRule="auto"/>
              <w:jc w:val="center"/>
              <w:rPr>
                <w:rFonts w:hAnsi="宋体"/>
                <w:b/>
              </w:rPr>
            </w:pPr>
            <w:r>
              <w:rPr>
                <w:rFonts w:hAnsi="宋体"/>
                <w:b/>
              </w:rPr>
              <w:t>表</w:t>
            </w:r>
            <w:r>
              <w:rPr>
                <w:rFonts w:hint="eastAsia" w:hAnsi="宋体"/>
                <w:b/>
              </w:rPr>
              <w:t>3-5</w:t>
            </w:r>
            <w:r>
              <w:rPr>
                <w:rFonts w:hAnsi="宋体"/>
                <w:b/>
              </w:rPr>
              <w:t>噪声评价标准</w:t>
            </w:r>
            <w:r>
              <w:rPr>
                <w:rFonts w:hint="eastAsia" w:hAnsi="宋体"/>
                <w:b/>
              </w:rPr>
              <w:t xml:space="preserve">   </w:t>
            </w:r>
            <w:r>
              <w:rPr>
                <w:rFonts w:hAnsi="宋体"/>
                <w:b/>
              </w:rPr>
              <w:t>单位：dB（A）</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3847"/>
              <w:gridCol w:w="1555"/>
              <w:gridCol w:w="15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2" w:type="pct"/>
                  <w:vMerge w:val="restart"/>
                  <w:vAlign w:val="center"/>
                </w:tcPr>
                <w:p>
                  <w:pPr>
                    <w:spacing w:line="240" w:lineRule="auto"/>
                    <w:jc w:val="center"/>
                    <w:rPr>
                      <w:b/>
                      <w:bCs/>
                      <w:sz w:val="21"/>
                    </w:rPr>
                  </w:pPr>
                  <w:r>
                    <w:rPr>
                      <w:b/>
                      <w:bCs/>
                      <w:sz w:val="21"/>
                    </w:rPr>
                    <w:t>阶段</w:t>
                  </w:r>
                </w:p>
              </w:tc>
              <w:tc>
                <w:tcPr>
                  <w:tcW w:w="2345" w:type="pct"/>
                  <w:vMerge w:val="restart"/>
                  <w:vAlign w:val="center"/>
                </w:tcPr>
                <w:p>
                  <w:pPr>
                    <w:spacing w:line="240" w:lineRule="auto"/>
                    <w:jc w:val="center"/>
                    <w:rPr>
                      <w:b/>
                      <w:bCs/>
                      <w:sz w:val="21"/>
                    </w:rPr>
                  </w:pPr>
                  <w:r>
                    <w:rPr>
                      <w:b/>
                      <w:bCs/>
                      <w:sz w:val="21"/>
                    </w:rPr>
                    <w:t>执行标准</w:t>
                  </w:r>
                </w:p>
              </w:tc>
              <w:tc>
                <w:tcPr>
                  <w:tcW w:w="1921" w:type="pct"/>
                  <w:gridSpan w:val="2"/>
                  <w:vAlign w:val="center"/>
                </w:tcPr>
                <w:p>
                  <w:pPr>
                    <w:spacing w:line="240" w:lineRule="auto"/>
                    <w:jc w:val="center"/>
                    <w:rPr>
                      <w:b/>
                      <w:bCs/>
                      <w:sz w:val="21"/>
                    </w:rPr>
                  </w:pPr>
                  <w:r>
                    <w:rPr>
                      <w:b/>
                      <w:bCs/>
                      <w:sz w:val="21"/>
                    </w:rPr>
                    <w:t>噪声限值dB（A）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2" w:type="pct"/>
                  <w:vMerge w:val="continue"/>
                  <w:vAlign w:val="center"/>
                </w:tcPr>
                <w:p>
                  <w:pPr>
                    <w:spacing w:line="240" w:lineRule="auto"/>
                    <w:jc w:val="center"/>
                    <w:rPr>
                      <w:b/>
                      <w:bCs/>
                      <w:sz w:val="21"/>
                    </w:rPr>
                  </w:pPr>
                </w:p>
              </w:tc>
              <w:tc>
                <w:tcPr>
                  <w:tcW w:w="2345" w:type="pct"/>
                  <w:vMerge w:val="continue"/>
                  <w:vAlign w:val="center"/>
                </w:tcPr>
                <w:p>
                  <w:pPr>
                    <w:spacing w:line="240" w:lineRule="auto"/>
                    <w:jc w:val="center"/>
                    <w:rPr>
                      <w:b/>
                      <w:bCs/>
                      <w:sz w:val="21"/>
                    </w:rPr>
                  </w:pPr>
                </w:p>
              </w:tc>
              <w:tc>
                <w:tcPr>
                  <w:tcW w:w="948" w:type="pct"/>
                  <w:vAlign w:val="center"/>
                </w:tcPr>
                <w:p>
                  <w:pPr>
                    <w:spacing w:line="240" w:lineRule="auto"/>
                    <w:jc w:val="center"/>
                    <w:rPr>
                      <w:b/>
                      <w:bCs/>
                      <w:sz w:val="21"/>
                    </w:rPr>
                  </w:pPr>
                  <w:r>
                    <w:rPr>
                      <w:b/>
                      <w:bCs/>
                      <w:sz w:val="21"/>
                    </w:rPr>
                    <w:t>昼间</w:t>
                  </w:r>
                </w:p>
              </w:tc>
              <w:tc>
                <w:tcPr>
                  <w:tcW w:w="973" w:type="pct"/>
                  <w:vAlign w:val="center"/>
                </w:tcPr>
                <w:p>
                  <w:pPr>
                    <w:spacing w:line="240" w:lineRule="auto"/>
                    <w:jc w:val="center"/>
                    <w:rPr>
                      <w:b/>
                      <w:bCs/>
                      <w:sz w:val="21"/>
                    </w:rPr>
                  </w:pPr>
                  <w:r>
                    <w:rPr>
                      <w:b/>
                      <w:bCs/>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2" w:type="pct"/>
                  <w:vAlign w:val="center"/>
                </w:tcPr>
                <w:p>
                  <w:pPr>
                    <w:spacing w:line="240" w:lineRule="auto"/>
                    <w:jc w:val="center"/>
                    <w:rPr>
                      <w:sz w:val="21"/>
                    </w:rPr>
                  </w:pPr>
                  <w:r>
                    <w:rPr>
                      <w:sz w:val="21"/>
                    </w:rPr>
                    <w:t>营运期</w:t>
                  </w:r>
                </w:p>
              </w:tc>
              <w:tc>
                <w:tcPr>
                  <w:tcW w:w="2345" w:type="pct"/>
                  <w:vAlign w:val="center"/>
                </w:tcPr>
                <w:p>
                  <w:pPr>
                    <w:spacing w:line="240" w:lineRule="auto"/>
                    <w:jc w:val="center"/>
                    <w:rPr>
                      <w:sz w:val="21"/>
                    </w:rPr>
                  </w:pPr>
                  <w:r>
                    <w:rPr>
                      <w:sz w:val="21"/>
                    </w:rPr>
                    <w:t>《工业企业厂界环境噪声排放标准》（GB12348-2008）中的</w:t>
                  </w:r>
                  <w:r>
                    <w:rPr>
                      <w:rFonts w:hint="eastAsia"/>
                      <w:sz w:val="21"/>
                      <w:lang w:val="en-US" w:eastAsia="zh-CN"/>
                    </w:rPr>
                    <w:t>2</w:t>
                  </w:r>
                  <w:r>
                    <w:rPr>
                      <w:sz w:val="21"/>
                    </w:rPr>
                    <w:t>类标准</w:t>
                  </w:r>
                </w:p>
              </w:tc>
              <w:tc>
                <w:tcPr>
                  <w:tcW w:w="948" w:type="pct"/>
                  <w:vAlign w:val="center"/>
                </w:tcPr>
                <w:p>
                  <w:pPr>
                    <w:spacing w:line="240" w:lineRule="auto"/>
                    <w:jc w:val="center"/>
                    <w:rPr>
                      <w:rFonts w:hint="default" w:eastAsia="宋体"/>
                      <w:sz w:val="21"/>
                      <w:lang w:val="en-US" w:eastAsia="zh-CN"/>
                    </w:rPr>
                  </w:pPr>
                  <w:r>
                    <w:rPr>
                      <w:rFonts w:hint="eastAsia"/>
                      <w:sz w:val="21"/>
                      <w:lang w:val="en-US" w:eastAsia="zh-CN"/>
                    </w:rPr>
                    <w:t>60</w:t>
                  </w:r>
                </w:p>
              </w:tc>
              <w:tc>
                <w:tcPr>
                  <w:tcW w:w="973" w:type="pct"/>
                  <w:vAlign w:val="center"/>
                </w:tcPr>
                <w:p>
                  <w:pPr>
                    <w:spacing w:line="240" w:lineRule="auto"/>
                    <w:jc w:val="center"/>
                    <w:rPr>
                      <w:rFonts w:hint="default" w:eastAsia="宋体"/>
                      <w:sz w:val="21"/>
                      <w:lang w:val="en-US" w:eastAsia="zh-CN"/>
                    </w:rPr>
                  </w:pPr>
                  <w:r>
                    <w:rPr>
                      <w:rFonts w:hint="eastAsia"/>
                      <w:sz w:val="21"/>
                      <w:lang w:val="en-US" w:eastAsia="zh-CN"/>
                    </w:rPr>
                    <w:t>50</w:t>
                  </w:r>
                </w:p>
              </w:tc>
            </w:tr>
          </w:tbl>
          <w:p>
            <w:pPr>
              <w:rPr>
                <w:b/>
                <w:bCs/>
                <w:kern w:val="0"/>
                <w:sz w:val="28"/>
                <w:szCs w:val="32"/>
              </w:rPr>
            </w:pPr>
            <w:r>
              <w:rPr>
                <w:rFonts w:hint="eastAsia"/>
                <w:b/>
                <w:bCs/>
                <w:kern w:val="0"/>
                <w:sz w:val="28"/>
                <w:szCs w:val="32"/>
              </w:rPr>
              <w:t>4、固废</w:t>
            </w:r>
          </w:p>
          <w:p>
            <w:pPr>
              <w:ind w:firstLine="480"/>
            </w:pPr>
            <w:r>
              <w:rPr>
                <w:rFonts w:hint="eastAsia"/>
              </w:rPr>
              <w:t>一般工业固体废物执行《一般工业固体废物贮存和填埋污染控制标准》（</w:t>
            </w:r>
            <w:r>
              <w:t>GB18599-2020</w:t>
            </w:r>
            <w:r>
              <w:rPr>
                <w:rFonts w:hint="eastAsia"/>
              </w:rPr>
              <w:t>）</w:t>
            </w:r>
            <w:r>
              <w:rPr>
                <w:rFonts w:hint="eastAsia"/>
                <w:lang w:eastAsia="zh-CN"/>
              </w:rPr>
              <w:t>，</w:t>
            </w:r>
            <w:r>
              <w:rPr>
                <w:rFonts w:hint="eastAsia"/>
                <w:lang w:val="en-US" w:eastAsia="zh-CN"/>
              </w:rPr>
              <w:t>危险废物厂内暂存执行《危险废物贮存污染控制标准》（GB18597-2023）相关要求</w:t>
            </w: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97" w:hRule="atLeast"/>
          <w:jc w:val="center"/>
        </w:trPr>
        <w:tc>
          <w:tcPr>
            <w:tcW w:w="456" w:type="dxa"/>
            <w:vAlign w:val="center"/>
          </w:tcPr>
          <w:p>
            <w:pPr>
              <w:spacing w:line="240" w:lineRule="auto"/>
            </w:pPr>
            <w:r>
              <w:t>总量</w:t>
            </w:r>
          </w:p>
          <w:p>
            <w:pPr>
              <w:spacing w:line="240" w:lineRule="auto"/>
            </w:pPr>
            <w:r>
              <w:t>控制</w:t>
            </w:r>
          </w:p>
          <w:p>
            <w:pPr>
              <w:spacing w:line="240" w:lineRule="auto"/>
            </w:pPr>
            <w:r>
              <w:t>指标</w:t>
            </w:r>
          </w:p>
        </w:tc>
        <w:tc>
          <w:tcPr>
            <w:tcW w:w="8425" w:type="dxa"/>
            <w:vAlign w:val="center"/>
          </w:tcPr>
          <w:p>
            <w:pPr>
              <w:widowControl/>
              <w:ind w:firstLine="480"/>
              <w:jc w:val="left"/>
              <w:rPr>
                <w:rFonts w:ascii="宋体" w:hAnsi="宋体" w:cs="宋体"/>
                <w:color w:val="000000"/>
                <w:kern w:val="0"/>
              </w:rPr>
            </w:pPr>
            <w:r>
              <w:rPr>
                <w:rFonts w:hint="eastAsia" w:ascii="宋体" w:hAnsi="宋体" w:cs="宋体"/>
                <w:color w:val="000000"/>
                <w:kern w:val="0"/>
              </w:rPr>
              <w:t>本项目养殖废水经</w:t>
            </w:r>
            <w:r>
              <w:rPr>
                <w:rFonts w:hint="eastAsia" w:ascii="宋体" w:hAnsi="宋体" w:cs="宋体"/>
                <w:color w:val="000000"/>
                <w:kern w:val="0"/>
                <w:lang w:val="en-US" w:eastAsia="zh-CN"/>
              </w:rPr>
              <w:t>三级</w:t>
            </w:r>
            <w:r>
              <w:rPr>
                <w:rFonts w:hint="eastAsia" w:ascii="宋体" w:hAnsi="宋体" w:cs="宋体"/>
                <w:color w:val="000000"/>
                <w:kern w:val="0"/>
              </w:rPr>
              <w:t>沉淀池处理</w:t>
            </w:r>
            <w:r>
              <w:rPr>
                <w:rFonts w:hint="eastAsia" w:ascii="宋体" w:hAnsi="宋体" w:cs="宋体"/>
                <w:color w:val="000000"/>
                <w:kern w:val="0"/>
                <w:lang w:val="en-US" w:eastAsia="zh-CN"/>
              </w:rPr>
              <w:t>+一体化污水处理设施处理</w:t>
            </w:r>
            <w:r>
              <w:rPr>
                <w:rFonts w:hint="eastAsia" w:ascii="宋体" w:hAnsi="宋体" w:cs="宋体"/>
                <w:color w:val="000000"/>
                <w:kern w:val="0"/>
              </w:rPr>
              <w:t>后回用于养殖</w:t>
            </w:r>
            <w:r>
              <w:rPr>
                <w:rFonts w:hint="eastAsia" w:ascii="宋体" w:hAnsi="宋体" w:cs="宋体"/>
                <w:color w:val="000000"/>
                <w:kern w:val="0"/>
                <w:lang w:eastAsia="zh-CN"/>
              </w:rPr>
              <w:t>，</w:t>
            </w:r>
            <w:r>
              <w:rPr>
                <w:rFonts w:hint="eastAsia" w:ascii="宋体" w:hAnsi="宋体" w:cs="宋体"/>
                <w:color w:val="000000"/>
                <w:kern w:val="0"/>
                <w:lang w:val="en-US" w:eastAsia="zh-CN"/>
              </w:rPr>
              <w:t>待一批次牛蛙养殖结束后，处理后的养殖尾水</w:t>
            </w:r>
            <w:r>
              <w:rPr>
                <w:rFonts w:hint="eastAsia" w:ascii="宋体" w:hAnsi="宋体" w:cs="宋体"/>
                <w:color w:val="000000"/>
                <w:kern w:val="0"/>
              </w:rPr>
              <w:t>用于</w:t>
            </w:r>
            <w:r>
              <w:rPr>
                <w:rFonts w:hint="eastAsia" w:ascii="宋体" w:hAnsi="宋体" w:cs="宋体"/>
                <w:color w:val="000000"/>
                <w:kern w:val="0"/>
                <w:lang w:val="en-US" w:eastAsia="zh-CN"/>
              </w:rPr>
              <w:t>周边农林果木灌溉</w:t>
            </w:r>
            <w:r>
              <w:rPr>
                <w:rFonts w:hint="eastAsia" w:ascii="宋体" w:hAnsi="宋体" w:cs="宋体"/>
                <w:color w:val="000000"/>
                <w:kern w:val="0"/>
              </w:rPr>
              <w:t>进入环境水体中；项目员工主要为附近村民，不在场内食宿，无生活污水产生。</w:t>
            </w:r>
          </w:p>
          <w:p>
            <w:pPr>
              <w:widowControl/>
              <w:ind w:firstLine="480"/>
              <w:jc w:val="left"/>
            </w:pPr>
            <w:r>
              <w:rPr>
                <w:rFonts w:hint="eastAsia" w:ascii="宋体" w:hAnsi="宋体" w:cs="宋体"/>
                <w:color w:val="000000"/>
                <w:kern w:val="0"/>
              </w:rPr>
              <w:t>故无需申请化学需氧量和氨氮总量指标。</w:t>
            </w:r>
          </w:p>
          <w:p>
            <w:pPr>
              <w:pStyle w:val="25"/>
              <w:ind w:firstLine="480"/>
            </w:pPr>
          </w:p>
        </w:tc>
      </w:tr>
      <w:bookmarkEnd w:id="21"/>
      <w:bookmarkEnd w:id="22"/>
      <w:bookmarkEnd w:id="23"/>
      <w:bookmarkEnd w:id="24"/>
      <w:bookmarkEnd w:id="25"/>
      <w:bookmarkEnd w:id="26"/>
    </w:tbl>
    <w:p>
      <w:pPr>
        <w:pStyle w:val="2"/>
        <w:jc w:val="center"/>
      </w:pPr>
      <w:r>
        <w:rPr>
          <w:rFonts w:ascii="黑体" w:hAnsi="黑体"/>
          <w:snapToGrid w:val="0"/>
          <w:sz w:val="36"/>
          <w:szCs w:val="36"/>
        </w:rPr>
        <w:br w:type="page"/>
      </w:r>
      <w:bookmarkStart w:id="32" w:name="_Toc21151"/>
      <w:bookmarkStart w:id="33" w:name="_Toc159582693"/>
      <w:bookmarkStart w:id="34" w:name="_Toc16578"/>
      <w:bookmarkStart w:id="35" w:name="_Toc68011913"/>
      <w:bookmarkStart w:id="36" w:name="_Toc12713"/>
      <w:bookmarkStart w:id="37" w:name="_Toc19752"/>
      <w:bookmarkStart w:id="38" w:name="_Toc17258"/>
      <w:bookmarkStart w:id="39" w:name="_Toc7218"/>
      <w:bookmarkStart w:id="40" w:name="_Toc14521"/>
      <w:r>
        <w:rPr>
          <w:rFonts w:hint="eastAsia"/>
        </w:rPr>
        <w:t>四、主要环境影响和保护措施</w:t>
      </w:r>
      <w:bookmarkEnd w:id="32"/>
      <w:bookmarkEnd w:id="33"/>
    </w:p>
    <w:tbl>
      <w:tblPr>
        <w:tblStyle w:val="42"/>
        <w:tblW w:w="51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
        <w:gridCol w:w="8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176" w:type="pct"/>
            <w:tcMar>
              <w:left w:w="28" w:type="dxa"/>
              <w:right w:w="28" w:type="dxa"/>
            </w:tcMar>
            <w:vAlign w:val="center"/>
          </w:tcPr>
          <w:p>
            <w:pPr>
              <w:spacing w:line="240" w:lineRule="auto"/>
            </w:pPr>
            <w:r>
              <w:rPr>
                <w:rFonts w:hint="eastAsia"/>
              </w:rPr>
              <w:t>施工期环境保护措施</w:t>
            </w:r>
          </w:p>
        </w:tc>
        <w:tc>
          <w:tcPr>
            <w:tcW w:w="4823" w:type="pct"/>
            <w:vAlign w:val="center"/>
          </w:tcPr>
          <w:p>
            <w:pPr>
              <w:ind w:firstLine="480" w:firstLineChars="200"/>
              <w:rPr>
                <w:rFonts w:hint="eastAsia" w:eastAsia="宋体"/>
                <w:lang w:eastAsia="zh-CN"/>
              </w:rPr>
            </w:pPr>
            <w:r>
              <w:rPr>
                <w:rFonts w:hint="eastAsia"/>
                <w:color w:val="000000"/>
                <w:kern w:val="0"/>
              </w:rPr>
              <w:t>本项目租赁</w:t>
            </w:r>
            <w:r>
              <w:rPr>
                <w:rFonts w:hint="eastAsia"/>
                <w:color w:val="000000"/>
                <w:kern w:val="0"/>
                <w:lang w:val="en-US" w:eastAsia="zh-CN"/>
              </w:rPr>
              <w:t>永州市新田县大坪塘龙溪村村民自由用地</w:t>
            </w:r>
            <w:r>
              <w:rPr>
                <w:rFonts w:hint="eastAsia"/>
                <w:color w:val="000000"/>
                <w:kern w:val="0"/>
              </w:rPr>
              <w:t>，</w:t>
            </w:r>
            <w:r>
              <w:rPr>
                <w:rFonts w:hint="eastAsia"/>
                <w:color w:val="000000"/>
                <w:kern w:val="0"/>
                <w:lang w:val="en-US" w:eastAsia="zh-CN"/>
              </w:rPr>
              <w:t>目前</w:t>
            </w:r>
            <w:r>
              <w:rPr>
                <w:rFonts w:hint="eastAsia"/>
                <w:color w:val="000000"/>
                <w:kern w:val="0"/>
              </w:rPr>
              <w:t>项目已建成，不涉及施工期</w:t>
            </w:r>
            <w:r>
              <w:rPr>
                <w:rFonts w:hint="eastAsia"/>
                <w:color w:val="000000"/>
                <w:kern w:val="0"/>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1" w:hRule="atLeast"/>
          <w:jc w:val="center"/>
        </w:trPr>
        <w:tc>
          <w:tcPr>
            <w:tcW w:w="176" w:type="pct"/>
            <w:tcMar>
              <w:left w:w="28" w:type="dxa"/>
              <w:right w:w="28" w:type="dxa"/>
            </w:tcMar>
            <w:vAlign w:val="center"/>
          </w:tcPr>
          <w:p>
            <w:pPr>
              <w:spacing w:line="240" w:lineRule="auto"/>
              <w:jc w:val="center"/>
            </w:pPr>
            <w:r>
              <w:rPr>
                <w:rFonts w:hint="eastAsia"/>
              </w:rPr>
              <w:t>运营期环境影响和保护措施</w:t>
            </w:r>
          </w:p>
        </w:tc>
        <w:tc>
          <w:tcPr>
            <w:tcW w:w="4823" w:type="pct"/>
            <w:vAlign w:val="center"/>
          </w:tcPr>
          <w:p>
            <w:pPr>
              <w:pStyle w:val="4"/>
              <w:widowControl/>
              <w:numPr>
                <w:ilvl w:val="0"/>
                <w:numId w:val="0"/>
              </w:numPr>
              <w:tabs>
                <w:tab w:val="left" w:pos="360"/>
                <w:tab w:val="left" w:pos="432"/>
              </w:tabs>
              <w:spacing w:beforeLines="0" w:afterLines="0" w:line="240" w:lineRule="auto"/>
              <w:rPr>
                <w:rFonts w:cs="宋体"/>
                <w:bCs w:val="0"/>
              </w:rPr>
            </w:pPr>
            <w:r>
              <w:rPr>
                <w:rFonts w:hint="eastAsia" w:cs="宋体"/>
                <w:bCs w:val="0"/>
              </w:rPr>
              <w:t>1、大气环境影响和防治措施</w:t>
            </w:r>
          </w:p>
          <w:p>
            <w:pPr>
              <w:ind w:firstLine="480" w:firstLineChars="200"/>
            </w:pPr>
            <w:r>
              <w:rPr>
                <w:rFonts w:hint="eastAsia"/>
              </w:rPr>
              <w:t>根据本项目工艺流程和产排污环节分析内容，本项目运营期废气主要是养殖 过程中产生的 G1 蛙腥恶臭 G2 三级过滤沉淀池清掏恶臭。本项目废气均为无组织排放。</w:t>
            </w:r>
          </w:p>
          <w:p>
            <w:pPr>
              <w:pStyle w:val="6"/>
              <w:spacing w:before="0" w:after="0" w:line="360" w:lineRule="auto"/>
              <w:ind w:right="0" w:firstLine="480" w:firstLineChars="200"/>
              <w:jc w:val="left"/>
              <w:rPr>
                <w:sz w:val="24"/>
                <w:szCs w:val="24"/>
              </w:rPr>
            </w:pPr>
            <w:r>
              <w:rPr>
                <w:sz w:val="24"/>
                <w:szCs w:val="24"/>
              </w:rPr>
              <w:t>本项目引用张欢等在《恶臭污染评价分级方法》中基于韦伯-费希纳公式所建立的臭气强度与臭气浓度的关系，将国外臭气强度6级法与我国《恶臭污染物排放标准》(GB14554- 1993)结合(详见下表)，该分级法以臭气强度的嗅觉感觉和实验经验为分级依据，对臭气浓度进行等级划分，提高了分级的准确程度</w:t>
            </w:r>
            <w:r>
              <w:rPr>
                <w:rFonts w:hint="eastAsia"/>
                <w:sz w:val="24"/>
                <w:szCs w:val="24"/>
              </w:rPr>
              <w:t>。</w:t>
            </w:r>
          </w:p>
          <w:p>
            <w:pPr>
              <w:pStyle w:val="6"/>
              <w:spacing w:before="0" w:after="0" w:line="240" w:lineRule="auto"/>
              <w:ind w:right="0"/>
              <w:jc w:val="center"/>
              <w:rPr>
                <w:b/>
                <w:bCs/>
                <w:sz w:val="21"/>
                <w:szCs w:val="21"/>
              </w:rPr>
            </w:pPr>
            <w:r>
              <w:rPr>
                <w:rFonts w:hint="eastAsia"/>
                <w:b/>
                <w:bCs/>
                <w:sz w:val="21"/>
                <w:szCs w:val="21"/>
              </w:rPr>
              <w:t>表 4-1  与臭气对应的臭气浓度限值</w:t>
            </w:r>
          </w:p>
          <w:tbl>
            <w:tblPr>
              <w:tblStyle w:val="4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4"/>
              <w:gridCol w:w="1175"/>
              <w:gridCol w:w="1179"/>
              <w:gridCol w:w="4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b/>
                      <w:bCs/>
                      <w:sz w:val="21"/>
                      <w:szCs w:val="21"/>
                    </w:rPr>
                  </w:pPr>
                  <w:r>
                    <w:rPr>
                      <w:rFonts w:hint="eastAsia"/>
                      <w:b/>
                      <w:bCs/>
                      <w:sz w:val="21"/>
                      <w:szCs w:val="21"/>
                    </w:rPr>
                    <w:t>分数</w:t>
                  </w:r>
                </w:p>
              </w:tc>
              <w:tc>
                <w:tcPr>
                  <w:tcW w:w="722" w:type="pct"/>
                  <w:vAlign w:val="center"/>
                </w:tcPr>
                <w:p>
                  <w:pPr>
                    <w:pStyle w:val="6"/>
                    <w:spacing w:before="0" w:after="0" w:line="240" w:lineRule="auto"/>
                    <w:ind w:right="0"/>
                    <w:jc w:val="center"/>
                    <w:rPr>
                      <w:b/>
                      <w:bCs/>
                      <w:sz w:val="21"/>
                      <w:szCs w:val="21"/>
                    </w:rPr>
                  </w:pPr>
                  <w:r>
                    <w:rPr>
                      <w:rFonts w:hint="eastAsia"/>
                      <w:b/>
                      <w:bCs/>
                      <w:sz w:val="21"/>
                      <w:szCs w:val="21"/>
                    </w:rPr>
                    <w:t>臭气强度（无量纲）</w:t>
                  </w:r>
                </w:p>
              </w:tc>
              <w:tc>
                <w:tcPr>
                  <w:tcW w:w="724" w:type="pct"/>
                  <w:vAlign w:val="center"/>
                </w:tcPr>
                <w:p>
                  <w:pPr>
                    <w:pStyle w:val="6"/>
                    <w:spacing w:before="0" w:after="0" w:line="240" w:lineRule="auto"/>
                    <w:ind w:right="0"/>
                    <w:jc w:val="center"/>
                    <w:rPr>
                      <w:b/>
                      <w:bCs/>
                      <w:sz w:val="21"/>
                      <w:szCs w:val="21"/>
                    </w:rPr>
                  </w:pPr>
                  <w:r>
                    <w:rPr>
                      <w:rFonts w:hint="eastAsia"/>
                      <w:b/>
                      <w:bCs/>
                      <w:sz w:val="21"/>
                      <w:szCs w:val="21"/>
                    </w:rPr>
                    <w:t>臭气浓度（无量纲）</w:t>
                  </w:r>
                </w:p>
              </w:tc>
              <w:tc>
                <w:tcPr>
                  <w:tcW w:w="3014" w:type="pct"/>
                  <w:vAlign w:val="center"/>
                </w:tcPr>
                <w:p>
                  <w:pPr>
                    <w:pStyle w:val="6"/>
                    <w:spacing w:before="0" w:after="0" w:line="240" w:lineRule="auto"/>
                    <w:ind w:right="0"/>
                    <w:jc w:val="center"/>
                    <w:rPr>
                      <w:b/>
                      <w:bCs/>
                      <w:sz w:val="21"/>
                      <w:szCs w:val="21"/>
                    </w:rPr>
                  </w:pPr>
                  <w:r>
                    <w:rPr>
                      <w:rFonts w:hint="eastAsia"/>
                      <w:b/>
                      <w:bCs/>
                      <w:sz w:val="21"/>
                      <w:szCs w:val="21"/>
                    </w:rPr>
                    <w:t>嗅觉感受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sz w:val="21"/>
                      <w:szCs w:val="21"/>
                    </w:rPr>
                  </w:pPr>
                  <w:r>
                    <w:rPr>
                      <w:rFonts w:hint="eastAsia"/>
                      <w:sz w:val="21"/>
                      <w:szCs w:val="21"/>
                    </w:rPr>
                    <w:t>0</w:t>
                  </w:r>
                </w:p>
              </w:tc>
              <w:tc>
                <w:tcPr>
                  <w:tcW w:w="722" w:type="pct"/>
                  <w:vAlign w:val="center"/>
                </w:tcPr>
                <w:p>
                  <w:pPr>
                    <w:pStyle w:val="6"/>
                    <w:spacing w:before="0" w:after="0" w:line="240" w:lineRule="auto"/>
                    <w:ind w:right="0"/>
                    <w:jc w:val="center"/>
                    <w:rPr>
                      <w:sz w:val="21"/>
                      <w:szCs w:val="21"/>
                    </w:rPr>
                  </w:pPr>
                  <w:r>
                    <w:rPr>
                      <w:rFonts w:hint="eastAsia"/>
                      <w:sz w:val="21"/>
                      <w:szCs w:val="21"/>
                    </w:rPr>
                    <w:t>0</w:t>
                  </w:r>
                </w:p>
              </w:tc>
              <w:tc>
                <w:tcPr>
                  <w:tcW w:w="724" w:type="pct"/>
                  <w:vAlign w:val="center"/>
                </w:tcPr>
                <w:p>
                  <w:pPr>
                    <w:pStyle w:val="6"/>
                    <w:spacing w:before="0" w:after="0" w:line="240" w:lineRule="auto"/>
                    <w:ind w:right="0"/>
                    <w:jc w:val="center"/>
                    <w:rPr>
                      <w:sz w:val="21"/>
                      <w:szCs w:val="21"/>
                    </w:rPr>
                  </w:pPr>
                  <w:r>
                    <w:rPr>
                      <w:rFonts w:hint="eastAsia"/>
                      <w:sz w:val="21"/>
                      <w:szCs w:val="21"/>
                    </w:rPr>
                    <w:t>10</w:t>
                  </w:r>
                </w:p>
              </w:tc>
              <w:tc>
                <w:tcPr>
                  <w:tcW w:w="3014" w:type="pct"/>
                  <w:vAlign w:val="center"/>
                </w:tcPr>
                <w:p>
                  <w:pPr>
                    <w:pStyle w:val="6"/>
                    <w:spacing w:before="0" w:after="0" w:line="240" w:lineRule="auto"/>
                    <w:ind w:right="0"/>
                    <w:jc w:val="center"/>
                    <w:rPr>
                      <w:sz w:val="21"/>
                      <w:szCs w:val="21"/>
                    </w:rPr>
                  </w:pPr>
                  <w:r>
                    <w:rPr>
                      <w:rFonts w:hint="eastAsia"/>
                      <w:sz w:val="21"/>
                      <w:szCs w:val="21"/>
                    </w:rPr>
                    <w:t>未闻到有任何气味，无任何反应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537" w:type="pct"/>
                  <w:vAlign w:val="center"/>
                </w:tcPr>
                <w:p>
                  <w:pPr>
                    <w:pStyle w:val="6"/>
                    <w:spacing w:before="0" w:after="0" w:line="240" w:lineRule="auto"/>
                    <w:ind w:right="0"/>
                    <w:jc w:val="center"/>
                    <w:rPr>
                      <w:sz w:val="21"/>
                      <w:szCs w:val="21"/>
                    </w:rPr>
                  </w:pPr>
                  <w:r>
                    <w:rPr>
                      <w:rFonts w:hint="eastAsia"/>
                      <w:sz w:val="21"/>
                      <w:szCs w:val="21"/>
                    </w:rPr>
                    <w:t>1</w:t>
                  </w:r>
                </w:p>
              </w:tc>
              <w:tc>
                <w:tcPr>
                  <w:tcW w:w="722" w:type="pct"/>
                  <w:vAlign w:val="center"/>
                </w:tcPr>
                <w:p>
                  <w:pPr>
                    <w:pStyle w:val="6"/>
                    <w:spacing w:before="0" w:after="0" w:line="240" w:lineRule="auto"/>
                    <w:ind w:right="0"/>
                    <w:jc w:val="center"/>
                    <w:rPr>
                      <w:sz w:val="21"/>
                      <w:szCs w:val="21"/>
                    </w:rPr>
                  </w:pPr>
                  <w:r>
                    <w:rPr>
                      <w:rFonts w:hint="eastAsia"/>
                      <w:sz w:val="21"/>
                      <w:szCs w:val="21"/>
                    </w:rPr>
                    <w:t>1</w:t>
                  </w:r>
                </w:p>
              </w:tc>
              <w:tc>
                <w:tcPr>
                  <w:tcW w:w="724" w:type="pct"/>
                  <w:vAlign w:val="center"/>
                </w:tcPr>
                <w:p>
                  <w:pPr>
                    <w:pStyle w:val="6"/>
                    <w:spacing w:before="0" w:after="0" w:line="240" w:lineRule="auto"/>
                    <w:ind w:right="0"/>
                    <w:jc w:val="center"/>
                    <w:rPr>
                      <w:sz w:val="21"/>
                      <w:szCs w:val="21"/>
                    </w:rPr>
                  </w:pPr>
                  <w:r>
                    <w:rPr>
                      <w:rFonts w:hint="eastAsia"/>
                      <w:sz w:val="21"/>
                      <w:szCs w:val="21"/>
                    </w:rPr>
                    <w:t>23</w:t>
                  </w:r>
                </w:p>
              </w:tc>
              <w:tc>
                <w:tcPr>
                  <w:tcW w:w="3014" w:type="pct"/>
                  <w:vAlign w:val="center"/>
                </w:tcPr>
                <w:p>
                  <w:pPr>
                    <w:pStyle w:val="6"/>
                    <w:spacing w:before="0" w:after="0" w:line="240" w:lineRule="auto"/>
                    <w:ind w:right="0"/>
                    <w:jc w:val="center"/>
                    <w:rPr>
                      <w:sz w:val="21"/>
                      <w:szCs w:val="21"/>
                    </w:rPr>
                  </w:pPr>
                  <w:r>
                    <w:rPr>
                      <w:sz w:val="21"/>
                      <w:szCs w:val="21"/>
                    </w:rPr>
                    <w:t>勉强能闻到有气味，但不宜辨认气味性质(感觉阀值)，</w:t>
                  </w:r>
                  <w:r>
                    <w:rPr>
                      <w:rFonts w:hint="eastAsia"/>
                      <w:sz w:val="21"/>
                      <w:szCs w:val="21"/>
                    </w:rPr>
                    <w:t>认</w:t>
                  </w:r>
                  <w:r>
                    <w:rPr>
                      <w:sz w:val="21"/>
                      <w:szCs w:val="21"/>
                    </w:rPr>
                    <w:t>为无所谓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sz w:val="21"/>
                      <w:szCs w:val="21"/>
                    </w:rPr>
                  </w:pPr>
                  <w:r>
                    <w:rPr>
                      <w:rFonts w:hint="eastAsia"/>
                      <w:sz w:val="21"/>
                      <w:szCs w:val="21"/>
                    </w:rPr>
                    <w:t>2</w:t>
                  </w:r>
                </w:p>
              </w:tc>
              <w:tc>
                <w:tcPr>
                  <w:tcW w:w="722" w:type="pct"/>
                  <w:vAlign w:val="center"/>
                </w:tcPr>
                <w:p>
                  <w:pPr>
                    <w:pStyle w:val="6"/>
                    <w:spacing w:before="0" w:after="0" w:line="240" w:lineRule="auto"/>
                    <w:ind w:right="0"/>
                    <w:jc w:val="center"/>
                    <w:rPr>
                      <w:sz w:val="21"/>
                      <w:szCs w:val="21"/>
                    </w:rPr>
                  </w:pPr>
                  <w:r>
                    <w:rPr>
                      <w:rFonts w:hint="eastAsia"/>
                      <w:sz w:val="21"/>
                      <w:szCs w:val="21"/>
                    </w:rPr>
                    <w:t>2</w:t>
                  </w:r>
                </w:p>
              </w:tc>
              <w:tc>
                <w:tcPr>
                  <w:tcW w:w="724" w:type="pct"/>
                  <w:vAlign w:val="center"/>
                </w:tcPr>
                <w:p>
                  <w:pPr>
                    <w:pStyle w:val="6"/>
                    <w:spacing w:before="0" w:after="0" w:line="240" w:lineRule="auto"/>
                    <w:ind w:right="0"/>
                    <w:jc w:val="center"/>
                    <w:rPr>
                      <w:sz w:val="21"/>
                      <w:szCs w:val="21"/>
                    </w:rPr>
                  </w:pPr>
                  <w:r>
                    <w:rPr>
                      <w:rFonts w:hint="eastAsia"/>
                      <w:sz w:val="21"/>
                      <w:szCs w:val="21"/>
                    </w:rPr>
                    <w:t>51</w:t>
                  </w:r>
                </w:p>
              </w:tc>
              <w:tc>
                <w:tcPr>
                  <w:tcW w:w="3014" w:type="pct"/>
                  <w:vAlign w:val="center"/>
                </w:tcPr>
                <w:p>
                  <w:pPr>
                    <w:pStyle w:val="6"/>
                    <w:spacing w:before="0" w:after="0" w:line="240" w:lineRule="auto"/>
                    <w:ind w:right="0"/>
                    <w:jc w:val="center"/>
                    <w:rPr>
                      <w:sz w:val="21"/>
                      <w:szCs w:val="21"/>
                    </w:rPr>
                  </w:pPr>
                  <w:r>
                    <w:rPr>
                      <w:sz w:val="21"/>
                      <w:szCs w:val="21"/>
                    </w:rPr>
                    <w:t>能闻到气味，且能辨认气味的性质(识别阀值)，但感到很正常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sz w:val="21"/>
                      <w:szCs w:val="21"/>
                    </w:rPr>
                  </w:pPr>
                  <w:r>
                    <w:rPr>
                      <w:rFonts w:hint="eastAsia"/>
                      <w:sz w:val="21"/>
                      <w:szCs w:val="21"/>
                    </w:rPr>
                    <w:t>3</w:t>
                  </w:r>
                </w:p>
              </w:tc>
              <w:tc>
                <w:tcPr>
                  <w:tcW w:w="722" w:type="pct"/>
                  <w:vAlign w:val="center"/>
                </w:tcPr>
                <w:p>
                  <w:pPr>
                    <w:pStyle w:val="6"/>
                    <w:spacing w:before="0" w:after="0" w:line="240" w:lineRule="auto"/>
                    <w:ind w:right="0"/>
                    <w:jc w:val="center"/>
                    <w:rPr>
                      <w:sz w:val="21"/>
                      <w:szCs w:val="21"/>
                    </w:rPr>
                  </w:pPr>
                  <w:r>
                    <w:rPr>
                      <w:rFonts w:hint="eastAsia"/>
                      <w:sz w:val="21"/>
                      <w:szCs w:val="21"/>
                    </w:rPr>
                    <w:t>3</w:t>
                  </w:r>
                </w:p>
              </w:tc>
              <w:tc>
                <w:tcPr>
                  <w:tcW w:w="724" w:type="pct"/>
                  <w:vAlign w:val="center"/>
                </w:tcPr>
                <w:p>
                  <w:pPr>
                    <w:pStyle w:val="6"/>
                    <w:spacing w:before="0" w:after="0" w:line="240" w:lineRule="auto"/>
                    <w:ind w:right="0"/>
                    <w:jc w:val="center"/>
                    <w:rPr>
                      <w:sz w:val="21"/>
                      <w:szCs w:val="21"/>
                    </w:rPr>
                  </w:pPr>
                  <w:r>
                    <w:rPr>
                      <w:rFonts w:hint="eastAsia"/>
                      <w:sz w:val="21"/>
                      <w:szCs w:val="21"/>
                    </w:rPr>
                    <w:t>117</w:t>
                  </w:r>
                </w:p>
              </w:tc>
              <w:tc>
                <w:tcPr>
                  <w:tcW w:w="3014" w:type="pct"/>
                  <w:vAlign w:val="center"/>
                </w:tcPr>
                <w:p>
                  <w:pPr>
                    <w:pStyle w:val="6"/>
                    <w:spacing w:before="0" w:after="0" w:line="240" w:lineRule="auto"/>
                    <w:ind w:right="0"/>
                    <w:jc w:val="center"/>
                    <w:rPr>
                      <w:sz w:val="21"/>
                      <w:szCs w:val="21"/>
                    </w:rPr>
                  </w:pPr>
                  <w:r>
                    <w:rPr>
                      <w:sz w:val="21"/>
                      <w:szCs w:val="21"/>
                    </w:rPr>
                    <w:t>很容易闻到气味，有所不快，但不反感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sz w:val="21"/>
                      <w:szCs w:val="21"/>
                    </w:rPr>
                  </w:pPr>
                  <w:r>
                    <w:rPr>
                      <w:rFonts w:hint="eastAsia"/>
                      <w:sz w:val="21"/>
                      <w:szCs w:val="21"/>
                    </w:rPr>
                    <w:t>4</w:t>
                  </w:r>
                </w:p>
              </w:tc>
              <w:tc>
                <w:tcPr>
                  <w:tcW w:w="722" w:type="pct"/>
                  <w:vAlign w:val="center"/>
                </w:tcPr>
                <w:p>
                  <w:pPr>
                    <w:pStyle w:val="6"/>
                    <w:spacing w:before="0" w:after="0" w:line="240" w:lineRule="auto"/>
                    <w:ind w:right="0"/>
                    <w:jc w:val="center"/>
                    <w:rPr>
                      <w:sz w:val="21"/>
                      <w:szCs w:val="21"/>
                    </w:rPr>
                  </w:pPr>
                  <w:r>
                    <w:rPr>
                      <w:rFonts w:hint="eastAsia"/>
                      <w:sz w:val="21"/>
                      <w:szCs w:val="21"/>
                    </w:rPr>
                    <w:t>4</w:t>
                  </w:r>
                </w:p>
              </w:tc>
              <w:tc>
                <w:tcPr>
                  <w:tcW w:w="724" w:type="pct"/>
                  <w:vAlign w:val="center"/>
                </w:tcPr>
                <w:p>
                  <w:pPr>
                    <w:pStyle w:val="6"/>
                    <w:spacing w:before="0" w:after="0" w:line="240" w:lineRule="auto"/>
                    <w:ind w:right="0"/>
                    <w:jc w:val="center"/>
                    <w:rPr>
                      <w:sz w:val="21"/>
                      <w:szCs w:val="21"/>
                    </w:rPr>
                  </w:pPr>
                  <w:r>
                    <w:rPr>
                      <w:rFonts w:hint="eastAsia"/>
                      <w:sz w:val="21"/>
                      <w:szCs w:val="21"/>
                    </w:rPr>
                    <w:t>265</w:t>
                  </w:r>
                </w:p>
              </w:tc>
              <w:tc>
                <w:tcPr>
                  <w:tcW w:w="3014" w:type="pct"/>
                  <w:vAlign w:val="center"/>
                </w:tcPr>
                <w:p>
                  <w:pPr>
                    <w:pStyle w:val="6"/>
                    <w:spacing w:before="0" w:after="0" w:line="240" w:lineRule="auto"/>
                    <w:ind w:right="0"/>
                    <w:jc w:val="center"/>
                    <w:rPr>
                      <w:sz w:val="21"/>
                      <w:szCs w:val="21"/>
                    </w:rPr>
                  </w:pPr>
                  <w:r>
                    <w:rPr>
                      <w:sz w:val="21"/>
                      <w:szCs w:val="21"/>
                    </w:rPr>
                    <w:t>有很强的气味，很反感，想离开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 w:type="pct"/>
                  <w:vAlign w:val="center"/>
                </w:tcPr>
                <w:p>
                  <w:pPr>
                    <w:pStyle w:val="6"/>
                    <w:spacing w:before="0" w:after="0" w:line="240" w:lineRule="auto"/>
                    <w:ind w:right="0"/>
                    <w:jc w:val="center"/>
                    <w:rPr>
                      <w:sz w:val="21"/>
                      <w:szCs w:val="21"/>
                    </w:rPr>
                  </w:pPr>
                  <w:r>
                    <w:rPr>
                      <w:rFonts w:hint="eastAsia"/>
                      <w:sz w:val="21"/>
                      <w:szCs w:val="21"/>
                    </w:rPr>
                    <w:t>5</w:t>
                  </w:r>
                </w:p>
              </w:tc>
              <w:tc>
                <w:tcPr>
                  <w:tcW w:w="722" w:type="pct"/>
                  <w:vAlign w:val="center"/>
                </w:tcPr>
                <w:p>
                  <w:pPr>
                    <w:pStyle w:val="6"/>
                    <w:spacing w:before="0" w:after="0" w:line="240" w:lineRule="auto"/>
                    <w:ind w:right="0"/>
                    <w:jc w:val="center"/>
                    <w:rPr>
                      <w:sz w:val="21"/>
                      <w:szCs w:val="21"/>
                    </w:rPr>
                  </w:pPr>
                  <w:r>
                    <w:rPr>
                      <w:rFonts w:hint="eastAsia"/>
                      <w:sz w:val="21"/>
                      <w:szCs w:val="21"/>
                    </w:rPr>
                    <w:t>5</w:t>
                  </w:r>
                </w:p>
              </w:tc>
              <w:tc>
                <w:tcPr>
                  <w:tcW w:w="724" w:type="pct"/>
                  <w:vAlign w:val="center"/>
                </w:tcPr>
                <w:p>
                  <w:pPr>
                    <w:pStyle w:val="6"/>
                    <w:spacing w:before="0" w:after="0" w:line="240" w:lineRule="auto"/>
                    <w:ind w:right="0"/>
                    <w:jc w:val="center"/>
                    <w:rPr>
                      <w:sz w:val="21"/>
                      <w:szCs w:val="21"/>
                    </w:rPr>
                  </w:pPr>
                  <w:r>
                    <w:rPr>
                      <w:rFonts w:hint="eastAsia"/>
                      <w:sz w:val="21"/>
                      <w:szCs w:val="21"/>
                    </w:rPr>
                    <w:t>600</w:t>
                  </w:r>
                </w:p>
              </w:tc>
              <w:tc>
                <w:tcPr>
                  <w:tcW w:w="3014" w:type="pct"/>
                  <w:vAlign w:val="center"/>
                </w:tcPr>
                <w:p>
                  <w:pPr>
                    <w:pStyle w:val="6"/>
                    <w:spacing w:before="0" w:after="0" w:line="240" w:lineRule="auto"/>
                    <w:ind w:right="0"/>
                    <w:jc w:val="center"/>
                    <w:rPr>
                      <w:sz w:val="21"/>
                      <w:szCs w:val="21"/>
                    </w:rPr>
                  </w:pPr>
                  <w:r>
                    <w:rPr>
                      <w:sz w:val="21"/>
                      <w:szCs w:val="21"/>
                    </w:rPr>
                    <w:t>有极强的气味，无法忍受，立即逃跑</w:t>
                  </w:r>
                </w:p>
              </w:tc>
            </w:tr>
          </w:tbl>
          <w:p>
            <w:pPr>
              <w:pStyle w:val="6"/>
              <w:spacing w:before="0" w:after="0" w:line="360" w:lineRule="auto"/>
              <w:ind w:right="0" w:firstLine="480" w:firstLineChars="200"/>
              <w:jc w:val="left"/>
              <w:rPr>
                <w:sz w:val="24"/>
                <w:szCs w:val="24"/>
              </w:rPr>
            </w:pPr>
            <w:r>
              <w:rPr>
                <w:sz w:val="24"/>
                <w:szCs w:val="24"/>
              </w:rPr>
              <w:t>类比同类型</w:t>
            </w:r>
            <w:r>
              <w:rPr>
                <w:rFonts w:hint="eastAsia"/>
                <w:sz w:val="24"/>
                <w:szCs w:val="24"/>
              </w:rPr>
              <w:t>牛蛙养殖</w:t>
            </w:r>
            <w:r>
              <w:rPr>
                <w:sz w:val="24"/>
                <w:szCs w:val="24"/>
              </w:rPr>
              <w:t>行业，项目在</w:t>
            </w:r>
            <w:r>
              <w:rPr>
                <w:rFonts w:hint="eastAsia"/>
                <w:sz w:val="24"/>
                <w:szCs w:val="24"/>
              </w:rPr>
              <w:t>养殖</w:t>
            </w:r>
            <w:r>
              <w:rPr>
                <w:sz w:val="24"/>
                <w:szCs w:val="24"/>
              </w:rPr>
              <w:t>时勉强能闻到有气味(恶臭气体)，但不宜辨认气味性质(感觉阀值)，</w:t>
            </w:r>
            <w:r>
              <w:rPr>
                <w:rFonts w:hint="eastAsia"/>
                <w:sz w:val="24"/>
                <w:szCs w:val="24"/>
              </w:rPr>
              <w:t>认</w:t>
            </w:r>
            <w:r>
              <w:rPr>
                <w:sz w:val="24"/>
                <w:szCs w:val="24"/>
              </w:rPr>
              <w:t>为无所谓。根据表4-1可知，本项目恶臭强度一般在0~1级，折合臭气浓度为10~23无量纲。外排无组织恶臭</w:t>
            </w:r>
            <w:r>
              <w:rPr>
                <w:rFonts w:hint="eastAsia"/>
                <w:sz w:val="24"/>
                <w:szCs w:val="24"/>
              </w:rPr>
              <w:t>基本</w:t>
            </w:r>
            <w:r>
              <w:rPr>
                <w:sz w:val="24"/>
                <w:szCs w:val="24"/>
              </w:rPr>
              <w:t>满足《恶臭污染物排放标准》(GB14554-93)二级标准中新扩改建标准及厂界标准限值，</w:t>
            </w:r>
            <w:r>
              <w:rPr>
                <w:rFonts w:hint="eastAsia"/>
                <w:sz w:val="24"/>
                <w:szCs w:val="24"/>
              </w:rPr>
              <w:t>本项目要求在进行养殖时通过池内水体保持流动状态，并且一发现有死蛙立即清捞，减少水体发臭现象；进行清掏时，加快清掏速度，且清掏后的</w:t>
            </w:r>
            <w:r>
              <w:rPr>
                <w:rFonts w:hint="eastAsia"/>
                <w:sz w:val="24"/>
                <w:szCs w:val="24"/>
                <w:lang w:val="en-US" w:eastAsia="zh-CN"/>
              </w:rPr>
              <w:t>污水处理污</w:t>
            </w:r>
            <w:r>
              <w:rPr>
                <w:rFonts w:hint="eastAsia"/>
                <w:sz w:val="24"/>
                <w:szCs w:val="24"/>
              </w:rPr>
              <w:t>泥不在厂内暂存，及时清运至附近林地，用于土壤改良。可减少恶臭气体对厂区及周围大气环境的影响，排放满足《恶臭污染物排放标准》（GB14554-93）表1中</w:t>
            </w:r>
            <w:r>
              <w:rPr>
                <w:rFonts w:hint="eastAsia"/>
                <w:sz w:val="24"/>
                <w:szCs w:val="24"/>
                <w:lang w:val="en-US" w:eastAsia="zh-CN"/>
              </w:rPr>
              <w:t>无组织排放控制标准</w:t>
            </w:r>
            <w:r>
              <w:rPr>
                <w:rFonts w:hint="eastAsia"/>
                <w:sz w:val="24"/>
                <w:szCs w:val="24"/>
              </w:rPr>
              <w:t>，对周围大气环境影响较小。</w:t>
            </w:r>
          </w:p>
          <w:p>
            <w:pPr>
              <w:pStyle w:val="4"/>
              <w:widowControl/>
              <w:numPr>
                <w:ilvl w:val="0"/>
                <w:numId w:val="0"/>
              </w:numPr>
              <w:tabs>
                <w:tab w:val="left" w:pos="360"/>
                <w:tab w:val="left" w:pos="432"/>
              </w:tabs>
              <w:spacing w:beforeLines="0" w:afterLines="0" w:line="240" w:lineRule="auto"/>
              <w:rPr>
                <w:rFonts w:cs="宋体"/>
                <w:bCs w:val="0"/>
              </w:rPr>
            </w:pPr>
            <w:r>
              <w:rPr>
                <w:rFonts w:cs="宋体"/>
                <w:bCs w:val="0"/>
              </w:rPr>
              <w:t>2</w:t>
            </w:r>
            <w:r>
              <w:rPr>
                <w:rFonts w:hint="eastAsia" w:cs="宋体"/>
                <w:bCs w:val="0"/>
              </w:rPr>
              <w:t>、水环境影响和防治措施</w:t>
            </w:r>
          </w:p>
          <w:p>
            <w:pPr>
              <w:pStyle w:val="278"/>
              <w:ind w:firstLine="482"/>
              <w:jc w:val="both"/>
              <w:rPr>
                <w:rFonts w:ascii="Times New Roman" w:cs="Times New Roman"/>
                <w:b/>
                <w:bCs w:val="0"/>
                <w:kern w:val="0"/>
                <w:szCs w:val="24"/>
              </w:rPr>
            </w:pPr>
            <w:r>
              <w:rPr>
                <w:rFonts w:hint="eastAsia" w:ascii="Times New Roman" w:cs="Times New Roman"/>
                <w:b/>
                <w:bCs w:val="0"/>
                <w:kern w:val="0"/>
                <w:szCs w:val="24"/>
              </w:rPr>
              <w:t xml:space="preserve">2.1 </w:t>
            </w:r>
            <w:r>
              <w:rPr>
                <w:rFonts w:ascii="Times New Roman" w:cs="Times New Roman"/>
                <w:b/>
                <w:bCs w:val="0"/>
                <w:kern w:val="0"/>
                <w:szCs w:val="24"/>
              </w:rPr>
              <w:t>源强核算</w:t>
            </w:r>
            <w:r>
              <w:rPr>
                <w:rFonts w:hint="eastAsia" w:ascii="Times New Roman" w:cs="Times New Roman"/>
                <w:b/>
                <w:bCs w:val="0"/>
                <w:kern w:val="0"/>
                <w:szCs w:val="24"/>
              </w:rPr>
              <w:t>及防治措施</w:t>
            </w:r>
          </w:p>
          <w:p>
            <w:pPr>
              <w:widowControl/>
              <w:ind w:firstLine="440" w:firstLineChars="200"/>
              <w:jc w:val="left"/>
              <w:rPr>
                <w:bCs/>
                <w:spacing w:val="-10"/>
              </w:rPr>
            </w:pPr>
            <w:r>
              <w:rPr>
                <w:rFonts w:hint="eastAsia"/>
                <w:bCs/>
                <w:spacing w:val="-10"/>
              </w:rPr>
              <w:t>（1）养殖废水</w:t>
            </w:r>
          </w:p>
          <w:p>
            <w:pPr>
              <w:pStyle w:val="5"/>
              <w:spacing w:before="0"/>
              <w:ind w:right="0" w:firstLine="480" w:firstLineChars="200"/>
              <w:jc w:val="left"/>
              <w:rPr>
                <w:u w:val="single"/>
              </w:rPr>
            </w:pPr>
            <w:r>
              <w:rPr>
                <w:rFonts w:hint="eastAsia"/>
                <w:u w:val="single"/>
              </w:rPr>
              <w:t>项目生产用水主要为牛蛙养殖用水，本项目单个蛙池面积为136m</w:t>
            </w:r>
            <w:r>
              <w:rPr>
                <w:rFonts w:hint="eastAsia"/>
                <w:u w:val="single"/>
                <w:vertAlign w:val="superscript"/>
              </w:rPr>
              <w:t>2</w:t>
            </w:r>
            <w:r>
              <w:rPr>
                <w:rFonts w:hint="eastAsia"/>
                <w:u w:val="single"/>
              </w:rPr>
              <w:t>，建设蛙池74个，每池保持30cm水位；为保持良好水质，蛙池每天保持水体微流动状态。</w:t>
            </w:r>
          </w:p>
          <w:p>
            <w:pPr>
              <w:widowControl/>
              <w:ind w:firstLine="480" w:firstLineChars="200"/>
              <w:rPr>
                <w:bCs/>
                <w:spacing w:val="-10"/>
                <w:u w:val="single"/>
              </w:rPr>
            </w:pPr>
            <w:r>
              <w:rPr>
                <w:rFonts w:hint="eastAsia"/>
                <w:u w:val="single"/>
              </w:rPr>
              <w:t>牛蛙蝌蚪养殖期60天，新鲜水用量为200m</w:t>
            </w:r>
            <w:r>
              <w:rPr>
                <w:rFonts w:hint="eastAsia"/>
                <w:u w:val="single"/>
                <w:vertAlign w:val="superscript"/>
              </w:rPr>
              <w:t>3</w:t>
            </w:r>
            <w:r>
              <w:rPr>
                <w:rFonts w:hint="eastAsia"/>
                <w:u w:val="single"/>
              </w:rPr>
              <w:t>/天，废水产生量预计为 160m</w:t>
            </w:r>
            <w:r>
              <w:rPr>
                <w:rFonts w:hint="eastAsia"/>
                <w:u w:val="single"/>
                <w:vertAlign w:val="superscript"/>
              </w:rPr>
              <w:t>3</w:t>
            </w:r>
            <w:r>
              <w:rPr>
                <w:rFonts w:hint="eastAsia"/>
                <w:u w:val="single"/>
              </w:rPr>
              <w:t>/天；幼蛙及中蛙养殖期为50天，新鲜水用量为300m</w:t>
            </w:r>
            <w:r>
              <w:rPr>
                <w:rFonts w:hint="eastAsia"/>
                <w:u w:val="single"/>
                <w:vertAlign w:val="superscript"/>
              </w:rPr>
              <w:t>3</w:t>
            </w:r>
            <w:r>
              <w:rPr>
                <w:rFonts w:hint="eastAsia"/>
                <w:u w:val="single"/>
              </w:rPr>
              <w:t>/天，废水产生量预计为240m</w:t>
            </w:r>
            <w:r>
              <w:rPr>
                <w:rFonts w:hint="eastAsia"/>
                <w:u w:val="single"/>
                <w:vertAlign w:val="superscript"/>
              </w:rPr>
              <w:t>3</w:t>
            </w:r>
            <w:r>
              <w:rPr>
                <w:rFonts w:hint="eastAsia"/>
                <w:u w:val="single"/>
              </w:rPr>
              <w:t>/天；大蛙养殖期40天，新鲜水用量为400m</w:t>
            </w:r>
            <w:r>
              <w:rPr>
                <w:rFonts w:hint="eastAsia"/>
                <w:u w:val="single"/>
                <w:vertAlign w:val="superscript"/>
              </w:rPr>
              <w:t>3</w:t>
            </w:r>
            <w:r>
              <w:rPr>
                <w:rFonts w:hint="eastAsia"/>
                <w:u w:val="single"/>
              </w:rPr>
              <w:t>/天，废水产生量预计为320m</w:t>
            </w:r>
            <w:r>
              <w:rPr>
                <w:rFonts w:hint="eastAsia"/>
                <w:u w:val="single"/>
                <w:vertAlign w:val="superscript"/>
              </w:rPr>
              <w:t>3</w:t>
            </w:r>
            <w:r>
              <w:rPr>
                <w:rFonts w:hint="eastAsia"/>
                <w:u w:val="single"/>
              </w:rPr>
              <w:t>/天，本项目每年饲养两批牛蛙，总计产生废水约68800m</w:t>
            </w:r>
            <w:r>
              <w:rPr>
                <w:rFonts w:hint="eastAsia"/>
                <w:u w:val="single"/>
                <w:vertAlign w:val="superscript"/>
              </w:rPr>
              <w:t>3</w:t>
            </w:r>
            <w:r>
              <w:rPr>
                <w:rFonts w:hint="eastAsia"/>
                <w:u w:val="single"/>
              </w:rPr>
              <w:t>/a，废水经三级过滤沉淀池+一体化污水处理设备处理后</w:t>
            </w:r>
            <w:r>
              <w:rPr>
                <w:rFonts w:hint="eastAsia"/>
                <w:u w:val="single"/>
                <w:lang w:val="en-US" w:eastAsia="zh-CN"/>
              </w:rPr>
              <w:t>通过提升泵抽入蓄水池</w:t>
            </w:r>
            <w:r>
              <w:rPr>
                <w:rFonts w:hint="eastAsia"/>
                <w:u w:val="single"/>
              </w:rPr>
              <w:t>全部回用。牛蛙养殖期的废水经处理后</w:t>
            </w:r>
            <w:r>
              <w:rPr>
                <w:rFonts w:hint="eastAsia"/>
                <w:u w:val="single"/>
                <w:lang w:val="en-US" w:eastAsia="zh-CN"/>
              </w:rPr>
              <w:t>通过提升泵抽入蓄水池中</w:t>
            </w:r>
            <w:r>
              <w:rPr>
                <w:rFonts w:hint="eastAsia"/>
                <w:u w:val="single"/>
              </w:rPr>
              <w:t>全部回用，待一批次全部养殖完成后尾水约3019.2m</w:t>
            </w:r>
            <w:r>
              <w:rPr>
                <w:rFonts w:hint="eastAsia"/>
                <w:u w:val="single"/>
                <w:vertAlign w:val="superscript"/>
              </w:rPr>
              <w:t>3</w:t>
            </w:r>
            <w:r>
              <w:rPr>
                <w:rFonts w:hint="eastAsia"/>
                <w:u w:val="single"/>
              </w:rPr>
              <w:t>（6038.4m</w:t>
            </w:r>
            <w:r>
              <w:rPr>
                <w:rFonts w:hint="eastAsia"/>
                <w:u w:val="single"/>
                <w:vertAlign w:val="superscript"/>
              </w:rPr>
              <w:t>3</w:t>
            </w:r>
            <w:r>
              <w:rPr>
                <w:rFonts w:hint="eastAsia"/>
                <w:u w:val="single"/>
              </w:rPr>
              <w:t>/a）经三级过滤沉淀池+一体化污水处理设备处理达到</w:t>
            </w:r>
            <w:r>
              <w:rPr>
                <w:rFonts w:hint="eastAsia"/>
                <w:spacing w:val="-2"/>
                <w:u w:val="single"/>
              </w:rPr>
              <w:t>《湖南省水产养殖尾水综合排放标准》（DB43/1752-2020）二级标准</w:t>
            </w:r>
            <w:r>
              <w:rPr>
                <w:rFonts w:hint="eastAsia"/>
                <w:u w:val="single"/>
              </w:rPr>
              <w:t>后用于</w:t>
            </w:r>
            <w:r>
              <w:rPr>
                <w:rFonts w:hint="eastAsia"/>
                <w:u w:val="single"/>
                <w:lang w:val="en-US" w:eastAsia="zh-CN"/>
              </w:rPr>
              <w:t>项目周边农林果木灌溉</w:t>
            </w:r>
            <w:r>
              <w:rPr>
                <w:rFonts w:hint="eastAsia"/>
                <w:bCs/>
                <w:spacing w:val="-10"/>
                <w:u w:val="single"/>
              </w:rPr>
              <w:t>。</w:t>
            </w:r>
          </w:p>
          <w:p>
            <w:pPr>
              <w:widowControl/>
              <w:ind w:firstLine="440" w:firstLineChars="200"/>
              <w:jc w:val="left"/>
              <w:rPr>
                <w:bCs/>
                <w:spacing w:val="-10"/>
              </w:rPr>
            </w:pPr>
            <w:r>
              <w:rPr>
                <w:rFonts w:hint="eastAsia"/>
                <w:bCs/>
                <w:spacing w:val="-10"/>
              </w:rPr>
              <w:t>（2）生活污水</w:t>
            </w:r>
          </w:p>
          <w:p>
            <w:pPr>
              <w:widowControl/>
              <w:ind w:firstLine="440" w:firstLineChars="200"/>
              <w:jc w:val="left"/>
              <w:rPr>
                <w:bCs/>
                <w:spacing w:val="-10"/>
              </w:rPr>
            </w:pPr>
            <w:r>
              <w:rPr>
                <w:rFonts w:hint="eastAsia"/>
                <w:bCs/>
                <w:spacing w:val="-10"/>
              </w:rPr>
              <w:t>项目劳动定员10人，均为当地附近村民，村民食宿依托居民自家食宿设施，不在场内食宿。</w:t>
            </w:r>
          </w:p>
          <w:p>
            <w:pPr>
              <w:pStyle w:val="278"/>
              <w:ind w:firstLine="482"/>
              <w:jc w:val="both"/>
              <w:rPr>
                <w:rFonts w:ascii="Times New Roman" w:cs="Times New Roman"/>
                <w:b/>
                <w:bCs w:val="0"/>
                <w:kern w:val="0"/>
                <w:szCs w:val="24"/>
              </w:rPr>
            </w:pPr>
            <w:r>
              <w:rPr>
                <w:rFonts w:hint="eastAsia" w:ascii="Times New Roman" w:cs="Times New Roman"/>
                <w:b/>
                <w:bCs w:val="0"/>
                <w:kern w:val="0"/>
                <w:szCs w:val="24"/>
              </w:rPr>
              <w:t>2.2 污水处理措施可行性分析</w:t>
            </w:r>
          </w:p>
          <w:p>
            <w:pPr>
              <w:widowControl/>
              <w:ind w:firstLine="480" w:firstLineChars="200"/>
              <w:jc w:val="left"/>
              <w:rPr>
                <w:color w:val="000000"/>
                <w:kern w:val="0"/>
              </w:rPr>
            </w:pPr>
            <w:r>
              <w:rPr>
                <w:rFonts w:hint="eastAsia"/>
                <w:color w:val="000000"/>
                <w:kern w:val="0"/>
              </w:rPr>
              <w:t>项目在养殖区内设有三级过滤沉淀池、一体化污水处理设备等设施，厂内废水经三级过滤沉淀池过滤后进入一体化污水处理设备处理。一体化污水处理设备工艺如下：</w:t>
            </w:r>
          </w:p>
          <w:p>
            <w:pPr>
              <w:widowControl/>
              <w:ind w:firstLine="480" w:firstLineChars="200"/>
              <w:jc w:val="left"/>
              <w:rPr>
                <w:color w:val="000000"/>
                <w:kern w:val="0"/>
              </w:rPr>
            </w:pPr>
          </w:p>
          <w:p>
            <w:pPr>
              <w:widowControl/>
              <w:ind w:firstLine="480" w:firstLineChars="200"/>
              <w:jc w:val="left"/>
              <w:rPr>
                <w:color w:val="000000"/>
                <w:kern w:val="0"/>
              </w:rPr>
            </w:pPr>
          </w:p>
          <w:p>
            <w:pPr>
              <w:widowControl/>
              <w:ind w:firstLine="480" w:firstLineChars="200"/>
              <w:jc w:val="left"/>
              <w:rPr>
                <w:color w:val="000000"/>
                <w:kern w:val="0"/>
              </w:rPr>
            </w:pPr>
          </w:p>
          <w:p>
            <w:pPr>
              <w:widowControl/>
              <w:ind w:firstLine="480" w:firstLineChars="200"/>
              <w:jc w:val="left"/>
              <w:rPr>
                <w:color w:val="000000"/>
                <w:kern w:val="0"/>
              </w:rPr>
            </w:pPr>
          </w:p>
          <w:p>
            <w:pPr>
              <w:widowControl/>
              <w:jc w:val="left"/>
              <w:rPr>
                <w:color w:val="000000"/>
                <w:kern w:val="0"/>
              </w:rPr>
            </w:pPr>
          </w:p>
          <w:p>
            <w:pPr>
              <w:widowControl/>
              <w:ind w:firstLine="480" w:firstLineChars="200"/>
              <w:jc w:val="center"/>
            </w:pPr>
            <w:r>
              <w:rPr>
                <w:rFonts w:hint="eastAsia"/>
              </w:rPr>
              <w:drawing>
                <wp:inline distT="0" distB="0" distL="114300" distR="114300">
                  <wp:extent cx="3163570" cy="4084320"/>
                  <wp:effectExtent l="0" t="0" r="17780" b="11430"/>
                  <wp:docPr id="17" name="图片 17" descr="新建 DOCX 文档 (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新建 DOCX 文档 (3)_01"/>
                          <pic:cNvPicPr>
                            <a:picLocks noChangeAspect="1"/>
                          </pic:cNvPicPr>
                        </pic:nvPicPr>
                        <pic:blipFill>
                          <a:blip r:embed="rId25"/>
                          <a:stretch>
                            <a:fillRect/>
                          </a:stretch>
                        </pic:blipFill>
                        <pic:spPr>
                          <a:xfrm>
                            <a:off x="0" y="0"/>
                            <a:ext cx="3163570" cy="4084320"/>
                          </a:xfrm>
                          <a:prstGeom prst="rect">
                            <a:avLst/>
                          </a:prstGeom>
                        </pic:spPr>
                      </pic:pic>
                    </a:graphicData>
                  </a:graphic>
                </wp:inline>
              </w:drawing>
            </w:r>
          </w:p>
          <w:p>
            <w:pPr>
              <w:pStyle w:val="6"/>
              <w:jc w:val="center"/>
              <w:rPr>
                <w:b/>
                <w:bCs/>
              </w:rPr>
            </w:pPr>
            <w:r>
              <w:rPr>
                <w:rFonts w:hint="eastAsia"/>
                <w:b/>
                <w:bCs/>
                <w:sz w:val="24"/>
              </w:rPr>
              <w:t>图4-1污水处理一体化设备工艺流程图</w:t>
            </w:r>
          </w:p>
          <w:p>
            <w:pPr>
              <w:ind w:firstLine="482" w:firstLineChars="200"/>
              <w:rPr>
                <w:u w:val="single"/>
              </w:rPr>
            </w:pPr>
            <w:r>
              <w:rPr>
                <w:rFonts w:hint="eastAsia"/>
                <w:b/>
                <w:bCs/>
              </w:rPr>
              <w:t>工艺流程简述</w:t>
            </w:r>
            <w:r>
              <w:rPr>
                <w:rFonts w:hint="eastAsia"/>
              </w:rPr>
              <w:t>：</w:t>
            </w:r>
            <w:r>
              <w:rPr>
                <w:rFonts w:hint="eastAsia"/>
                <w:u w:val="single"/>
              </w:rPr>
              <w:t>生产废水先进入集水池，为了保持后续污水生化处理系统的稳定性，所以集水池要具备足够的容积用于均匀水量水质，从而避免对后续生化系统造成冲击。通过均匀后的污水由提升泵输送到初沉除磷池，在该池前端的反应池投加PAC，通过除磷反应沉淀去除悬浮物及部分高锰酸盐指数后自流进入反硝化池。</w:t>
            </w:r>
          </w:p>
          <w:p>
            <w:pPr>
              <w:ind w:firstLine="480" w:firstLineChars="200"/>
              <w:rPr>
                <w:u w:val="single"/>
              </w:rPr>
            </w:pPr>
            <w:r>
              <w:rPr>
                <w:rFonts w:hint="eastAsia"/>
                <w:u w:val="single"/>
              </w:rPr>
              <w:t>反硝化池中的大量硝酸氮（NO</w:t>
            </w:r>
            <w:r>
              <w:rPr>
                <w:rFonts w:hint="eastAsia"/>
                <w:u w:val="single"/>
                <w:vertAlign w:val="subscript"/>
              </w:rPr>
              <w:t>3</w:t>
            </w:r>
            <w:r>
              <w:rPr>
                <w:rFonts w:hint="eastAsia"/>
                <w:u w:val="single"/>
              </w:rPr>
              <w:t>—N）为电子受体，以污水中BOD</w:t>
            </w:r>
            <w:r>
              <w:rPr>
                <w:rFonts w:hint="eastAsia"/>
                <w:u w:val="single"/>
                <w:vertAlign w:val="subscript"/>
              </w:rPr>
              <w:t>5</w:t>
            </w:r>
            <w:r>
              <w:rPr>
                <w:rFonts w:hint="eastAsia"/>
                <w:u w:val="single"/>
              </w:rPr>
              <w:t>（有机碳）作为电子供体，最终将硝酸氮等还原成氮气（N</w:t>
            </w:r>
            <w:r>
              <w:rPr>
                <w:rFonts w:hint="eastAsia"/>
                <w:u w:val="single"/>
                <w:vertAlign w:val="subscript"/>
              </w:rPr>
              <w:t>2</w:t>
            </w:r>
            <w:r>
              <w:rPr>
                <w:rFonts w:hint="eastAsia"/>
                <w:u w:val="single"/>
              </w:rPr>
              <w:t>）排入大气，从而使污水中的氨氮得以去除。</w:t>
            </w:r>
          </w:p>
          <w:p>
            <w:pPr>
              <w:ind w:firstLine="480" w:firstLineChars="200"/>
              <w:rPr>
                <w:u w:val="single"/>
              </w:rPr>
            </w:pPr>
            <w:r>
              <w:rPr>
                <w:rFonts w:hint="eastAsia"/>
                <w:u w:val="single"/>
              </w:rPr>
              <w:t>经过反硝化池处理后自流进入硝化池，在供氧充足的条件下，对污水中优势菌群体进行连续混合培养形成生物膜。通过菌种的生物凝聚、吸附和氧化作用，分解去除污水中的有机污染物。水中的氨氮经过硝化菌硝化作用，转化为硝酸氮，部分回流至反硝池脱氮。硝化池后设置二沉池，能有效收集硝化池流出的菌种，从而保证硝化池的生物浓度，泥水分离后上清液自流进入砂滤池，去除悬浮物及固体颗粒后。经过紫外线消毒装置杀灭污水中的粪大肠菌群达标</w:t>
            </w:r>
            <w:r>
              <w:rPr>
                <w:rFonts w:hint="eastAsia"/>
                <w:u w:val="single"/>
                <w:lang w:val="en-US" w:eastAsia="zh-CN"/>
              </w:rPr>
              <w:t>排放</w:t>
            </w:r>
            <w:r>
              <w:rPr>
                <w:rFonts w:hint="eastAsia"/>
                <w:u w:val="single"/>
              </w:rPr>
              <w:t>。</w:t>
            </w:r>
          </w:p>
          <w:p>
            <w:pPr>
              <w:pStyle w:val="6"/>
              <w:spacing w:before="0" w:after="0" w:line="360" w:lineRule="auto"/>
              <w:ind w:right="0" w:firstLine="480" w:firstLineChars="200"/>
              <w:rPr>
                <w:u w:val="single"/>
              </w:rPr>
            </w:pPr>
            <w:r>
              <w:rPr>
                <w:rFonts w:hint="eastAsia"/>
                <w:sz w:val="24"/>
                <w:szCs w:val="24"/>
                <w:u w:val="single"/>
              </w:rPr>
              <w:t>根据中华人民共和国生态环境部发布的关于征求《水产养殖污染防治技术政策》（征求意见稿）意见的函（环办函〔2013〕1513 号）第十六条，“水产散养密集区养殖废水可因地制宜采用稳定塘、湿地等运行管理简便、经济可行的工艺技术。”项目运营过程产生的养殖废水的特征污染物是 SS、COD</w:t>
            </w:r>
            <w:r>
              <w:rPr>
                <w:rFonts w:hint="eastAsia"/>
                <w:sz w:val="24"/>
                <w:szCs w:val="24"/>
                <w:u w:val="single"/>
                <w:vertAlign w:val="subscript"/>
              </w:rPr>
              <w:t>Cr</w:t>
            </w:r>
            <w:r>
              <w:rPr>
                <w:rFonts w:hint="eastAsia"/>
                <w:sz w:val="24"/>
                <w:szCs w:val="24"/>
                <w:u w:val="single"/>
              </w:rPr>
              <w:t>、BOD</w:t>
            </w:r>
            <w:r>
              <w:rPr>
                <w:rFonts w:hint="eastAsia"/>
                <w:sz w:val="24"/>
                <w:szCs w:val="24"/>
                <w:u w:val="single"/>
                <w:vertAlign w:val="subscript"/>
              </w:rPr>
              <w:t>5</w:t>
            </w:r>
            <w:r>
              <w:rPr>
                <w:rFonts w:hint="eastAsia"/>
                <w:sz w:val="24"/>
                <w:szCs w:val="24"/>
                <w:u w:val="single"/>
              </w:rPr>
              <w:t>等，水质较简单，各污染物浓度不高。本项目养殖废水采取三级过滤沉淀池、一体化污水处理设备进行处理。同时根据《池塘养殖尾水净化处理方法及技术模式》（王艳妮、王金乐，《农技服务》2021年（第4期）55~56页），目前养殖尾水的处理方法主要有物理、化学和生物方法，其中生物方法是当下比较环保的淡水养殖尾水处理技术，具有成本低、效果好、操作简单、无二次污染等特点，本项目使用物理方法中的机械过滤法以及生物方法中的微生物净化法，利用机械过滤去除掉养殖废水中的悬浮物以及总磷，再利用微生物降解水体中的氨氮与有机物等。故本项目三级过滤沉淀池和一体化污水处理设备可达到净化水质的效果。本项目设置</w:t>
            </w:r>
            <w:r>
              <w:rPr>
                <w:rFonts w:hint="eastAsia"/>
                <w:sz w:val="24"/>
                <w:szCs w:val="24"/>
                <w:u w:val="single"/>
                <w:lang w:val="en-US" w:eastAsia="zh-CN"/>
              </w:rPr>
              <w:t>160</w:t>
            </w:r>
            <w:r>
              <w:rPr>
                <w:rFonts w:hint="eastAsia"/>
                <w:sz w:val="24"/>
                <w:szCs w:val="24"/>
                <w:u w:val="single"/>
              </w:rPr>
              <w:t>t/d一体化处理设备，</w:t>
            </w:r>
            <w:r>
              <w:rPr>
                <w:rFonts w:hint="eastAsia"/>
                <w:sz w:val="24"/>
                <w:szCs w:val="24"/>
                <w:u w:val="single"/>
                <w:lang w:val="en-US" w:eastAsia="zh-CN"/>
              </w:rPr>
              <w:t>单批次牛蛙成熟后废水排水量为3019.2m</w:t>
            </w:r>
            <w:r>
              <w:rPr>
                <w:rFonts w:hint="eastAsia"/>
                <w:sz w:val="24"/>
                <w:szCs w:val="24"/>
                <w:u w:val="single"/>
                <w:vertAlign w:val="superscript"/>
                <w:lang w:val="en-US" w:eastAsia="zh-CN"/>
              </w:rPr>
              <w:t>2</w:t>
            </w:r>
            <w:r>
              <w:rPr>
                <w:rFonts w:hint="eastAsia"/>
                <w:sz w:val="24"/>
                <w:szCs w:val="24"/>
                <w:u w:val="single"/>
                <w:lang w:val="en-US" w:eastAsia="zh-CN"/>
              </w:rPr>
              <w:t>/a，本项目一体化处理设备无法一次处理完成，本项目一批次养殖结束后废水存储在三级过滤沉淀池中，进行分批次处理，约18天处理完成，处理后的水先放置在清水池中后经提升泵抽入项目西侧果园不间断进行灌溉。</w:t>
            </w:r>
            <w:r>
              <w:rPr>
                <w:rFonts w:hint="eastAsia"/>
                <w:sz w:val="24"/>
                <w:szCs w:val="24"/>
                <w:u w:val="single"/>
              </w:rPr>
              <w:t>满足本项目废水处理需求。</w:t>
            </w:r>
          </w:p>
          <w:p>
            <w:pPr>
              <w:pStyle w:val="278"/>
              <w:ind w:left="480" w:leftChars="200" w:firstLine="0" w:firstLineChars="0"/>
              <w:jc w:val="both"/>
              <w:rPr>
                <w:szCs w:val="24"/>
                <w:u w:val="single"/>
              </w:rPr>
            </w:pPr>
            <w:r>
              <w:rPr>
                <w:rFonts w:hint="eastAsia"/>
                <w:szCs w:val="24"/>
                <w:u w:val="single"/>
              </w:rPr>
              <w:t>所以本项目污水处理措施可行。</w:t>
            </w:r>
          </w:p>
          <w:p>
            <w:pPr>
              <w:pStyle w:val="278"/>
              <w:ind w:left="480" w:leftChars="200" w:firstLine="0" w:firstLineChars="0"/>
              <w:jc w:val="both"/>
              <w:rPr>
                <w:rFonts w:ascii="Times New Roman" w:cs="Times New Roman"/>
                <w:b/>
                <w:bCs w:val="0"/>
                <w:color w:val="000000"/>
                <w:kern w:val="0"/>
                <w:u w:val="single"/>
              </w:rPr>
            </w:pPr>
            <w:r>
              <w:rPr>
                <w:rFonts w:hint="eastAsia" w:ascii="Times New Roman" w:cs="Times New Roman"/>
                <w:b/>
                <w:bCs w:val="0"/>
                <w:color w:val="000000"/>
                <w:kern w:val="0"/>
                <w:u w:val="single"/>
              </w:rPr>
              <w:t xml:space="preserve">2.3 </w:t>
            </w:r>
            <w:r>
              <w:rPr>
                <w:rFonts w:hint="eastAsia"/>
                <w:b/>
                <w:color w:val="000000"/>
                <w:u w:val="single"/>
              </w:rPr>
              <w:t>灌溉方式及可行性分析</w:t>
            </w:r>
          </w:p>
          <w:p>
            <w:pPr>
              <w:pStyle w:val="6"/>
              <w:spacing w:before="0" w:after="0" w:line="360" w:lineRule="auto"/>
              <w:ind w:right="0" w:firstLine="480" w:firstLineChars="200"/>
              <w:rPr>
                <w:sz w:val="24"/>
                <w:szCs w:val="24"/>
                <w:u w:val="single"/>
              </w:rPr>
            </w:pPr>
            <w:r>
              <w:rPr>
                <w:sz w:val="24"/>
                <w:szCs w:val="24"/>
                <w:u w:val="single"/>
              </w:rPr>
              <w:t>尾水灌溉对周边环境的影响分析：本项目养殖废水经</w:t>
            </w:r>
            <w:r>
              <w:rPr>
                <w:rFonts w:hint="eastAsia"/>
                <w:sz w:val="24"/>
                <w:szCs w:val="24"/>
                <w:u w:val="single"/>
              </w:rPr>
              <w:t>三级过滤沉淀池</w:t>
            </w:r>
            <w:r>
              <w:rPr>
                <w:sz w:val="24"/>
                <w:szCs w:val="24"/>
                <w:u w:val="single"/>
              </w:rPr>
              <w:t>处理后，废水中仍含有一定的氮、磷、钾等元素，对农作物的生长是有利的。将处理达标的废水用于周边果地灌溉施肥，可以节省化肥，还可以改善土壤的物理化学性质，提高土壤肥力，有利于植物的生长，节约水资源，减少污染物排放量，一举两得。本项目周边</w:t>
            </w:r>
            <w:r>
              <w:rPr>
                <w:rFonts w:hint="eastAsia"/>
                <w:sz w:val="24"/>
                <w:szCs w:val="24"/>
                <w:u w:val="single"/>
              </w:rPr>
              <w:t>农田、林地</w:t>
            </w:r>
            <w:r>
              <w:rPr>
                <w:sz w:val="24"/>
                <w:szCs w:val="24"/>
                <w:u w:val="single"/>
              </w:rPr>
              <w:t>较多，可容纳项目养殖废水。采取以上措施后，项目养殖废水对周围环境影响较小。</w:t>
            </w:r>
          </w:p>
          <w:p>
            <w:pPr>
              <w:pStyle w:val="6"/>
              <w:spacing w:before="0" w:after="0" w:line="360" w:lineRule="auto"/>
              <w:ind w:right="0" w:firstLine="480" w:firstLineChars="200"/>
              <w:rPr>
                <w:sz w:val="24"/>
                <w:szCs w:val="24"/>
                <w:u w:val="single"/>
              </w:rPr>
            </w:pPr>
            <w:r>
              <w:rPr>
                <w:sz w:val="24"/>
                <w:szCs w:val="24"/>
                <w:u w:val="single"/>
              </w:rPr>
              <w:t>项目在养殖区旁建设</w:t>
            </w:r>
            <w:r>
              <w:rPr>
                <w:rFonts w:hint="eastAsia"/>
                <w:sz w:val="24"/>
                <w:szCs w:val="24"/>
                <w:u w:val="single"/>
              </w:rPr>
              <w:t>三级过滤沉淀池和污水处理一体化设备</w:t>
            </w:r>
            <w:r>
              <w:rPr>
                <w:sz w:val="24"/>
                <w:szCs w:val="24"/>
                <w:u w:val="single"/>
              </w:rPr>
              <w:t>，养殖废水</w:t>
            </w:r>
            <w:r>
              <w:rPr>
                <w:rFonts w:hint="eastAsia"/>
                <w:sz w:val="24"/>
                <w:szCs w:val="24"/>
                <w:u w:val="single"/>
              </w:rPr>
              <w:t>经</w:t>
            </w:r>
            <w:r>
              <w:rPr>
                <w:sz w:val="24"/>
                <w:szCs w:val="24"/>
                <w:u w:val="single"/>
              </w:rPr>
              <w:t>处理后</w:t>
            </w:r>
            <w:r>
              <w:rPr>
                <w:rFonts w:hint="eastAsia"/>
                <w:sz w:val="24"/>
                <w:szCs w:val="24"/>
                <w:u w:val="single"/>
              </w:rPr>
              <w:t>达到</w:t>
            </w:r>
            <w:r>
              <w:rPr>
                <w:sz w:val="24"/>
                <w:szCs w:val="24"/>
                <w:u w:val="single"/>
              </w:rPr>
              <w:t>《湖南省水产养殖尾水综合排放标准》（DB43/1752-2020）二级标准后用于</w:t>
            </w:r>
            <w:r>
              <w:rPr>
                <w:rFonts w:hint="eastAsia"/>
                <w:sz w:val="24"/>
                <w:szCs w:val="24"/>
                <w:u w:val="single"/>
                <w:lang w:val="en-US" w:eastAsia="zh-CN"/>
              </w:rPr>
              <w:t>周边农林果木灌溉</w:t>
            </w:r>
            <w:r>
              <w:rPr>
                <w:sz w:val="24"/>
                <w:szCs w:val="24"/>
                <w:u w:val="single"/>
              </w:rPr>
              <w:t>。</w:t>
            </w:r>
          </w:p>
          <w:p>
            <w:pPr>
              <w:pStyle w:val="6"/>
              <w:spacing w:before="0" w:after="0" w:line="360" w:lineRule="auto"/>
              <w:ind w:right="0" w:firstLine="480" w:firstLineChars="200"/>
              <w:rPr>
                <w:sz w:val="24"/>
                <w:szCs w:val="24"/>
                <w:u w:val="single"/>
              </w:rPr>
            </w:pPr>
            <w:r>
              <w:rPr>
                <w:sz w:val="24"/>
                <w:szCs w:val="24"/>
                <w:u w:val="single"/>
              </w:rPr>
              <w:t>项目运营过程产生的养殖废水的特征污染物是COD、SS、BOD</w:t>
            </w:r>
            <w:r>
              <w:rPr>
                <w:sz w:val="24"/>
                <w:szCs w:val="24"/>
                <w:u w:val="single"/>
                <w:vertAlign w:val="subscript"/>
              </w:rPr>
              <w:t>5</w:t>
            </w:r>
            <w:r>
              <w:rPr>
                <w:sz w:val="24"/>
                <w:szCs w:val="24"/>
                <w:u w:val="single"/>
              </w:rPr>
              <w:t>、NH</w:t>
            </w:r>
            <w:r>
              <w:rPr>
                <w:sz w:val="24"/>
                <w:szCs w:val="24"/>
                <w:u w:val="single"/>
                <w:vertAlign w:val="subscript"/>
              </w:rPr>
              <w:t>3</w:t>
            </w:r>
            <w:r>
              <w:rPr>
                <w:sz w:val="24"/>
                <w:szCs w:val="24"/>
                <w:u w:val="single"/>
              </w:rPr>
              <w:t>-N等，水质较简单，各污染物浓度不高。</w:t>
            </w:r>
          </w:p>
          <w:p>
            <w:pPr>
              <w:pStyle w:val="6"/>
              <w:spacing w:before="0" w:after="0" w:line="360" w:lineRule="auto"/>
              <w:ind w:right="0" w:firstLine="480" w:firstLineChars="200"/>
              <w:rPr>
                <w:sz w:val="24"/>
                <w:szCs w:val="24"/>
                <w:u w:val="single"/>
              </w:rPr>
            </w:pPr>
            <w:r>
              <w:rPr>
                <w:sz w:val="24"/>
                <w:szCs w:val="24"/>
                <w:u w:val="single"/>
              </w:rPr>
              <w:t>项目</w:t>
            </w:r>
            <w:r>
              <w:rPr>
                <w:rFonts w:hint="eastAsia"/>
                <w:sz w:val="24"/>
                <w:szCs w:val="24"/>
                <w:u w:val="single"/>
              </w:rPr>
              <w:t>西</w:t>
            </w:r>
            <w:r>
              <w:rPr>
                <w:sz w:val="24"/>
                <w:szCs w:val="24"/>
                <w:u w:val="single"/>
              </w:rPr>
              <w:t>面有</w:t>
            </w:r>
            <w:r>
              <w:rPr>
                <w:rFonts w:hint="eastAsia"/>
                <w:sz w:val="24"/>
                <w:szCs w:val="24"/>
                <w:u w:val="single"/>
              </w:rPr>
              <w:t>250</w:t>
            </w:r>
            <w:r>
              <w:rPr>
                <w:sz w:val="24"/>
                <w:szCs w:val="24"/>
                <w:u w:val="single"/>
              </w:rPr>
              <w:t>亩</w:t>
            </w:r>
            <w:r>
              <w:rPr>
                <w:rFonts w:hint="eastAsia"/>
                <w:sz w:val="24"/>
                <w:szCs w:val="24"/>
                <w:u w:val="single"/>
              </w:rPr>
              <w:t>果园</w:t>
            </w:r>
            <w:r>
              <w:rPr>
                <w:sz w:val="24"/>
                <w:szCs w:val="24"/>
                <w:u w:val="single"/>
              </w:rPr>
              <w:t>，</w:t>
            </w:r>
            <w:r>
              <w:rPr>
                <w:rFonts w:hint="eastAsia"/>
                <w:sz w:val="24"/>
                <w:szCs w:val="24"/>
                <w:u w:val="single"/>
                <w:lang w:val="en-US" w:eastAsia="zh-CN"/>
              </w:rPr>
              <w:t>项目处理后养殖尾水采用提升泵抽入果园进行浇灌，</w:t>
            </w:r>
            <w:r>
              <w:rPr>
                <w:rFonts w:hint="eastAsia"/>
                <w:sz w:val="24"/>
                <w:szCs w:val="24"/>
                <w:u w:val="single"/>
              </w:rPr>
              <w:t>果园种植主要为柑橘，根据湖南省地方标准《用水定额》（DB43/T 388-2020)，项目所在地湖南省永州市新田县属于II类区湘南山丘区，当地村委已将项目西面地全部承包给个体户种植，全年采用轮作制，本项目按柑橘种植取75%灌溉量来计算，全年需水135m</w:t>
            </w:r>
            <w:r>
              <w:rPr>
                <w:rFonts w:hint="eastAsia"/>
                <w:sz w:val="24"/>
                <w:szCs w:val="24"/>
                <w:u w:val="single"/>
                <w:vertAlign w:val="superscript"/>
              </w:rPr>
              <w:t>3</w:t>
            </w:r>
            <w:r>
              <w:rPr>
                <w:rFonts w:hint="eastAsia"/>
                <w:sz w:val="24"/>
                <w:szCs w:val="24"/>
                <w:u w:val="single"/>
              </w:rPr>
              <w:t>/亩· a，项目蛙池排水量为6038.4m</w:t>
            </w:r>
            <w:r>
              <w:rPr>
                <w:rFonts w:hint="eastAsia"/>
                <w:sz w:val="24"/>
                <w:szCs w:val="24"/>
                <w:u w:val="single"/>
                <w:vertAlign w:val="superscript"/>
              </w:rPr>
              <w:t>3</w:t>
            </w:r>
            <w:r>
              <w:rPr>
                <w:rFonts w:hint="eastAsia"/>
                <w:sz w:val="24"/>
                <w:szCs w:val="24"/>
                <w:u w:val="single"/>
              </w:rPr>
              <w:t>/a。周边果园消纳量达到33750m</w:t>
            </w:r>
            <w:r>
              <w:rPr>
                <w:rFonts w:hint="eastAsia"/>
                <w:sz w:val="24"/>
                <w:szCs w:val="24"/>
                <w:u w:val="single"/>
                <w:vertAlign w:val="superscript"/>
              </w:rPr>
              <w:t>3</w:t>
            </w:r>
            <w:r>
              <w:rPr>
                <w:rFonts w:hint="eastAsia"/>
                <w:sz w:val="24"/>
                <w:szCs w:val="24"/>
                <w:u w:val="single"/>
              </w:rPr>
              <w:t>/a。在雨水充足情况下，露天养殖的蛙池直接通过雨水置换新水，置换养殖废水进入三级过滤沉淀池贮存。</w:t>
            </w:r>
          </w:p>
          <w:p>
            <w:pPr>
              <w:pStyle w:val="6"/>
              <w:spacing w:before="0" w:after="0" w:line="360" w:lineRule="auto"/>
              <w:ind w:right="0" w:firstLine="480" w:firstLineChars="200"/>
              <w:rPr>
                <w:sz w:val="24"/>
                <w:szCs w:val="24"/>
              </w:rPr>
            </w:pPr>
            <w:r>
              <w:rPr>
                <w:rFonts w:hint="eastAsia"/>
                <w:sz w:val="24"/>
                <w:szCs w:val="24"/>
                <w:u w:val="single"/>
              </w:rPr>
              <w:t>考虑柑橘地不需要天天进行施肥，非用肥期时,处理好的尾水需要暂存。根据新田县气候气象资料，新田县平均降雨量为1530mm，主要集中在5～7月，在雨季时，尾水不能作为农用肥进行浇灌，本项目非灌溉期按30d连续降雨日考虑，果地消纳区每1个月进行浇灌1次，即大约30d浇灌一次，项目设置三级过滤沉淀池占地面积2000m</w:t>
            </w:r>
            <w:r>
              <w:rPr>
                <w:rFonts w:hint="eastAsia"/>
                <w:sz w:val="24"/>
                <w:szCs w:val="24"/>
                <w:u w:val="single"/>
                <w:vertAlign w:val="superscript"/>
              </w:rPr>
              <w:t>2</w:t>
            </w:r>
            <w:r>
              <w:rPr>
                <w:rFonts w:hint="eastAsia"/>
                <w:sz w:val="24"/>
                <w:szCs w:val="24"/>
                <w:u w:val="single"/>
              </w:rPr>
              <w:t>，容积约10000m</w:t>
            </w:r>
            <w:r>
              <w:rPr>
                <w:rFonts w:hint="eastAsia"/>
                <w:sz w:val="24"/>
                <w:szCs w:val="24"/>
                <w:u w:val="single"/>
                <w:vertAlign w:val="superscript"/>
              </w:rPr>
              <w:t>3</w:t>
            </w:r>
            <w:r>
              <w:rPr>
                <w:rFonts w:hint="eastAsia"/>
                <w:sz w:val="24"/>
                <w:szCs w:val="24"/>
                <w:u w:val="single"/>
              </w:rPr>
              <w:t>。满足非灌溉期废水储存要求，可保障项目养殖废水用于农灌综合利用不外排</w:t>
            </w:r>
            <w:r>
              <w:rPr>
                <w:rFonts w:hint="eastAsia"/>
                <w:sz w:val="24"/>
                <w:szCs w:val="24"/>
                <w:u w:val="single"/>
                <w:lang w:val="en-US" w:eastAsia="zh-CN"/>
              </w:rPr>
              <w:t>至外部环境</w:t>
            </w:r>
            <w:r>
              <w:rPr>
                <w:rFonts w:hint="eastAsia"/>
                <w:sz w:val="24"/>
                <w:szCs w:val="24"/>
                <w:u w:val="single"/>
              </w:rPr>
              <w:t>。</w:t>
            </w:r>
          </w:p>
          <w:p>
            <w:pPr>
              <w:pStyle w:val="278"/>
              <w:ind w:left="480" w:leftChars="200" w:firstLine="0" w:firstLineChars="0"/>
              <w:jc w:val="both"/>
              <w:rPr>
                <w:rFonts w:ascii="Times New Roman" w:cs="Times New Roman"/>
                <w:b/>
                <w:bCs w:val="0"/>
                <w:color w:val="000000"/>
                <w:kern w:val="0"/>
              </w:rPr>
            </w:pPr>
            <w:r>
              <w:rPr>
                <w:rFonts w:hint="eastAsia" w:ascii="Times New Roman" w:cs="Times New Roman"/>
                <w:b/>
                <w:bCs w:val="0"/>
                <w:color w:val="000000"/>
                <w:kern w:val="0"/>
              </w:rPr>
              <w:t>2.</w:t>
            </w:r>
            <w:r>
              <w:rPr>
                <w:rFonts w:hint="eastAsia" w:ascii="Times New Roman" w:cs="Times New Roman"/>
                <w:b/>
                <w:bCs w:val="0"/>
                <w:color w:val="000000"/>
                <w:kern w:val="0"/>
                <w:lang w:val="en-US" w:eastAsia="zh-CN"/>
              </w:rPr>
              <w:t>4</w:t>
            </w:r>
            <w:r>
              <w:rPr>
                <w:rFonts w:hint="eastAsia" w:ascii="Times New Roman" w:cs="Times New Roman"/>
                <w:b/>
                <w:bCs w:val="0"/>
                <w:color w:val="000000"/>
                <w:kern w:val="0"/>
              </w:rPr>
              <w:t xml:space="preserve"> </w:t>
            </w:r>
            <w:r>
              <w:rPr>
                <w:rFonts w:hint="eastAsia"/>
                <w:b/>
                <w:color w:val="000000"/>
              </w:rPr>
              <w:t>废水环境影响分析</w:t>
            </w:r>
          </w:p>
          <w:p>
            <w:pPr>
              <w:pStyle w:val="278"/>
              <w:ind w:firstLine="480"/>
            </w:pPr>
            <w:r>
              <w:rPr>
                <w:rFonts w:hint="eastAsia" w:ascii="Times New Roman" w:hAnsi="Times New Roman" w:cs="Times New Roman"/>
              </w:rPr>
              <w:t>本项目</w:t>
            </w:r>
            <w:r>
              <w:rPr>
                <w:rFonts w:ascii="Times New Roman" w:hAnsi="Times New Roman" w:cs="Times New Roman"/>
              </w:rPr>
              <w:t>雨水经</w:t>
            </w:r>
            <w:r>
              <w:rPr>
                <w:rFonts w:hint="eastAsia" w:ascii="Times New Roman" w:hAnsi="Times New Roman" w:cs="Times New Roman"/>
              </w:rPr>
              <w:t>四周</w:t>
            </w:r>
            <w:r>
              <w:rPr>
                <w:rFonts w:ascii="Times New Roman" w:hAnsi="Times New Roman" w:cs="Times New Roman"/>
              </w:rPr>
              <w:t>雨水沟收集后排入周边</w:t>
            </w:r>
            <w:r>
              <w:rPr>
                <w:rFonts w:hint="eastAsia" w:ascii="Times New Roman" w:hAnsi="Times New Roman" w:cs="Times New Roman"/>
              </w:rPr>
              <w:t>水渠</w:t>
            </w:r>
            <w:r>
              <w:rPr>
                <w:rFonts w:ascii="Times New Roman" w:hAnsi="Times New Roman" w:cs="Times New Roman"/>
              </w:rPr>
              <w:t>，</w:t>
            </w:r>
            <w:r>
              <w:rPr>
                <w:rFonts w:hint="eastAsia"/>
                <w:color w:val="000000"/>
                <w:kern w:val="0"/>
                <w:szCs w:val="24"/>
              </w:rPr>
              <w:t>生</w:t>
            </w:r>
            <w:r>
              <w:rPr>
                <w:rFonts w:ascii="Times New Roman" w:hAnsi="Times New Roman" w:cs="Times New Roman"/>
                <w:bCs w:val="0"/>
                <w:color w:val="000000"/>
                <w:kern w:val="0"/>
                <w:szCs w:val="24"/>
              </w:rPr>
              <w:t>养殖废水经</w:t>
            </w:r>
            <w:r>
              <w:rPr>
                <w:rFonts w:hint="eastAsia" w:ascii="Times New Roman" w:hAnsi="Times New Roman" w:cs="Times New Roman"/>
                <w:bCs w:val="0"/>
                <w:color w:val="000000"/>
                <w:kern w:val="0"/>
                <w:szCs w:val="24"/>
              </w:rPr>
              <w:t>三级过滤沉淀池+污水处理一体化设备</w:t>
            </w:r>
            <w:r>
              <w:rPr>
                <w:rFonts w:ascii="Times New Roman" w:hAnsi="Times New Roman" w:cs="Times New Roman"/>
                <w:bCs w:val="0"/>
                <w:color w:val="000000"/>
                <w:kern w:val="0"/>
                <w:szCs w:val="24"/>
              </w:rPr>
              <w:t>处理后</w:t>
            </w:r>
            <w:r>
              <w:rPr>
                <w:rFonts w:hint="eastAsia" w:ascii="Times New Roman" w:hAnsi="Times New Roman" w:cs="Times New Roman"/>
                <w:bCs w:val="0"/>
                <w:color w:val="000000"/>
                <w:kern w:val="0"/>
                <w:szCs w:val="24"/>
              </w:rPr>
              <w:t>回用于养殖</w:t>
            </w:r>
            <w:r>
              <w:rPr>
                <w:rFonts w:ascii="Times New Roman" w:hAnsi="Times New Roman" w:cs="Times New Roman"/>
                <w:bCs w:val="0"/>
                <w:color w:val="000000"/>
                <w:kern w:val="0"/>
                <w:szCs w:val="24"/>
              </w:rPr>
              <w:t>，</w:t>
            </w:r>
            <w:r>
              <w:rPr>
                <w:rFonts w:hint="eastAsia" w:ascii="Times New Roman" w:hAnsi="Times New Roman" w:cs="Times New Roman"/>
                <w:bCs w:val="0"/>
                <w:color w:val="000000"/>
                <w:kern w:val="0"/>
                <w:szCs w:val="24"/>
              </w:rPr>
              <w:t>待一批次牛蛙养殖完成后，项目尾水用于果园灌溉；</w:t>
            </w:r>
            <w:r>
              <w:rPr>
                <w:rFonts w:ascii="Times New Roman" w:hAnsi="Times New Roman" w:cs="Times New Roman"/>
                <w:bCs w:val="0"/>
                <w:color w:val="000000"/>
                <w:kern w:val="0"/>
                <w:szCs w:val="24"/>
              </w:rPr>
              <w:t>项目员工</w:t>
            </w:r>
            <w:r>
              <w:rPr>
                <w:rFonts w:ascii="Times New Roman" w:hAnsi="Times New Roman" w:cs="Times New Roman"/>
                <w:spacing w:val="-10"/>
              </w:rPr>
              <w:t>均为当地附近村民，村民食宿依托居民自家食宿设施，不在场内食宿，不产生生活污水</w:t>
            </w:r>
            <w:r>
              <w:rPr>
                <w:rFonts w:hint="eastAsia" w:ascii="Times New Roman" w:hAnsi="Times New Roman" w:cs="Times New Roman"/>
              </w:rPr>
              <w:t>。因此，本项目运营期废水对周边环境影响较小。</w:t>
            </w:r>
          </w:p>
          <w:p>
            <w:pPr>
              <w:pStyle w:val="4"/>
              <w:widowControl/>
              <w:numPr>
                <w:ilvl w:val="0"/>
                <w:numId w:val="0"/>
              </w:numPr>
              <w:tabs>
                <w:tab w:val="left" w:pos="360"/>
                <w:tab w:val="left" w:pos="432"/>
              </w:tabs>
              <w:spacing w:beforeLines="0" w:afterLines="0" w:line="288" w:lineRule="auto"/>
              <w:rPr>
                <w:rFonts w:cs="宋体"/>
                <w:bCs w:val="0"/>
              </w:rPr>
            </w:pPr>
            <w:r>
              <w:rPr>
                <w:rFonts w:cs="宋体"/>
                <w:bCs w:val="0"/>
              </w:rPr>
              <w:t>3</w:t>
            </w:r>
            <w:r>
              <w:rPr>
                <w:rFonts w:hint="eastAsia" w:cs="宋体"/>
                <w:bCs w:val="0"/>
              </w:rPr>
              <w:t>、噪声环境影响和防治措施</w:t>
            </w:r>
          </w:p>
          <w:p>
            <w:pPr>
              <w:ind w:firstLine="482"/>
              <w:rPr>
                <w:b/>
              </w:rPr>
            </w:pPr>
            <w:r>
              <w:rPr>
                <w:rFonts w:hint="eastAsia"/>
                <w:b/>
              </w:rPr>
              <w:t>3.1</w:t>
            </w:r>
            <w:r>
              <w:rPr>
                <w:b/>
              </w:rPr>
              <w:t xml:space="preserve"> </w:t>
            </w:r>
            <w:r>
              <w:rPr>
                <w:rFonts w:hint="eastAsia"/>
                <w:b/>
              </w:rPr>
              <w:t>噪声源强情况</w:t>
            </w:r>
          </w:p>
          <w:p>
            <w:pPr>
              <w:ind w:firstLine="480"/>
            </w:pPr>
            <w:r>
              <w:rPr>
                <w:rFonts w:hint="eastAsia"/>
              </w:rPr>
              <w:t>项目主要噪声源为牛蛙生长高峰期叫声、水泵运行产生的噪声，牛蛙在蝌蚪期不发声，产噪时间为中蛙至大蛙养殖期，产生的综合噪声值约为50~70dB(A)，水泵噪声值约为 75~80dB(A) 。本项目水泵采取基础减振等措施进行降噪，由于厂区噪声源分散，按各点声源距离衰减模式预测对外界环境噪声贡献值叠加计算该项目噪声对外界声环境的影响。</w:t>
            </w:r>
          </w:p>
          <w:p>
            <w:pPr>
              <w:ind w:firstLine="482"/>
              <w:rPr>
                <w:b/>
              </w:rPr>
            </w:pPr>
            <w:r>
              <w:rPr>
                <w:rFonts w:hint="eastAsia"/>
                <w:b/>
              </w:rPr>
              <w:t>3.2噪声影响分析</w:t>
            </w:r>
          </w:p>
          <w:p>
            <w:pPr>
              <w:ind w:firstLine="480"/>
            </w:pPr>
            <w:r>
              <w:rPr>
                <w:rFonts w:hint="eastAsia"/>
              </w:rPr>
              <w:t>本次评价采用室外点生源模式进行噪声预测。计算公式为：</w:t>
            </w:r>
          </w:p>
          <w:p>
            <w:pPr>
              <w:ind w:firstLine="480"/>
              <w:jc w:val="center"/>
              <w:rPr>
                <w:position w:val="-13"/>
              </w:rPr>
            </w:pPr>
            <w:r>
              <w:rPr>
                <w:position w:val="-13"/>
              </w:rPr>
              <w:drawing>
                <wp:inline distT="0" distB="0" distL="0" distR="0">
                  <wp:extent cx="3952875" cy="438785"/>
                  <wp:effectExtent l="0" t="0" r="9525" b="18415"/>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6"/>
                          <a:stretch>
                            <a:fillRect/>
                          </a:stretch>
                        </pic:blipFill>
                        <pic:spPr>
                          <a:xfrm>
                            <a:off x="0" y="0"/>
                            <a:ext cx="3953255" cy="438911"/>
                          </a:xfrm>
                          <a:prstGeom prst="rect">
                            <a:avLst/>
                          </a:prstGeom>
                        </pic:spPr>
                      </pic:pic>
                    </a:graphicData>
                  </a:graphic>
                </wp:inline>
              </w:drawing>
            </w:r>
          </w:p>
          <w:p>
            <w:pPr>
              <w:ind w:firstLine="480"/>
            </w:pPr>
            <w:r>
              <w:rPr>
                <w:rFonts w:hint="eastAsia"/>
              </w:rPr>
              <w:t>式中：</w:t>
            </w:r>
          </w:p>
          <w:p>
            <w:pPr>
              <w:ind w:firstLine="480"/>
            </w:pPr>
            <w:r>
              <w:rPr>
                <w:rFonts w:hint="eastAsia"/>
              </w:rPr>
              <w:t>L</w:t>
            </w:r>
            <w:r>
              <w:rPr>
                <w:rFonts w:hint="eastAsia"/>
                <w:vertAlign w:val="subscript"/>
              </w:rPr>
              <w:t>ocr</w:t>
            </w:r>
            <w:r>
              <w:rPr>
                <w:rFonts w:hint="eastAsia"/>
              </w:rPr>
              <w:t>(r)—点声源在预测点产生的倍频带声压级；</w:t>
            </w:r>
          </w:p>
          <w:p>
            <w:pPr>
              <w:ind w:firstLine="480" w:firstLineChars="200"/>
            </w:pPr>
            <w:r>
              <w:rPr>
                <w:rFonts w:hint="eastAsia"/>
              </w:rPr>
              <w:t>L</w:t>
            </w:r>
            <w:r>
              <w:rPr>
                <w:rFonts w:hint="eastAsia"/>
                <w:vertAlign w:val="subscript"/>
              </w:rPr>
              <w:t>ocr</w:t>
            </w:r>
            <w:r>
              <w:rPr>
                <w:rFonts w:hint="eastAsia"/>
              </w:rPr>
              <w:t>(r</w:t>
            </w:r>
            <w:r>
              <w:rPr>
                <w:rFonts w:hint="eastAsia"/>
                <w:vertAlign w:val="subscript"/>
              </w:rPr>
              <w:t>0</w:t>
            </w:r>
            <w:r>
              <w:rPr>
                <w:rFonts w:hint="eastAsia"/>
              </w:rPr>
              <w:t>)参考位置处的倍频带声压级；</w:t>
            </w:r>
          </w:p>
          <w:p>
            <w:pPr>
              <w:ind w:firstLine="480" w:firstLineChars="200"/>
            </w:pPr>
            <w:r>
              <w:rPr>
                <w:rFonts w:hint="eastAsia"/>
              </w:rPr>
              <w:t>r—预测点距声源的距离，m；</w:t>
            </w:r>
          </w:p>
          <w:p>
            <w:pPr>
              <w:ind w:firstLine="480" w:firstLineChars="200"/>
            </w:pPr>
            <w:r>
              <w:rPr>
                <w:rFonts w:hint="eastAsia"/>
              </w:rPr>
              <w:t>r</w:t>
            </w:r>
            <w:r>
              <w:rPr>
                <w:rFonts w:hint="eastAsia"/>
                <w:vertAlign w:val="subscript"/>
              </w:rPr>
              <w:t>0</w:t>
            </w:r>
            <w:r>
              <w:rPr>
                <w:rFonts w:hint="eastAsia"/>
              </w:rPr>
              <w:t>—参考位置距声源的距离，m；</w:t>
            </w:r>
          </w:p>
          <w:p>
            <w:pPr>
              <w:ind w:firstLine="480" w:firstLineChars="200"/>
            </w:pPr>
            <w:r>
              <w:rPr>
                <w:rFonts w:hint="eastAsia"/>
              </w:rPr>
              <w:t>△L</w:t>
            </w:r>
            <w:r>
              <w:rPr>
                <w:rFonts w:hint="eastAsia"/>
                <w:vertAlign w:val="subscript"/>
              </w:rPr>
              <w:t>ocr</w:t>
            </w:r>
            <w:r>
              <w:rPr>
                <w:rFonts w:hint="eastAsia"/>
              </w:rPr>
              <w:t>—各种因素引起的衰减量（包括声屏障、遮挡物、空气吸收、地面效应等）引起的衰减量。其计算方式详见“导则”正文）。</w:t>
            </w:r>
          </w:p>
          <w:p>
            <w:pPr>
              <w:ind w:firstLine="480" w:firstLineChars="200"/>
            </w:pPr>
            <w:r>
              <w:rPr>
                <w:rFonts w:hint="eastAsia"/>
              </w:rPr>
              <w:t>多个声源叠加计算模式为：</w:t>
            </w:r>
          </w:p>
          <w:p>
            <w:pPr>
              <w:ind w:firstLine="480" w:firstLineChars="200"/>
              <w:jc w:val="center"/>
              <w:rPr>
                <w:position w:val="-15"/>
              </w:rPr>
            </w:pPr>
            <w:r>
              <w:rPr>
                <w:position w:val="-15"/>
              </w:rPr>
              <w:drawing>
                <wp:inline distT="0" distB="0" distL="0" distR="0">
                  <wp:extent cx="1953260" cy="485775"/>
                  <wp:effectExtent l="0" t="0" r="8890" b="9525"/>
                  <wp:docPr id="28" name="IM 60"/>
                  <wp:cNvGraphicFramePr/>
                  <a:graphic xmlns:a="http://schemas.openxmlformats.org/drawingml/2006/main">
                    <a:graphicData uri="http://schemas.openxmlformats.org/drawingml/2006/picture">
                      <pic:pic xmlns:pic="http://schemas.openxmlformats.org/drawingml/2006/picture">
                        <pic:nvPicPr>
                          <pic:cNvPr id="28" name="IM 60"/>
                          <pic:cNvPicPr/>
                        </pic:nvPicPr>
                        <pic:blipFill>
                          <a:blip r:embed="rId27"/>
                          <a:stretch>
                            <a:fillRect/>
                          </a:stretch>
                        </pic:blipFill>
                        <pic:spPr>
                          <a:xfrm>
                            <a:off x="0" y="0"/>
                            <a:ext cx="1953768" cy="486156"/>
                          </a:xfrm>
                          <a:prstGeom prst="rect">
                            <a:avLst/>
                          </a:prstGeom>
                        </pic:spPr>
                      </pic:pic>
                    </a:graphicData>
                  </a:graphic>
                </wp:inline>
              </w:drawing>
            </w:r>
          </w:p>
          <w:p>
            <w:pPr>
              <w:ind w:firstLine="480" w:firstLineChars="200"/>
            </w:pPr>
            <w:r>
              <w:rPr>
                <w:rFonts w:hint="eastAsia"/>
              </w:rPr>
              <w:t>式中：L—总声压级，dB；</w:t>
            </w:r>
          </w:p>
          <w:p>
            <w:pPr>
              <w:ind w:firstLine="480" w:firstLineChars="200"/>
            </w:pPr>
            <w:r>
              <w:rPr>
                <w:rFonts w:hint="eastAsia"/>
              </w:rPr>
              <w:t>Li—各声源在此点的声压级，dB；</w:t>
            </w:r>
          </w:p>
          <w:p>
            <w:pPr>
              <w:ind w:firstLine="480" w:firstLineChars="200"/>
            </w:pPr>
            <w:r>
              <w:rPr>
                <w:rFonts w:hint="eastAsia"/>
              </w:rPr>
              <w:t>n—点声源数。</w:t>
            </w:r>
          </w:p>
          <w:p>
            <w:pPr>
              <w:ind w:firstLine="480" w:firstLineChars="200"/>
              <w:jc w:val="left"/>
            </w:pPr>
            <w:r>
              <w:rPr>
                <w:rFonts w:hint="eastAsia"/>
              </w:rPr>
              <w:t>根据《环境噪声控制工程》（郑长聚等编），墙壁对噪声的衰减值大约为15~ 25dB(A)本次预测水泵等设备考虑墙壁隔声量，并以 20dB(A)计。各噪声源经隔声减振后的噪声值计算结果见下表4-3。</w:t>
            </w:r>
          </w:p>
          <w:p>
            <w:pPr>
              <w:jc w:val="center"/>
              <w:rPr>
                <w:b/>
                <w:bCs/>
                <w:sz w:val="21"/>
                <w:szCs w:val="21"/>
              </w:rPr>
            </w:pPr>
            <w:r>
              <w:rPr>
                <w:rFonts w:hint="eastAsia"/>
                <w:b/>
                <w:bCs/>
                <w:sz w:val="21"/>
                <w:szCs w:val="21"/>
              </w:rPr>
              <w:t>表 4-3  项目主要生产设备噪声源强一览表</w:t>
            </w:r>
          </w:p>
          <w:tbl>
            <w:tblPr>
              <w:tblStyle w:val="17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54"/>
              <w:gridCol w:w="2074"/>
              <w:gridCol w:w="728"/>
              <w:gridCol w:w="388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893"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pStyle w:val="266"/>
                    <w:spacing w:line="240" w:lineRule="auto"/>
                    <w:jc w:val="center"/>
                    <w:rPr>
                      <w:b/>
                      <w:bCs/>
                      <w:color w:val="000000"/>
                      <w:sz w:val="21"/>
                      <w:szCs w:val="21"/>
                      <w:lang w:eastAsia="zh-CN"/>
                    </w:rPr>
                  </w:pPr>
                  <w:r>
                    <w:rPr>
                      <w:b/>
                      <w:bCs/>
                      <w:color w:val="000000"/>
                      <w:spacing w:val="-8"/>
                      <w:sz w:val="21"/>
                      <w:szCs w:val="21"/>
                      <w:lang w:eastAsia="zh-CN"/>
                    </w:rPr>
                    <w:t>声源</w:t>
                  </w:r>
                </w:p>
              </w:tc>
              <w:tc>
                <w:tcPr>
                  <w:tcW w:w="1274" w:type="pct"/>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eastAsia="Times New Roman" w:cs="Times New Roman"/>
                      <w:b/>
                      <w:bCs/>
                      <w:color w:val="000000"/>
                      <w:sz w:val="21"/>
                      <w:szCs w:val="21"/>
                      <w:lang w:eastAsia="zh-CN"/>
                    </w:rPr>
                  </w:pPr>
                  <w:r>
                    <w:rPr>
                      <w:b/>
                      <w:bCs/>
                      <w:color w:val="000000"/>
                      <w:spacing w:val="-3"/>
                      <w:sz w:val="21"/>
                      <w:szCs w:val="21"/>
                      <w:lang w:eastAsia="zh-CN"/>
                    </w:rPr>
                    <w:t>声压级</w:t>
                  </w:r>
                  <w:r>
                    <w:rPr>
                      <w:b/>
                      <w:bCs/>
                      <w:color w:val="000000"/>
                      <w:spacing w:val="-53"/>
                      <w:sz w:val="21"/>
                      <w:szCs w:val="21"/>
                      <w:lang w:eastAsia="zh-CN"/>
                    </w:rPr>
                    <w:t xml:space="preserve"> </w:t>
                  </w:r>
                  <w:r>
                    <w:rPr>
                      <w:rFonts w:ascii="Times New Roman" w:hAnsi="Times New Roman" w:eastAsia="Times New Roman" w:cs="Times New Roman"/>
                      <w:b/>
                      <w:bCs/>
                      <w:color w:val="000000"/>
                      <w:spacing w:val="-3"/>
                      <w:sz w:val="21"/>
                      <w:szCs w:val="21"/>
                      <w:lang w:eastAsia="zh-CN"/>
                    </w:rPr>
                    <w:t>dB(A)</w:t>
                  </w:r>
                </w:p>
              </w:tc>
              <w:tc>
                <w:tcPr>
                  <w:tcW w:w="447" w:type="pct"/>
                  <w:tcBorders>
                    <w:top w:val="single" w:color="000000" w:sz="12"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b/>
                      <w:bCs/>
                      <w:color w:val="000000"/>
                      <w:sz w:val="21"/>
                      <w:szCs w:val="21"/>
                      <w:lang w:eastAsia="zh-CN"/>
                    </w:rPr>
                  </w:pPr>
                  <w:r>
                    <w:rPr>
                      <w:b/>
                      <w:bCs/>
                      <w:color w:val="000000"/>
                      <w:spacing w:val="-8"/>
                      <w:sz w:val="21"/>
                      <w:szCs w:val="21"/>
                      <w:lang w:eastAsia="zh-CN"/>
                    </w:rPr>
                    <w:t>数量</w:t>
                  </w:r>
                </w:p>
              </w:tc>
              <w:tc>
                <w:tcPr>
                  <w:tcW w:w="2384" w:type="pc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eastAsia="Times New Roman" w:cs="Times New Roman"/>
                      <w:b/>
                      <w:bCs/>
                      <w:color w:val="000000"/>
                      <w:sz w:val="21"/>
                      <w:szCs w:val="21"/>
                      <w:lang w:eastAsia="zh-CN"/>
                    </w:rPr>
                  </w:pPr>
                  <w:r>
                    <w:rPr>
                      <w:b/>
                      <w:bCs/>
                      <w:color w:val="000000"/>
                      <w:spacing w:val="-3"/>
                      <w:sz w:val="21"/>
                      <w:szCs w:val="21"/>
                      <w:lang w:eastAsia="zh-CN"/>
                    </w:rPr>
                    <w:t>隔音降噪后声压级</w:t>
                  </w:r>
                  <w:r>
                    <w:rPr>
                      <w:b/>
                      <w:bCs/>
                      <w:color w:val="000000"/>
                      <w:spacing w:val="-52"/>
                      <w:sz w:val="21"/>
                      <w:szCs w:val="21"/>
                      <w:lang w:eastAsia="zh-CN"/>
                    </w:rPr>
                    <w:t xml:space="preserve"> </w:t>
                  </w:r>
                  <w:r>
                    <w:rPr>
                      <w:rFonts w:ascii="Times New Roman" w:hAnsi="Times New Roman" w:eastAsia="Times New Roman" w:cs="Times New Roman"/>
                      <w:b/>
                      <w:bCs/>
                      <w:color w:val="000000"/>
                      <w:spacing w:val="-3"/>
                      <w:sz w:val="21"/>
                      <w:szCs w:val="21"/>
                      <w:lang w:eastAsia="zh-CN"/>
                    </w:rPr>
                    <w:t>dB(A)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893"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lang w:eastAsia="zh-CN"/>
                    </w:rPr>
                  </w:pPr>
                  <w:r>
                    <w:rPr>
                      <w:color w:val="000000"/>
                      <w:spacing w:val="-5"/>
                      <w:sz w:val="21"/>
                      <w:szCs w:val="21"/>
                      <w:lang w:eastAsia="zh-CN"/>
                    </w:rPr>
                    <w:t>牛蛙叫声</w:t>
                  </w:r>
                </w:p>
              </w:tc>
              <w:tc>
                <w:tcPr>
                  <w:tcW w:w="1274" w:type="pct"/>
                  <w:tcBorders>
                    <w:top w:val="single" w:color="000000" w:sz="4" w:space="0"/>
                    <w:left w:val="single" w:color="000000" w:sz="4" w:space="0"/>
                    <w:bottom w:val="single" w:color="000000" w:sz="4" w:space="0"/>
                    <w:right w:val="single" w:color="000000" w:sz="12"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5"/>
                      <w:sz w:val="21"/>
                      <w:szCs w:val="21"/>
                    </w:rPr>
                    <w:t>70</w:t>
                  </w:r>
                </w:p>
              </w:tc>
              <w:tc>
                <w:tcPr>
                  <w:tcW w:w="44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z w:val="21"/>
                      <w:szCs w:val="21"/>
                    </w:rPr>
                    <w:t>/</w:t>
                  </w:r>
                </w:p>
              </w:tc>
              <w:tc>
                <w:tcPr>
                  <w:tcW w:w="23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5"/>
                      <w:sz w:val="21"/>
                      <w:szCs w:val="21"/>
                    </w:rPr>
                    <w:t>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893"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color w:val="000000"/>
                      <w:sz w:val="21"/>
                      <w:szCs w:val="21"/>
                      <w:lang w:eastAsia="zh-CN"/>
                    </w:rPr>
                  </w:pPr>
                  <w:r>
                    <w:rPr>
                      <w:color w:val="000000"/>
                      <w:spacing w:val="-8"/>
                      <w:sz w:val="21"/>
                      <w:szCs w:val="21"/>
                      <w:lang w:eastAsia="zh-CN"/>
                    </w:rPr>
                    <w:t>水泵</w:t>
                  </w:r>
                </w:p>
              </w:tc>
              <w:tc>
                <w:tcPr>
                  <w:tcW w:w="1274" w:type="pct"/>
                  <w:tcBorders>
                    <w:top w:val="single" w:color="000000" w:sz="4" w:space="0"/>
                    <w:left w:val="single" w:color="000000" w:sz="4" w:space="0"/>
                    <w:bottom w:val="single" w:color="000000" w:sz="4" w:space="0"/>
                    <w:right w:val="single" w:color="000000" w:sz="12"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8"/>
                      <w:sz w:val="21"/>
                      <w:szCs w:val="21"/>
                    </w:rPr>
                    <w:t>80</w:t>
                  </w:r>
                </w:p>
              </w:tc>
              <w:tc>
                <w:tcPr>
                  <w:tcW w:w="44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rFonts w:hint="eastAsia"/>
                      <w:color w:val="000000"/>
                      <w:sz w:val="21"/>
                      <w:szCs w:val="21"/>
                    </w:rPr>
                    <w:t>3</w:t>
                  </w:r>
                </w:p>
              </w:tc>
              <w:tc>
                <w:tcPr>
                  <w:tcW w:w="2384"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6"/>
                      <w:sz w:val="21"/>
                      <w:szCs w:val="21"/>
                    </w:rPr>
                    <w:t>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893" w:type="pct"/>
                  <w:tcBorders>
                    <w:top w:val="single" w:color="000000" w:sz="4" w:space="0"/>
                    <w:left w:val="single" w:color="000000" w:sz="12" w:space="0"/>
                    <w:bottom w:val="single" w:color="000000" w:sz="12" w:space="0"/>
                    <w:right w:val="single" w:color="000000" w:sz="4" w:space="0"/>
                  </w:tcBorders>
                  <w:shd w:val="clear" w:color="auto" w:fill="FFFFFF"/>
                  <w:vAlign w:val="center"/>
                </w:tcPr>
                <w:p>
                  <w:pPr>
                    <w:pStyle w:val="266"/>
                    <w:spacing w:line="240" w:lineRule="auto"/>
                    <w:jc w:val="center"/>
                    <w:rPr>
                      <w:color w:val="000000"/>
                      <w:sz w:val="21"/>
                      <w:szCs w:val="21"/>
                      <w:lang w:eastAsia="zh-CN"/>
                    </w:rPr>
                  </w:pPr>
                  <w:r>
                    <w:rPr>
                      <w:color w:val="000000"/>
                      <w:spacing w:val="-6"/>
                      <w:sz w:val="21"/>
                      <w:szCs w:val="21"/>
                      <w:lang w:eastAsia="zh-CN"/>
                    </w:rPr>
                    <w:t>合并源强</w:t>
                  </w:r>
                </w:p>
              </w:tc>
              <w:tc>
                <w:tcPr>
                  <w:tcW w:w="4106" w:type="pct"/>
                  <w:gridSpan w:val="3"/>
                  <w:tcBorders>
                    <w:top w:val="single" w:color="000000" w:sz="4" w:space="0"/>
                    <w:left w:val="single" w:color="000000" w:sz="4" w:space="0"/>
                    <w:bottom w:val="single" w:color="000000" w:sz="12" w:space="0"/>
                    <w:right w:val="single" w:color="000000" w:sz="12"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1"/>
                      <w:sz w:val="21"/>
                      <w:szCs w:val="21"/>
                    </w:rPr>
                    <w:t>7</w:t>
                  </w:r>
                  <w:r>
                    <w:rPr>
                      <w:rFonts w:hint="eastAsia"/>
                      <w:color w:val="000000"/>
                      <w:spacing w:val="-1"/>
                      <w:sz w:val="21"/>
                      <w:szCs w:val="21"/>
                      <w:lang w:val="en-US" w:eastAsia="zh-CN"/>
                    </w:rPr>
                    <w:t>7</w:t>
                  </w:r>
                  <w:r>
                    <w:rPr>
                      <w:rFonts w:eastAsia="Times New Roman"/>
                      <w:color w:val="000000"/>
                      <w:spacing w:val="-1"/>
                      <w:sz w:val="21"/>
                      <w:szCs w:val="21"/>
                    </w:rPr>
                    <w:t>dB(A)</w:t>
                  </w:r>
                </w:p>
              </w:tc>
            </w:tr>
          </w:tbl>
          <w:p>
            <w:pPr>
              <w:jc w:val="center"/>
              <w:rPr>
                <w:b/>
                <w:bCs/>
                <w:sz w:val="21"/>
                <w:szCs w:val="21"/>
              </w:rPr>
            </w:pPr>
            <w:r>
              <w:rPr>
                <w:rFonts w:hint="eastAsia"/>
                <w:b/>
                <w:bCs/>
                <w:sz w:val="21"/>
                <w:szCs w:val="21"/>
              </w:rPr>
              <w:t>表 4-4  各噪声源对厂界处噪声贡献值预测结果</w:t>
            </w:r>
          </w:p>
          <w:tbl>
            <w:tblPr>
              <w:tblStyle w:val="173"/>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22"/>
              <w:gridCol w:w="2028"/>
              <w:gridCol w:w="1306"/>
              <w:gridCol w:w="1912"/>
              <w:gridCol w:w="520"/>
              <w:gridCol w:w="521"/>
              <w:gridCol w:w="10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 w:hRule="atLeast"/>
                <w:jc w:val="center"/>
              </w:trPr>
              <w:tc>
                <w:tcPr>
                  <w:tcW w:w="505" w:type="pct"/>
                  <w:vMerge w:val="restar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8"/>
                      <w:sz w:val="21"/>
                      <w:szCs w:val="21"/>
                      <w:lang w:eastAsia="zh-CN"/>
                    </w:rPr>
                    <w:t>噪声源</w:t>
                  </w:r>
                </w:p>
              </w:tc>
              <w:tc>
                <w:tcPr>
                  <w:tcW w:w="1245"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6"/>
                      <w:sz w:val="21"/>
                      <w:szCs w:val="21"/>
                      <w:lang w:eastAsia="zh-CN"/>
                    </w:rPr>
                    <w:t>预测点</w:t>
                  </w:r>
                </w:p>
              </w:tc>
              <w:tc>
                <w:tcPr>
                  <w:tcW w:w="802"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eastAsia="Times New Roman" w:cs="Times New Roman"/>
                      <w:b/>
                      <w:bCs/>
                      <w:color w:val="000000"/>
                      <w:sz w:val="21"/>
                      <w:szCs w:val="21"/>
                      <w:lang w:eastAsia="zh-CN"/>
                    </w:rPr>
                  </w:pPr>
                  <w:r>
                    <w:rPr>
                      <w:rFonts w:ascii="Times New Roman" w:hAnsi="Times New Roman" w:cs="Times New Roman"/>
                      <w:b/>
                      <w:bCs/>
                      <w:color w:val="000000"/>
                      <w:spacing w:val="-8"/>
                      <w:sz w:val="21"/>
                      <w:szCs w:val="21"/>
                      <w:lang w:eastAsia="zh-CN"/>
                    </w:rPr>
                    <w:t>声源</w:t>
                  </w:r>
                  <w:r>
                    <w:rPr>
                      <w:rFonts w:ascii="Times New Roman" w:hAnsi="Times New Roman" w:cs="Times New Roman"/>
                      <w:b/>
                      <w:bCs/>
                      <w:color w:val="000000"/>
                      <w:spacing w:val="-4"/>
                      <w:sz w:val="21"/>
                      <w:szCs w:val="21"/>
                      <w:lang w:eastAsia="zh-CN"/>
                    </w:rPr>
                    <w:t>距离</w:t>
                  </w:r>
                  <w:r>
                    <w:rPr>
                      <w:rFonts w:ascii="Times New Roman" w:hAnsi="Times New Roman" w:eastAsia="Times New Roman" w:cs="Times New Roman"/>
                      <w:b/>
                      <w:bCs/>
                      <w:color w:val="000000"/>
                      <w:spacing w:val="-4"/>
                      <w:sz w:val="21"/>
                      <w:szCs w:val="21"/>
                      <w:lang w:eastAsia="zh-CN"/>
                    </w:rPr>
                    <w:t>/m</w:t>
                  </w:r>
                </w:p>
              </w:tc>
              <w:tc>
                <w:tcPr>
                  <w:tcW w:w="1174"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6"/>
                      <w:sz w:val="21"/>
                      <w:szCs w:val="21"/>
                      <w:lang w:eastAsia="zh-CN"/>
                    </w:rPr>
                    <w:t>贡献值预测结果</w:t>
                  </w:r>
                </w:p>
              </w:tc>
              <w:tc>
                <w:tcPr>
                  <w:tcW w:w="639" w:type="pct"/>
                  <w:gridSpan w:val="2"/>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4"/>
                      <w:sz w:val="21"/>
                      <w:szCs w:val="21"/>
                      <w:lang w:eastAsia="zh-CN"/>
                    </w:rPr>
                    <w:t>标准限值</w:t>
                  </w:r>
                </w:p>
              </w:tc>
              <w:tc>
                <w:tcPr>
                  <w:tcW w:w="631" w:type="pct"/>
                  <w:vMerge w:val="restart"/>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7"/>
                      <w:sz w:val="21"/>
                      <w:szCs w:val="21"/>
                      <w:lang w:eastAsia="zh-CN"/>
                    </w:rPr>
                    <w:t>达标情</w:t>
                  </w:r>
                  <w:r>
                    <w:rPr>
                      <w:rFonts w:ascii="Times New Roman" w:hAnsi="Times New Roman" w:cs="Times New Roman"/>
                      <w:b/>
                      <w:bCs/>
                      <w:color w:val="000000"/>
                      <w:sz w:val="21"/>
                      <w:szCs w:val="21"/>
                      <w:lang w:eastAsia="zh-CN"/>
                    </w:rPr>
                    <w:t>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jc w:val="center"/>
              </w:trPr>
              <w:tc>
                <w:tcPr>
                  <w:tcW w:w="505"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124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80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1174"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31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8"/>
                      <w:sz w:val="21"/>
                      <w:szCs w:val="21"/>
                      <w:lang w:eastAsia="zh-CN"/>
                    </w:rPr>
                    <w:t>昼间</w:t>
                  </w:r>
                </w:p>
              </w:tc>
              <w:tc>
                <w:tcPr>
                  <w:tcW w:w="319"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lang w:eastAsia="zh-CN"/>
                    </w:rPr>
                  </w:pPr>
                  <w:r>
                    <w:rPr>
                      <w:rFonts w:ascii="Times New Roman" w:hAnsi="Times New Roman" w:cs="Times New Roman"/>
                      <w:b/>
                      <w:bCs/>
                      <w:color w:val="000000"/>
                      <w:spacing w:val="-8"/>
                      <w:sz w:val="21"/>
                      <w:szCs w:val="21"/>
                      <w:lang w:eastAsia="zh-CN"/>
                    </w:rPr>
                    <w:t>夜间</w:t>
                  </w:r>
                </w:p>
              </w:tc>
              <w:tc>
                <w:tcPr>
                  <w:tcW w:w="631" w:type="pct"/>
                  <w:vMerge w:val="continue"/>
                  <w:tcBorders>
                    <w:top w:val="single" w:color="000000" w:sz="4" w:space="0"/>
                    <w:left w:val="single" w:color="000000" w:sz="4" w:space="0"/>
                    <w:bottom w:val="single" w:color="000000" w:sz="4" w:space="0"/>
                    <w:right w:val="single" w:color="000000" w:sz="12" w:space="0"/>
                  </w:tcBorders>
                  <w:shd w:val="clear" w:color="auto" w:fill="FFFFFF"/>
                  <w:vAlign w:val="center"/>
                </w:tcPr>
                <w:p>
                  <w:pPr>
                    <w:spacing w:line="240" w:lineRule="auto"/>
                    <w:jc w:val="center"/>
                    <w:rPr>
                      <w:color w:val="000000"/>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jc w:val="center"/>
              </w:trPr>
              <w:tc>
                <w:tcPr>
                  <w:tcW w:w="505" w:type="pct"/>
                  <w:vMerge w:val="restar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z w:val="21"/>
                      <w:szCs w:val="21"/>
                      <w:lang w:eastAsia="zh-CN"/>
                    </w:rPr>
                    <w:t>养殖场</w:t>
                  </w:r>
                </w:p>
              </w:tc>
              <w:tc>
                <w:tcPr>
                  <w:tcW w:w="1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2"/>
                      <w:sz w:val="21"/>
                      <w:szCs w:val="21"/>
                      <w:lang w:eastAsia="zh-CN"/>
                    </w:rPr>
                    <w:t>项目厂界东面</w:t>
                  </w:r>
                  <w:r>
                    <w:rPr>
                      <w:rFonts w:hint="eastAsia" w:ascii="Times New Roman" w:hAnsi="Times New Roman" w:cs="Times New Roman"/>
                      <w:color w:val="000000"/>
                      <w:spacing w:val="-2"/>
                      <w:sz w:val="21"/>
                      <w:szCs w:val="21"/>
                      <w:lang w:eastAsia="zh-CN"/>
                    </w:rPr>
                    <w:t>(S1)</w:t>
                  </w:r>
                </w:p>
              </w:tc>
              <w:tc>
                <w:tcPr>
                  <w:tcW w:w="802"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10"/>
                      <w:sz w:val="21"/>
                      <w:szCs w:val="21"/>
                    </w:rPr>
                    <w:t>143</w:t>
                  </w:r>
                </w:p>
              </w:tc>
              <w:tc>
                <w:tcPr>
                  <w:tcW w:w="11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3"/>
                      <w:sz w:val="21"/>
                      <w:szCs w:val="21"/>
                    </w:rPr>
                    <w:t>33.9</w:t>
                  </w:r>
                </w:p>
              </w:tc>
              <w:tc>
                <w:tcPr>
                  <w:tcW w:w="319" w:type="pct"/>
                  <w:vMerge w:val="restart"/>
                  <w:tcBorders>
                    <w:top w:val="single" w:color="000000" w:sz="4" w:space="0"/>
                    <w:left w:val="single" w:color="000000" w:sz="4" w:space="0"/>
                    <w:right w:val="single" w:color="000000" w:sz="4" w:space="0"/>
                  </w:tcBorders>
                  <w:shd w:val="clear" w:color="auto" w:fill="FFFFFF"/>
                  <w:vAlign w:val="center"/>
                </w:tcPr>
                <w:p>
                  <w:pPr>
                    <w:spacing w:line="240" w:lineRule="auto"/>
                    <w:jc w:val="center"/>
                    <w:rPr>
                      <w:rFonts w:hint="default" w:eastAsia="宋体"/>
                      <w:color w:val="000000"/>
                      <w:sz w:val="21"/>
                      <w:szCs w:val="21"/>
                      <w:lang w:val="en-US" w:eastAsia="zh-CN"/>
                    </w:rPr>
                  </w:pPr>
                  <w:r>
                    <w:rPr>
                      <w:rFonts w:hint="eastAsia"/>
                      <w:color w:val="000000"/>
                      <w:spacing w:val="-6"/>
                      <w:sz w:val="21"/>
                      <w:szCs w:val="21"/>
                      <w:lang w:val="en-US" w:eastAsia="zh-CN"/>
                    </w:rPr>
                    <w:t>60</w:t>
                  </w:r>
                </w:p>
              </w:tc>
              <w:tc>
                <w:tcPr>
                  <w:tcW w:w="319" w:type="pct"/>
                  <w:vMerge w:val="restart"/>
                  <w:tcBorders>
                    <w:top w:val="single" w:color="000000" w:sz="4" w:space="0"/>
                    <w:left w:val="single" w:color="000000" w:sz="4" w:space="0"/>
                    <w:right w:val="single" w:color="000000" w:sz="4" w:space="0"/>
                  </w:tcBorders>
                  <w:shd w:val="clear" w:color="auto" w:fill="FFFFFF"/>
                  <w:vAlign w:val="center"/>
                </w:tcPr>
                <w:p>
                  <w:pPr>
                    <w:spacing w:line="240" w:lineRule="auto"/>
                    <w:jc w:val="center"/>
                    <w:rPr>
                      <w:rFonts w:hint="default" w:eastAsia="宋体"/>
                      <w:color w:val="000000"/>
                      <w:sz w:val="21"/>
                      <w:szCs w:val="21"/>
                      <w:lang w:val="en-US" w:eastAsia="zh-CN"/>
                    </w:rPr>
                  </w:pPr>
                  <w:r>
                    <w:rPr>
                      <w:rFonts w:hint="eastAsia"/>
                      <w:color w:val="000000"/>
                      <w:sz w:val="21"/>
                      <w:szCs w:val="21"/>
                      <w:lang w:val="en-US" w:eastAsia="zh-CN"/>
                    </w:rPr>
                    <w:t>50</w:t>
                  </w:r>
                </w:p>
              </w:tc>
              <w:tc>
                <w:tcPr>
                  <w:tcW w:w="631"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10"/>
                      <w:sz w:val="21"/>
                      <w:szCs w:val="21"/>
                      <w:lang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jc w:val="center"/>
              </w:trPr>
              <w:tc>
                <w:tcPr>
                  <w:tcW w:w="505"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1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eastAsia="Times New Roman" w:cs="Times New Roman"/>
                      <w:color w:val="000000"/>
                      <w:sz w:val="21"/>
                      <w:szCs w:val="21"/>
                      <w:lang w:eastAsia="zh-CN"/>
                    </w:rPr>
                  </w:pPr>
                  <w:r>
                    <w:rPr>
                      <w:rFonts w:ascii="Times New Roman" w:hAnsi="Times New Roman" w:cs="Times New Roman"/>
                      <w:color w:val="000000"/>
                      <w:spacing w:val="-2"/>
                      <w:sz w:val="21"/>
                      <w:szCs w:val="21"/>
                      <w:lang w:eastAsia="zh-CN"/>
                    </w:rPr>
                    <w:t>项目厂界南面</w:t>
                  </w:r>
                  <w:r>
                    <w:rPr>
                      <w:rFonts w:ascii="Times New Roman" w:hAnsi="Times New Roman" w:eastAsia="Times New Roman" w:cs="Times New Roman"/>
                      <w:color w:val="000000"/>
                      <w:spacing w:val="-2"/>
                      <w:sz w:val="21"/>
                      <w:szCs w:val="21"/>
                      <w:lang w:eastAsia="zh-CN"/>
                    </w:rPr>
                    <w:t>(S2)</w:t>
                  </w:r>
                </w:p>
              </w:tc>
              <w:tc>
                <w:tcPr>
                  <w:tcW w:w="802"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10"/>
                      <w:sz w:val="21"/>
                      <w:szCs w:val="21"/>
                    </w:rPr>
                    <w:t>100</w:t>
                  </w:r>
                </w:p>
              </w:tc>
              <w:tc>
                <w:tcPr>
                  <w:tcW w:w="11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3"/>
                      <w:sz w:val="21"/>
                      <w:szCs w:val="21"/>
                    </w:rPr>
                    <w:t>37.1</w:t>
                  </w:r>
                </w:p>
              </w:tc>
              <w:tc>
                <w:tcPr>
                  <w:tcW w:w="319" w:type="pct"/>
                  <w:vMerge w:val="continue"/>
                  <w:tcBorders>
                    <w:left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319" w:type="pct"/>
                  <w:vMerge w:val="continue"/>
                  <w:tcBorders>
                    <w:left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631"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10"/>
                      <w:sz w:val="21"/>
                      <w:szCs w:val="21"/>
                      <w:lang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jc w:val="center"/>
              </w:trPr>
              <w:tc>
                <w:tcPr>
                  <w:tcW w:w="505"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1245" w:type="pc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eastAsia="Times New Roman" w:cs="Times New Roman"/>
                      <w:color w:val="000000"/>
                      <w:sz w:val="21"/>
                      <w:szCs w:val="21"/>
                      <w:lang w:eastAsia="zh-CN"/>
                    </w:rPr>
                  </w:pPr>
                  <w:r>
                    <w:rPr>
                      <w:rFonts w:ascii="Times New Roman" w:hAnsi="Times New Roman" w:cs="Times New Roman"/>
                      <w:color w:val="000000"/>
                      <w:spacing w:val="-2"/>
                      <w:sz w:val="21"/>
                      <w:szCs w:val="21"/>
                      <w:lang w:eastAsia="zh-CN"/>
                    </w:rPr>
                    <w:t>项目厂界西面</w:t>
                  </w:r>
                  <w:r>
                    <w:rPr>
                      <w:rFonts w:ascii="Times New Roman" w:hAnsi="Times New Roman" w:eastAsia="Times New Roman" w:cs="Times New Roman"/>
                      <w:color w:val="000000"/>
                      <w:spacing w:val="-2"/>
                      <w:sz w:val="21"/>
                      <w:szCs w:val="21"/>
                      <w:lang w:eastAsia="zh-CN"/>
                    </w:rPr>
                    <w:t>(S3)</w:t>
                  </w:r>
                </w:p>
              </w:tc>
              <w:tc>
                <w:tcPr>
                  <w:tcW w:w="802"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10"/>
                      <w:sz w:val="21"/>
                      <w:szCs w:val="21"/>
                    </w:rPr>
                    <w:t>168</w:t>
                  </w:r>
                </w:p>
              </w:tc>
              <w:tc>
                <w:tcPr>
                  <w:tcW w:w="1174"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3"/>
                      <w:sz w:val="21"/>
                      <w:szCs w:val="21"/>
                    </w:rPr>
                    <w:t>32.5</w:t>
                  </w:r>
                </w:p>
              </w:tc>
              <w:tc>
                <w:tcPr>
                  <w:tcW w:w="319" w:type="pct"/>
                  <w:vMerge w:val="continue"/>
                  <w:tcBorders>
                    <w:left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319" w:type="pct"/>
                  <w:vMerge w:val="continue"/>
                  <w:tcBorders>
                    <w:left w:val="single" w:color="000000" w:sz="4" w:space="0"/>
                    <w:right w:val="single" w:color="000000" w:sz="4" w:space="0"/>
                  </w:tcBorders>
                  <w:shd w:val="clear" w:color="auto" w:fill="FFFFFF"/>
                  <w:vAlign w:val="center"/>
                </w:tcPr>
                <w:p>
                  <w:pPr>
                    <w:spacing w:line="240" w:lineRule="auto"/>
                    <w:jc w:val="center"/>
                    <w:rPr>
                      <w:color w:val="000000"/>
                      <w:sz w:val="21"/>
                      <w:szCs w:val="21"/>
                    </w:rPr>
                  </w:pPr>
                </w:p>
              </w:tc>
              <w:tc>
                <w:tcPr>
                  <w:tcW w:w="631"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10"/>
                      <w:sz w:val="21"/>
                      <w:szCs w:val="21"/>
                      <w:lang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jc w:val="center"/>
              </w:trPr>
              <w:tc>
                <w:tcPr>
                  <w:tcW w:w="505" w:type="pct"/>
                  <w:vMerge w:val="continue"/>
                  <w:tcBorders>
                    <w:top w:val="single" w:color="000000" w:sz="4" w:space="0"/>
                    <w:left w:val="single" w:color="000000" w:sz="12" w:space="0"/>
                    <w:bottom w:val="single" w:color="000000" w:sz="12" w:space="0"/>
                    <w:right w:val="single" w:color="000000" w:sz="4" w:space="0"/>
                  </w:tcBorders>
                  <w:shd w:val="clear" w:color="auto" w:fill="FFFFFF"/>
                  <w:vAlign w:val="center"/>
                </w:tcPr>
                <w:p>
                  <w:pPr>
                    <w:spacing w:line="240" w:lineRule="auto"/>
                    <w:jc w:val="center"/>
                    <w:rPr>
                      <w:color w:val="000000"/>
                      <w:sz w:val="21"/>
                      <w:szCs w:val="21"/>
                    </w:rPr>
                  </w:pPr>
                </w:p>
              </w:tc>
              <w:tc>
                <w:tcPr>
                  <w:tcW w:w="1245" w:type="pct"/>
                  <w:tcBorders>
                    <w:top w:val="single" w:color="000000" w:sz="4" w:space="0"/>
                    <w:left w:val="single" w:color="000000" w:sz="4" w:space="0"/>
                    <w:bottom w:val="single" w:color="000000" w:sz="12" w:space="0"/>
                    <w:right w:val="single" w:color="000000" w:sz="4" w:space="0"/>
                  </w:tcBorders>
                  <w:shd w:val="clear" w:color="auto" w:fill="FFFFFF"/>
                  <w:vAlign w:val="center"/>
                </w:tcPr>
                <w:p>
                  <w:pPr>
                    <w:pStyle w:val="266"/>
                    <w:spacing w:line="240" w:lineRule="auto"/>
                    <w:jc w:val="center"/>
                    <w:rPr>
                      <w:rFonts w:ascii="Times New Roman" w:hAnsi="Times New Roman" w:eastAsia="Times New Roman" w:cs="Times New Roman"/>
                      <w:color w:val="000000"/>
                      <w:sz w:val="21"/>
                      <w:szCs w:val="21"/>
                      <w:lang w:eastAsia="zh-CN"/>
                    </w:rPr>
                  </w:pPr>
                  <w:r>
                    <w:rPr>
                      <w:rFonts w:ascii="Times New Roman" w:hAnsi="Times New Roman" w:cs="Times New Roman"/>
                      <w:color w:val="000000"/>
                      <w:spacing w:val="-2"/>
                      <w:sz w:val="21"/>
                      <w:szCs w:val="21"/>
                      <w:lang w:eastAsia="zh-CN"/>
                    </w:rPr>
                    <w:t>项目厂界北面</w:t>
                  </w:r>
                  <w:r>
                    <w:rPr>
                      <w:rFonts w:ascii="Times New Roman" w:hAnsi="Times New Roman" w:eastAsia="Times New Roman" w:cs="Times New Roman"/>
                      <w:color w:val="000000"/>
                      <w:spacing w:val="-2"/>
                      <w:sz w:val="21"/>
                      <w:szCs w:val="21"/>
                      <w:lang w:eastAsia="zh-CN"/>
                    </w:rPr>
                    <w:t>(S4)</w:t>
                  </w:r>
                </w:p>
              </w:tc>
              <w:tc>
                <w:tcPr>
                  <w:tcW w:w="802" w:type="pct"/>
                  <w:tcBorders>
                    <w:top w:val="single" w:color="000000" w:sz="4" w:space="0"/>
                    <w:left w:val="single" w:color="000000" w:sz="4" w:space="0"/>
                    <w:bottom w:val="single" w:color="000000" w:sz="12"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2"/>
                      <w:sz w:val="21"/>
                      <w:szCs w:val="21"/>
                    </w:rPr>
                    <w:t>259</w:t>
                  </w:r>
                </w:p>
              </w:tc>
              <w:tc>
                <w:tcPr>
                  <w:tcW w:w="1174" w:type="pct"/>
                  <w:tcBorders>
                    <w:top w:val="single" w:color="000000" w:sz="4" w:space="0"/>
                    <w:left w:val="single" w:color="000000" w:sz="4" w:space="0"/>
                    <w:bottom w:val="single" w:color="000000" w:sz="12" w:space="0"/>
                    <w:right w:val="single" w:color="000000" w:sz="4" w:space="0"/>
                  </w:tcBorders>
                  <w:shd w:val="clear" w:color="auto" w:fill="FFFFFF"/>
                  <w:vAlign w:val="center"/>
                </w:tcPr>
                <w:p>
                  <w:pPr>
                    <w:spacing w:line="240" w:lineRule="auto"/>
                    <w:jc w:val="center"/>
                    <w:rPr>
                      <w:rFonts w:eastAsia="Times New Roman"/>
                      <w:color w:val="000000"/>
                      <w:sz w:val="21"/>
                      <w:szCs w:val="21"/>
                    </w:rPr>
                  </w:pPr>
                  <w:r>
                    <w:rPr>
                      <w:rFonts w:eastAsia="Times New Roman"/>
                      <w:color w:val="000000"/>
                      <w:spacing w:val="-2"/>
                      <w:sz w:val="21"/>
                      <w:szCs w:val="21"/>
                    </w:rPr>
                    <w:t>28.8</w:t>
                  </w:r>
                </w:p>
              </w:tc>
              <w:tc>
                <w:tcPr>
                  <w:tcW w:w="319" w:type="pct"/>
                  <w:vMerge w:val="continue"/>
                  <w:tcBorders>
                    <w:left w:val="single" w:color="000000" w:sz="4" w:space="0"/>
                    <w:bottom w:val="single" w:color="000000" w:sz="12" w:space="0"/>
                    <w:right w:val="single" w:color="000000" w:sz="4" w:space="0"/>
                  </w:tcBorders>
                  <w:shd w:val="clear" w:color="auto" w:fill="FFFFFF"/>
                  <w:vAlign w:val="center"/>
                </w:tcPr>
                <w:p>
                  <w:pPr>
                    <w:spacing w:line="240" w:lineRule="auto"/>
                    <w:jc w:val="center"/>
                    <w:rPr>
                      <w:rFonts w:eastAsia="Times New Roman"/>
                      <w:color w:val="000000"/>
                      <w:sz w:val="21"/>
                      <w:szCs w:val="21"/>
                    </w:rPr>
                  </w:pPr>
                </w:p>
              </w:tc>
              <w:tc>
                <w:tcPr>
                  <w:tcW w:w="319" w:type="pct"/>
                  <w:vMerge w:val="continue"/>
                  <w:tcBorders>
                    <w:left w:val="single" w:color="000000" w:sz="4" w:space="0"/>
                    <w:bottom w:val="single" w:color="000000" w:sz="12" w:space="0"/>
                    <w:right w:val="single" w:color="000000" w:sz="4" w:space="0"/>
                  </w:tcBorders>
                  <w:shd w:val="clear" w:color="auto" w:fill="FFFFFF"/>
                  <w:vAlign w:val="center"/>
                </w:tcPr>
                <w:p>
                  <w:pPr>
                    <w:spacing w:line="240" w:lineRule="auto"/>
                    <w:jc w:val="center"/>
                    <w:rPr>
                      <w:rFonts w:eastAsia="Times New Roman"/>
                      <w:color w:val="000000"/>
                      <w:sz w:val="21"/>
                      <w:szCs w:val="21"/>
                    </w:rPr>
                  </w:pPr>
                </w:p>
              </w:tc>
              <w:tc>
                <w:tcPr>
                  <w:tcW w:w="631" w:type="pct"/>
                  <w:tcBorders>
                    <w:top w:val="single" w:color="000000" w:sz="4" w:space="0"/>
                    <w:left w:val="single" w:color="000000" w:sz="4" w:space="0"/>
                    <w:bottom w:val="single" w:color="000000" w:sz="12"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10"/>
                      <w:sz w:val="21"/>
                      <w:szCs w:val="21"/>
                      <w:lang w:eastAsia="zh-CN"/>
                    </w:rPr>
                    <w:t>达标</w:t>
                  </w:r>
                </w:p>
              </w:tc>
            </w:tr>
          </w:tbl>
          <w:p>
            <w:pPr>
              <w:ind w:firstLine="480" w:firstLineChars="200"/>
              <w:jc w:val="left"/>
            </w:pPr>
            <w:r>
              <w:rPr>
                <w:rFonts w:hint="eastAsia"/>
              </w:rPr>
              <w:t>项目运营期采取的降噪措施主要为选用低噪声设备，同时，尽量将噪声大的噪声源远离厂界和敏感点，通过距离衰减降噪、加装隔音减震措施及墙体隔声等措施，经采取措施后可有效控制噪声影响。</w:t>
            </w:r>
          </w:p>
          <w:p>
            <w:pPr>
              <w:ind w:firstLine="480"/>
              <w:rPr>
                <w:rFonts w:hAnsi="宋体"/>
                <w:b/>
              </w:rPr>
            </w:pPr>
            <w:r>
              <w:rPr>
                <w:rFonts w:hint="eastAsia" w:hAnsi="宋体"/>
                <w:b/>
              </w:rPr>
              <w:t>3.</w:t>
            </w:r>
            <w:r>
              <w:rPr>
                <w:rFonts w:hint="eastAsia" w:hAnsi="宋体"/>
                <w:b/>
                <w:lang w:val="en-US" w:eastAsia="zh-CN"/>
              </w:rPr>
              <w:t>3</w:t>
            </w:r>
            <w:r>
              <w:rPr>
                <w:rFonts w:hint="eastAsia" w:hAnsi="宋体"/>
                <w:b/>
              </w:rPr>
              <w:t>噪声影响结论</w:t>
            </w:r>
          </w:p>
          <w:p>
            <w:pPr>
              <w:ind w:firstLine="480"/>
              <w:rPr>
                <w:rFonts w:hAnsi="宋体"/>
                <w:b/>
              </w:rPr>
            </w:pPr>
            <w:r>
              <w:rPr>
                <w:rFonts w:hint="eastAsia"/>
              </w:rPr>
              <w:t xml:space="preserve">噪声源为牛蛙生长高峰期叫声、水泵运行产生的噪声。本项目水泵采取基础减振等措施进行降噪。通过预测，本项目噪声对周边环境贡献值满足《工业企业厂界环境噪声排放标准》(GB12348-2008) </w:t>
            </w:r>
            <w:r>
              <w:rPr>
                <w:rFonts w:hint="eastAsia"/>
                <w:lang w:val="en-US" w:eastAsia="zh-CN"/>
              </w:rPr>
              <w:t>2</w:t>
            </w:r>
            <w:r>
              <w:rPr>
                <w:rFonts w:hint="eastAsia"/>
              </w:rPr>
              <w:t>类标准。因此，本项目运营期噪声对周边环境影响较小</w:t>
            </w:r>
            <w:r>
              <w:rPr>
                <w:rFonts w:hint="eastAsia" w:hAnsi="宋体"/>
                <w:bCs/>
              </w:rPr>
              <w:t>。</w:t>
            </w:r>
          </w:p>
          <w:p>
            <w:pPr>
              <w:pStyle w:val="4"/>
              <w:widowControl/>
              <w:numPr>
                <w:ilvl w:val="0"/>
                <w:numId w:val="0"/>
              </w:numPr>
              <w:tabs>
                <w:tab w:val="left" w:pos="360"/>
                <w:tab w:val="left" w:pos="432"/>
              </w:tabs>
              <w:spacing w:beforeLines="0" w:afterLines="0" w:line="288" w:lineRule="auto"/>
              <w:rPr>
                <w:rFonts w:cs="宋体"/>
                <w:bCs w:val="0"/>
              </w:rPr>
            </w:pPr>
            <w:r>
              <w:rPr>
                <w:rFonts w:cs="宋体"/>
                <w:bCs w:val="0"/>
              </w:rPr>
              <w:t>4</w:t>
            </w:r>
            <w:r>
              <w:rPr>
                <w:rFonts w:hint="eastAsia" w:cs="宋体"/>
                <w:bCs w:val="0"/>
              </w:rPr>
              <w:t>、固体废物环境影响和防治措施</w:t>
            </w:r>
          </w:p>
          <w:p>
            <w:pPr>
              <w:ind w:firstLine="480"/>
            </w:pPr>
            <w:r>
              <w:rPr>
                <w:rFonts w:hint="eastAsia"/>
              </w:rPr>
              <w:t>（1）一般工业固废</w:t>
            </w:r>
          </w:p>
          <w:p>
            <w:pPr>
              <w:ind w:firstLine="480"/>
            </w:pPr>
            <w:r>
              <w:rPr>
                <w:rFonts w:hint="eastAsia"/>
              </w:rPr>
              <w:t>①废弃编织袋</w:t>
            </w:r>
          </w:p>
          <w:p>
            <w:pPr>
              <w:ind w:firstLine="480"/>
            </w:pPr>
            <w:r>
              <w:rPr>
                <w:rFonts w:hint="eastAsia"/>
              </w:rPr>
              <w:t>牛蛙饲料及生石灰年使用量2020.2t，废编织袋产生量为饲料及生石灰使用量的0. 1%，约2.02t/a，不在场区暂存，日产日清，及时外售至废品收购站。</w:t>
            </w:r>
          </w:p>
          <w:p>
            <w:pPr>
              <w:pStyle w:val="6"/>
              <w:spacing w:before="0" w:after="0" w:line="360" w:lineRule="auto"/>
              <w:ind w:right="0" w:firstLine="480" w:firstLineChars="200"/>
              <w:rPr>
                <w:rFonts w:hint="default" w:eastAsia="宋体"/>
                <w:sz w:val="24"/>
                <w:szCs w:val="24"/>
                <w:lang w:val="en-US" w:eastAsia="zh-CN"/>
              </w:rPr>
            </w:pPr>
            <w:r>
              <w:rPr>
                <w:rFonts w:hint="eastAsia"/>
                <w:sz w:val="24"/>
                <w:szCs w:val="24"/>
              </w:rPr>
              <w:t>②</w:t>
            </w:r>
            <w:r>
              <w:rPr>
                <w:rFonts w:hint="eastAsia"/>
                <w:sz w:val="24"/>
                <w:szCs w:val="24"/>
                <w:lang w:val="en-US" w:eastAsia="zh-CN"/>
              </w:rPr>
              <w:t>污水处理污泥</w:t>
            </w:r>
          </w:p>
          <w:p>
            <w:pPr>
              <w:pStyle w:val="6"/>
              <w:spacing w:before="0" w:after="0" w:line="360" w:lineRule="auto"/>
              <w:ind w:right="0" w:firstLine="480" w:firstLineChars="200"/>
              <w:rPr>
                <w:sz w:val="24"/>
                <w:szCs w:val="24"/>
              </w:rPr>
            </w:pPr>
            <w:r>
              <w:rPr>
                <w:rFonts w:hint="eastAsia"/>
                <w:sz w:val="24"/>
                <w:szCs w:val="24"/>
              </w:rPr>
              <w:t>根据建设单位提供的资料，本项目在日常养殖过程中，</w:t>
            </w:r>
            <w:r>
              <w:rPr>
                <w:rFonts w:hint="eastAsia"/>
                <w:sz w:val="24"/>
                <w:szCs w:val="24"/>
                <w:lang w:val="en-US" w:eastAsia="zh-CN"/>
              </w:rPr>
              <w:t>污水处理污泥</w:t>
            </w:r>
            <w:r>
              <w:rPr>
                <w:rFonts w:hint="eastAsia"/>
                <w:sz w:val="24"/>
                <w:szCs w:val="24"/>
              </w:rPr>
              <w:t>主要来自投放残饵和牛蛙的粪便，根据类比调查，此类养殖场</w:t>
            </w:r>
            <w:r>
              <w:rPr>
                <w:rFonts w:hint="eastAsia"/>
                <w:sz w:val="24"/>
                <w:szCs w:val="24"/>
                <w:lang w:val="en-US" w:eastAsia="zh-CN"/>
              </w:rPr>
              <w:t>污水处理污泥</w:t>
            </w:r>
            <w:r>
              <w:rPr>
                <w:rFonts w:hint="eastAsia"/>
                <w:sz w:val="24"/>
                <w:szCs w:val="24"/>
              </w:rPr>
              <w:t>产生量约为100t/a。</w:t>
            </w:r>
            <w:r>
              <w:rPr>
                <w:rFonts w:hint="eastAsia"/>
                <w:sz w:val="24"/>
                <w:szCs w:val="24"/>
                <w:lang w:val="en-US" w:eastAsia="zh-CN"/>
              </w:rPr>
              <w:t>污水处理污泥暂存</w:t>
            </w:r>
            <w:r>
              <w:rPr>
                <w:rFonts w:hint="eastAsia"/>
                <w:sz w:val="24"/>
                <w:szCs w:val="24"/>
              </w:rPr>
              <w:t>，日产日清，及时外运作农用肥。</w:t>
            </w:r>
          </w:p>
          <w:p>
            <w:pPr>
              <w:ind w:firstLine="480"/>
            </w:pPr>
            <w:r>
              <w:rPr>
                <w:rFonts w:hint="eastAsia"/>
              </w:rPr>
              <w:t>③病死蛙</w:t>
            </w:r>
          </w:p>
          <w:p>
            <w:pPr>
              <w:ind w:firstLine="480"/>
              <w:rPr>
                <w:rFonts w:hint="eastAsia"/>
              </w:rPr>
            </w:pPr>
            <w:r>
              <w:rPr>
                <w:rFonts w:hint="eastAsia"/>
              </w:rPr>
              <w:t>养殖过程在蝌蚪-长脚幼蛙和幼蛙-成蛙阶段均会出现死亡个体，病蛙观察池内亦有病死蛙体。根据生产经验和项目总体养殖规模，死亡蝌蚪和牛蛙约为</w:t>
            </w:r>
            <w:r>
              <w:rPr>
                <w:rFonts w:hint="eastAsia"/>
                <w:lang w:val="en-US" w:eastAsia="zh-CN"/>
              </w:rPr>
              <w:t>3.5</w:t>
            </w:r>
            <w:r>
              <w:rPr>
                <w:rFonts w:hint="eastAsia"/>
              </w:rPr>
              <w:t>t/a。</w:t>
            </w:r>
          </w:p>
          <w:p>
            <w:pPr>
              <w:ind w:firstLine="480"/>
              <w:rPr>
                <w:rFonts w:hint="eastAsia"/>
              </w:rPr>
            </w:pPr>
            <w:r>
              <w:rPr>
                <w:rFonts w:hint="eastAsia"/>
                <w:lang w:val="en-US" w:eastAsia="zh-CN"/>
              </w:rPr>
              <w:t>日常</w:t>
            </w:r>
            <w:r>
              <w:rPr>
                <w:rFonts w:hint="eastAsia"/>
              </w:rPr>
              <w:t>死亡蝌蚪和牛蛙通过饲养员定期打捞后</w:t>
            </w:r>
            <w:r>
              <w:rPr>
                <w:rFonts w:hint="eastAsia"/>
                <w:lang w:eastAsia="zh-CN"/>
              </w:rPr>
              <w:t>，</w:t>
            </w:r>
            <w:r>
              <w:rPr>
                <w:rFonts w:hint="eastAsia"/>
                <w:lang w:val="en-US" w:eastAsia="zh-CN"/>
              </w:rPr>
              <w:t>使用安全填埋井进行填埋，死蛙表面覆盖2-5cm生石灰</w:t>
            </w:r>
            <w:r>
              <w:rPr>
                <w:rFonts w:hint="eastAsia"/>
              </w:rPr>
              <w:t>。如出现</w:t>
            </w:r>
            <w:r>
              <w:rPr>
                <w:rFonts w:hint="eastAsia"/>
                <w:lang w:val="en-US" w:eastAsia="zh-CN"/>
              </w:rPr>
              <w:t>疫情</w:t>
            </w:r>
            <w:r>
              <w:rPr>
                <w:rFonts w:hint="eastAsia"/>
              </w:rPr>
              <w:t>时，送至项目化尸桶</w:t>
            </w:r>
            <w:r>
              <w:rPr>
                <w:rFonts w:hint="eastAsia"/>
                <w:lang w:val="en-US" w:eastAsia="zh-CN"/>
              </w:rPr>
              <w:t>内</w:t>
            </w:r>
            <w:r>
              <w:rPr>
                <w:rFonts w:hint="eastAsia"/>
              </w:rPr>
              <w:t>处置</w:t>
            </w:r>
            <w:r>
              <w:rPr>
                <w:rFonts w:hint="eastAsia"/>
                <w:lang w:eastAsia="zh-CN"/>
              </w:rPr>
              <w:t>，</w:t>
            </w:r>
            <w:r>
              <w:rPr>
                <w:rFonts w:hint="eastAsia"/>
                <w:lang w:val="en-US" w:eastAsia="zh-CN"/>
              </w:rPr>
              <w:t>并在表面覆盖2-5cm生石灰，放置在危废仓库内，</w:t>
            </w:r>
            <w:r>
              <w:rPr>
                <w:rFonts w:hint="eastAsia"/>
              </w:rPr>
              <w:t>作为危险废物送至附近死畜禽处置中心进行处置，建设单位不可私自进行填埋。</w:t>
            </w:r>
          </w:p>
          <w:p>
            <w:pPr>
              <w:ind w:firstLine="480"/>
            </w:pPr>
            <w:r>
              <w:rPr>
                <w:rFonts w:hint="eastAsia"/>
              </w:rPr>
              <w:t>（2）职工生活垃圾</w:t>
            </w:r>
          </w:p>
          <w:p>
            <w:pPr>
              <w:ind w:firstLine="480"/>
            </w:pPr>
            <w:r>
              <w:rPr>
                <w:rFonts w:hint="eastAsia"/>
              </w:rPr>
              <w:t>项目劳动定员10人，年工作日210天，生活垃圾按每个职工产生量0.5kg/人·d计，生活垃圾产生量约为1.05t/a，日产日清，收集后由环卫部门统一处理。</w:t>
            </w:r>
          </w:p>
          <w:p>
            <w:pPr>
              <w:ind w:firstLine="480"/>
            </w:pPr>
            <w:r>
              <w:rPr>
                <w:rFonts w:hint="eastAsia"/>
              </w:rPr>
              <w:t>综上，本项目固废产生情况汇总见下表。</w:t>
            </w:r>
          </w:p>
          <w:p>
            <w:pPr>
              <w:ind w:firstLine="480"/>
              <w:jc w:val="center"/>
            </w:pPr>
            <w:r>
              <w:rPr>
                <w:rFonts w:hint="eastAsia"/>
                <w:b/>
                <w:bCs/>
                <w:sz w:val="21"/>
                <w:szCs w:val="21"/>
              </w:rPr>
              <w:t>表4-4 本项目一般固体废物分析结果汇总表</w:t>
            </w:r>
          </w:p>
          <w:tbl>
            <w:tblPr>
              <w:tblStyle w:val="173"/>
              <w:tblW w:w="807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6"/>
              <w:gridCol w:w="1493"/>
              <w:gridCol w:w="1965"/>
              <w:gridCol w:w="1290"/>
              <w:gridCol w:w="26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jc w:val="center"/>
              </w:trPr>
              <w:tc>
                <w:tcPr>
                  <w:tcW w:w="636" w:type="dxa"/>
                  <w:tcBorders>
                    <w:top w:val="single" w:color="000000" w:sz="12" w:space="0"/>
                    <w:left w:val="single" w:color="000000" w:sz="12" w:space="0"/>
                    <w:bottom w:val="single" w:color="000000" w:sz="4" w:space="0"/>
                    <w:right w:val="single" w:color="000000" w:sz="4" w:space="0"/>
                    <w:tl2br w:val="nil"/>
                  </w:tcBorders>
                  <w:shd w:val="clear" w:color="auto" w:fill="FFFFFF"/>
                  <w:textDirection w:val="tbRlV"/>
                  <w:vAlign w:val="center"/>
                </w:tcPr>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4"/>
                      <w:sz w:val="21"/>
                      <w:szCs w:val="21"/>
                    </w:rPr>
                    <w:t>序号</w:t>
                  </w:r>
                </w:p>
              </w:tc>
              <w:tc>
                <w:tcPr>
                  <w:tcW w:w="1493"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11"/>
                      <w:sz w:val="21"/>
                      <w:szCs w:val="21"/>
                    </w:rPr>
                    <w:t>固废名称</w:t>
                  </w:r>
                </w:p>
              </w:tc>
              <w:tc>
                <w:tcPr>
                  <w:tcW w:w="1965"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5"/>
                      <w:sz w:val="21"/>
                      <w:szCs w:val="21"/>
                    </w:rPr>
                    <w:t>废物类别</w:t>
                  </w:r>
                </w:p>
              </w:tc>
              <w:tc>
                <w:tcPr>
                  <w:tcW w:w="1290" w:type="dxa"/>
                  <w:tcBorders>
                    <w:top w:val="single" w:color="000000" w:sz="12"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6"/>
                      <w:sz w:val="21"/>
                      <w:szCs w:val="21"/>
                    </w:rPr>
                    <w:t>产生量</w:t>
                  </w:r>
                </w:p>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5"/>
                      <w:sz w:val="21"/>
                      <w:szCs w:val="21"/>
                    </w:rPr>
                    <w:t>（t/a）</w:t>
                  </w:r>
                </w:p>
              </w:tc>
              <w:tc>
                <w:tcPr>
                  <w:tcW w:w="2693" w:type="dxa"/>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b/>
                      <w:bCs/>
                      <w:color w:val="000000"/>
                      <w:sz w:val="21"/>
                      <w:szCs w:val="21"/>
                    </w:rPr>
                  </w:pPr>
                  <w:r>
                    <w:rPr>
                      <w:rFonts w:ascii="Times New Roman" w:hAnsi="Times New Roman" w:cs="Times New Roman"/>
                      <w:b/>
                      <w:bCs/>
                      <w:color w:val="000000"/>
                      <w:spacing w:val="-12"/>
                      <w:sz w:val="21"/>
                      <w:szCs w:val="21"/>
                    </w:rPr>
                    <w:t>去向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636" w:type="dxa"/>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color w:val="000000"/>
                      <w:sz w:val="21"/>
                      <w:szCs w:val="21"/>
                    </w:rPr>
                    <w:t>1</w:t>
                  </w:r>
                </w:p>
              </w:tc>
              <w:tc>
                <w:tcPr>
                  <w:tcW w:w="14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ascii="Times New Roman" w:hAnsi="Times New Roman" w:cs="Times New Roman"/>
                      <w:color w:val="000000"/>
                      <w:spacing w:val="-4"/>
                      <w:sz w:val="21"/>
                      <w:szCs w:val="21"/>
                    </w:rPr>
                    <w:t>废弃编织袋</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ascii="Times New Roman" w:hAnsi="Times New Roman" w:cs="Times New Roman"/>
                      <w:color w:val="000000"/>
                      <w:spacing w:val="-4"/>
                      <w:sz w:val="21"/>
                      <w:szCs w:val="21"/>
                    </w:rPr>
                    <w:t>一般固废</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color w:val="000000"/>
                      <w:spacing w:val="-2"/>
                      <w:sz w:val="21"/>
                      <w:szCs w:val="21"/>
                    </w:rPr>
                    <w:t>2.02</w:t>
                  </w:r>
                </w:p>
              </w:tc>
              <w:tc>
                <w:tcPr>
                  <w:tcW w:w="2693"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ascii="Times New Roman" w:hAnsi="Times New Roman" w:cs="Times New Roman"/>
                      <w:color w:val="000000"/>
                      <w:spacing w:val="-3"/>
                      <w:sz w:val="21"/>
                      <w:szCs w:val="21"/>
                    </w:rPr>
                    <w:t>外售至废品收购站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jc w:val="center"/>
              </w:trPr>
              <w:tc>
                <w:tcPr>
                  <w:tcW w:w="636" w:type="dxa"/>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color w:val="000000"/>
                      <w:sz w:val="21"/>
                      <w:szCs w:val="21"/>
                    </w:rPr>
                    <w:t>2</w:t>
                  </w:r>
                </w:p>
              </w:tc>
              <w:tc>
                <w:tcPr>
                  <w:tcW w:w="14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hint="eastAsia" w:ascii="Times New Roman" w:hAnsi="Times New Roman" w:cs="Times New Roman"/>
                      <w:color w:val="000000"/>
                      <w:spacing w:val="-5"/>
                      <w:sz w:val="21"/>
                      <w:szCs w:val="21"/>
                    </w:rPr>
                    <w:t>非疫病死亡牛蛙</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lang w:val="en-US" w:eastAsia="zh-CN"/>
                    </w:rPr>
                  </w:pPr>
                  <w:r>
                    <w:rPr>
                      <w:rFonts w:ascii="Times New Roman" w:hAnsi="Times New Roman" w:cs="Times New Roman"/>
                      <w:color w:val="000000"/>
                      <w:spacing w:val="-4"/>
                      <w:sz w:val="21"/>
                      <w:szCs w:val="21"/>
                    </w:rPr>
                    <w:t>一般固废</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rFonts w:hint="eastAsia"/>
                      <w:color w:val="000000"/>
                      <w:sz w:val="21"/>
                      <w:szCs w:val="21"/>
                    </w:rPr>
                    <w:t>3.5</w:t>
                  </w:r>
                </w:p>
              </w:tc>
              <w:tc>
                <w:tcPr>
                  <w:tcW w:w="2693"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ind w:right="145"/>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日常</w:t>
                  </w:r>
                  <w:r>
                    <w:rPr>
                      <w:rFonts w:hint="eastAsia" w:ascii="Times New Roman" w:hAnsi="Times New Roman" w:cs="Times New Roman"/>
                      <w:color w:val="000000"/>
                      <w:spacing w:val="-5"/>
                      <w:sz w:val="21"/>
                      <w:szCs w:val="21"/>
                    </w:rPr>
                    <w:t>非疫病死亡牛蛙</w:t>
                  </w:r>
                  <w:r>
                    <w:rPr>
                      <w:rFonts w:hint="eastAsia" w:ascii="Times New Roman" w:hAnsi="Times New Roman" w:cs="Times New Roman"/>
                      <w:color w:val="000000"/>
                      <w:sz w:val="21"/>
                      <w:szCs w:val="21"/>
                      <w:lang w:val="en-US" w:eastAsia="zh-CN"/>
                    </w:rPr>
                    <w:t>使用安全填埋井进行填埋（</w:t>
                  </w:r>
                  <w:r>
                    <w:rPr>
                      <w:rFonts w:hint="eastAsia" w:ascii="Times New Roman" w:hAnsi="Times New Roman" w:cs="Times New Roman"/>
                      <w:color w:val="000000"/>
                      <w:spacing w:val="-5"/>
                      <w:sz w:val="21"/>
                      <w:szCs w:val="21"/>
                    </w:rPr>
                    <w:t>若有疫病死亡现象则需</w:t>
                  </w:r>
                  <w:r>
                    <w:rPr>
                      <w:rFonts w:hint="eastAsia" w:ascii="Times New Roman" w:hAnsi="Times New Roman" w:cs="Times New Roman"/>
                      <w:color w:val="000000"/>
                      <w:spacing w:val="-5"/>
                      <w:sz w:val="21"/>
                      <w:szCs w:val="21"/>
                      <w:lang w:val="en-US" w:eastAsia="zh-CN"/>
                    </w:rPr>
                    <w:t>使用化尸桶存储放置在危废暂存间内</w:t>
                  </w:r>
                  <w:r>
                    <w:rPr>
                      <w:rFonts w:hint="eastAsia" w:ascii="Times New Roman" w:hAnsi="Times New Roman" w:cs="Times New Roman"/>
                      <w:color w:val="000000"/>
                      <w:spacing w:val="-5"/>
                      <w:sz w:val="21"/>
                      <w:szCs w:val="21"/>
                    </w:rPr>
                    <w:t>作为危险废物</w:t>
                  </w:r>
                  <w:r>
                    <w:rPr>
                      <w:rFonts w:hint="eastAsia" w:ascii="Times New Roman" w:hAnsi="Times New Roman" w:cs="Times New Roman"/>
                      <w:color w:val="000000"/>
                      <w:spacing w:val="-5"/>
                      <w:sz w:val="21"/>
                      <w:szCs w:val="21"/>
                      <w:lang w:val="en-US" w:eastAsia="zh-CN"/>
                    </w:rPr>
                    <w:t>送至附近死畜禽处置中心进行</w:t>
                  </w:r>
                  <w:r>
                    <w:rPr>
                      <w:rFonts w:hint="eastAsia" w:ascii="Times New Roman" w:hAnsi="Times New Roman" w:cs="Times New Roman"/>
                      <w:color w:val="000000"/>
                      <w:spacing w:val="-5"/>
                      <w:sz w:val="21"/>
                      <w:szCs w:val="21"/>
                    </w:rPr>
                    <w:t>处置</w:t>
                  </w:r>
                  <w:r>
                    <w:rPr>
                      <w:rFonts w:hint="eastAsia" w:ascii="Times New Roman" w:hAnsi="Times New Roman" w:cs="Times New Roman"/>
                      <w:color w:val="000000"/>
                      <w:sz w:val="21"/>
                      <w:szCs w:val="21"/>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36" w:type="dxa"/>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color w:val="000000"/>
                      <w:sz w:val="21"/>
                      <w:szCs w:val="21"/>
                    </w:rPr>
                    <w:t>3</w:t>
                  </w:r>
                </w:p>
              </w:tc>
              <w:tc>
                <w:tcPr>
                  <w:tcW w:w="14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hint="eastAsia" w:ascii="Times New Roman" w:hAnsi="Times New Roman" w:cs="Times New Roman"/>
                      <w:color w:val="000000"/>
                      <w:spacing w:val="-10"/>
                      <w:sz w:val="21"/>
                      <w:szCs w:val="21"/>
                      <w:lang w:val="en-US" w:eastAsia="zh-CN"/>
                    </w:rPr>
                    <w:t>污水处理污</w:t>
                  </w:r>
                  <w:r>
                    <w:rPr>
                      <w:rFonts w:ascii="Times New Roman" w:hAnsi="Times New Roman" w:cs="Times New Roman"/>
                      <w:color w:val="000000"/>
                      <w:spacing w:val="-10"/>
                      <w:sz w:val="21"/>
                      <w:szCs w:val="21"/>
                    </w:rPr>
                    <w:t>泥</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rPr>
                  </w:pPr>
                  <w:r>
                    <w:rPr>
                      <w:rFonts w:ascii="Times New Roman" w:hAnsi="Times New Roman" w:cs="Times New Roman"/>
                      <w:color w:val="000000"/>
                      <w:spacing w:val="-4"/>
                      <w:sz w:val="21"/>
                      <w:szCs w:val="21"/>
                    </w:rPr>
                    <w:t>一般固废</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rFonts w:hint="eastAsia"/>
                      <w:color w:val="000000"/>
                      <w:sz w:val="21"/>
                      <w:szCs w:val="21"/>
                    </w:rPr>
                    <w:t>100</w:t>
                  </w:r>
                </w:p>
              </w:tc>
              <w:tc>
                <w:tcPr>
                  <w:tcW w:w="2693"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ind w:right="145" w:firstLine="2"/>
                    <w:jc w:val="center"/>
                    <w:rPr>
                      <w:rFonts w:ascii="Times New Roman" w:hAnsi="Times New Roman" w:cs="Times New Roman"/>
                      <w:color w:val="000000"/>
                      <w:sz w:val="21"/>
                      <w:szCs w:val="21"/>
                      <w:lang w:eastAsia="zh-CN"/>
                    </w:rPr>
                  </w:pPr>
                  <w:r>
                    <w:rPr>
                      <w:rFonts w:ascii="Times New Roman" w:hAnsi="Times New Roman" w:cs="Times New Roman"/>
                      <w:color w:val="000000"/>
                      <w:spacing w:val="-9"/>
                      <w:sz w:val="21"/>
                      <w:szCs w:val="21"/>
                      <w:lang w:eastAsia="zh-CN"/>
                    </w:rPr>
                    <w:t>不在场区暂存，</w:t>
                  </w:r>
                  <w:r>
                    <w:rPr>
                      <w:rFonts w:ascii="Times New Roman" w:hAnsi="Times New Roman" w:cs="Times New Roman"/>
                      <w:color w:val="000000"/>
                      <w:spacing w:val="-53"/>
                      <w:sz w:val="21"/>
                      <w:szCs w:val="21"/>
                      <w:lang w:eastAsia="zh-CN"/>
                    </w:rPr>
                    <w:t xml:space="preserve"> </w:t>
                  </w:r>
                  <w:r>
                    <w:rPr>
                      <w:rFonts w:ascii="Times New Roman" w:hAnsi="Times New Roman" w:cs="Times New Roman"/>
                      <w:color w:val="000000"/>
                      <w:spacing w:val="-9"/>
                      <w:sz w:val="21"/>
                      <w:szCs w:val="21"/>
                      <w:lang w:eastAsia="zh-CN"/>
                    </w:rPr>
                    <w:t>日产日</w:t>
                  </w:r>
                  <w:r>
                    <w:rPr>
                      <w:rFonts w:ascii="Times New Roman" w:hAnsi="Times New Roman" w:cs="Times New Roman"/>
                      <w:color w:val="000000"/>
                      <w:spacing w:val="-2"/>
                      <w:sz w:val="21"/>
                      <w:szCs w:val="21"/>
                      <w:lang w:eastAsia="zh-CN"/>
                    </w:rPr>
                    <w:t>清，及时外运作农用肥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36" w:type="dxa"/>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hint="eastAsia" w:eastAsia="宋体"/>
                      <w:color w:val="000000"/>
                      <w:sz w:val="21"/>
                      <w:szCs w:val="21"/>
                      <w:lang w:eastAsia="zh-CN"/>
                    </w:rPr>
                  </w:pPr>
                  <w:r>
                    <w:rPr>
                      <w:rFonts w:hint="eastAsia"/>
                      <w:color w:val="000000"/>
                      <w:sz w:val="21"/>
                      <w:szCs w:val="21"/>
                      <w:lang w:val="en-US" w:eastAsia="zh-CN"/>
                    </w:rPr>
                    <w:t>5</w:t>
                  </w:r>
                </w:p>
              </w:tc>
              <w:tc>
                <w:tcPr>
                  <w:tcW w:w="1493"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8"/>
                      <w:sz w:val="21"/>
                      <w:szCs w:val="21"/>
                      <w:lang w:eastAsia="zh-CN"/>
                    </w:rPr>
                    <w:t>生活垃圾</w:t>
                  </w:r>
                </w:p>
              </w:tc>
              <w:tc>
                <w:tcPr>
                  <w:tcW w:w="1965"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5"/>
                      <w:sz w:val="21"/>
                      <w:szCs w:val="21"/>
                      <w:lang w:eastAsia="zh-CN"/>
                    </w:rPr>
                    <w:t>一般固废</w:t>
                  </w:r>
                </w:p>
              </w:tc>
              <w:tc>
                <w:tcPr>
                  <w:tcW w:w="12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color w:val="000000"/>
                      <w:sz w:val="21"/>
                      <w:szCs w:val="21"/>
                    </w:rPr>
                  </w:pPr>
                  <w:r>
                    <w:rPr>
                      <w:color w:val="000000"/>
                      <w:spacing w:val="-8"/>
                      <w:sz w:val="21"/>
                      <w:szCs w:val="21"/>
                    </w:rPr>
                    <w:t>1.05</w:t>
                  </w:r>
                </w:p>
              </w:tc>
              <w:tc>
                <w:tcPr>
                  <w:tcW w:w="2693" w:type="dxa"/>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ascii="Times New Roman" w:hAnsi="Times New Roman" w:cs="Times New Roman"/>
                      <w:color w:val="000000"/>
                      <w:sz w:val="21"/>
                      <w:szCs w:val="21"/>
                      <w:lang w:eastAsia="zh-CN"/>
                    </w:rPr>
                  </w:pPr>
                  <w:r>
                    <w:rPr>
                      <w:rFonts w:ascii="Times New Roman" w:hAnsi="Times New Roman" w:cs="Times New Roman"/>
                      <w:color w:val="000000"/>
                      <w:spacing w:val="-3"/>
                      <w:sz w:val="21"/>
                      <w:szCs w:val="21"/>
                      <w:lang w:eastAsia="zh-CN"/>
                    </w:rPr>
                    <w:t>交由环卫部门清运</w:t>
                  </w:r>
                </w:p>
              </w:tc>
            </w:tr>
          </w:tbl>
          <w:p>
            <w:pPr>
              <w:ind w:firstLine="480" w:firstLineChars="200"/>
            </w:pPr>
            <w:r>
              <w:rPr>
                <w:rFonts w:hint="eastAsia"/>
              </w:rPr>
              <w:t>本项目产生的各种固体废弃物均得到妥善处理，符合减量化、资源化、无害化处理原则，其对当地环境影响较小。</w:t>
            </w:r>
          </w:p>
          <w:p>
            <w:pPr>
              <w:pStyle w:val="4"/>
              <w:widowControl/>
              <w:numPr>
                <w:ilvl w:val="0"/>
                <w:numId w:val="0"/>
              </w:numPr>
              <w:tabs>
                <w:tab w:val="left" w:pos="360"/>
                <w:tab w:val="left" w:pos="432"/>
              </w:tabs>
              <w:spacing w:beforeLines="0" w:afterLines="0" w:line="240" w:lineRule="auto"/>
              <w:rPr>
                <w:rFonts w:cs="宋体"/>
                <w:bCs w:val="0"/>
              </w:rPr>
            </w:pPr>
            <w:r>
              <w:rPr>
                <w:rFonts w:cs="宋体"/>
                <w:bCs w:val="0"/>
              </w:rPr>
              <w:t>5</w:t>
            </w:r>
            <w:r>
              <w:rPr>
                <w:rFonts w:hint="eastAsia" w:cs="宋体"/>
                <w:bCs w:val="0"/>
              </w:rPr>
              <w:t>、地下水、土壤环境影响分析</w:t>
            </w:r>
          </w:p>
          <w:p>
            <w:pPr>
              <w:ind w:firstLine="480"/>
              <w:rPr>
                <w:bCs/>
              </w:rPr>
            </w:pPr>
            <w:r>
              <w:rPr>
                <w:rFonts w:hint="eastAsia"/>
                <w:bCs/>
              </w:rPr>
              <w:t>根据《环境影响评价技术导则-地下水环境》（HJ610-2016）附录A，行业类别属于“15、淡水养殖工程”，地下水环境影响评价项目类别属于Ⅳ类，故不开展地下水环境影响评价。</w:t>
            </w:r>
          </w:p>
          <w:p>
            <w:pPr>
              <w:ind w:firstLine="480"/>
            </w:pPr>
            <w:r>
              <w:rPr>
                <w:rFonts w:hint="eastAsia"/>
                <w:bCs/>
              </w:rPr>
              <w:t>根据《环境影响评价技术导则-土壤环境（试行）》（HJ964-2018）附录A，本项目属于 “农林牧渔业 其他”，土壤环境影响评价项目类别属于Ⅳ类，故不开展土壤环境影响评价工作</w:t>
            </w:r>
            <w:r>
              <w:rPr>
                <w:bCs/>
              </w:rPr>
              <w:t>。</w:t>
            </w:r>
          </w:p>
          <w:p>
            <w:pPr>
              <w:pStyle w:val="4"/>
              <w:widowControl/>
              <w:numPr>
                <w:ilvl w:val="0"/>
                <w:numId w:val="0"/>
              </w:numPr>
              <w:tabs>
                <w:tab w:val="left" w:pos="360"/>
                <w:tab w:val="left" w:pos="432"/>
              </w:tabs>
              <w:spacing w:beforeLines="0" w:afterLines="0" w:line="240" w:lineRule="auto"/>
              <w:rPr>
                <w:rFonts w:cs="宋体"/>
                <w:bCs w:val="0"/>
              </w:rPr>
            </w:pPr>
            <w:r>
              <w:rPr>
                <w:rFonts w:hint="eastAsia" w:cs="宋体"/>
                <w:bCs w:val="0"/>
              </w:rPr>
              <w:t>6、环境风险分析</w:t>
            </w:r>
          </w:p>
          <w:p>
            <w:pPr>
              <w:spacing w:afterAutospacing="0"/>
              <w:ind w:firstLine="480" w:firstLineChars="200"/>
              <w:rPr>
                <w:rFonts w:hint="eastAsia"/>
              </w:rPr>
            </w:pPr>
            <w:r>
              <w:rPr>
                <w:rFonts w:hint="eastAsia"/>
              </w:rPr>
              <w:t>根据《建设项目环境风险评价技术导则》（HJ169-2018）附录 B ，项目所用的原辅材料、产品均不属于风险物质，本项目主要对项目疾病疫情等进行评述。</w:t>
            </w:r>
          </w:p>
          <w:p>
            <w:pPr>
              <w:pStyle w:val="6"/>
              <w:spacing w:before="0" w:beforeAutospacing="0" w:after="0" w:afterAutospacing="0" w:line="360" w:lineRule="auto"/>
              <w:ind w:firstLine="480" w:firstLineChars="200"/>
              <w:rPr>
                <w:rFonts w:hint="eastAsia"/>
                <w:sz w:val="24"/>
                <w:szCs w:val="24"/>
              </w:rPr>
            </w:pPr>
            <w:r>
              <w:rPr>
                <w:rFonts w:hint="eastAsia"/>
                <w:sz w:val="24"/>
                <w:szCs w:val="24"/>
              </w:rPr>
              <w:t>疾病事故风险：牛蛙养殖规模大、密度高、传播速度快，疾病威胁严重，一旦发生难控制，可直接导致牲畜死亡、产品低劣、产量下降，防治费用增加，经济损失巨大。</w:t>
            </w:r>
          </w:p>
          <w:p>
            <w:pPr>
              <w:pStyle w:val="6"/>
              <w:spacing w:before="0" w:beforeAutospacing="0" w:after="0" w:afterAutospacing="0" w:line="360" w:lineRule="auto"/>
              <w:ind w:firstLine="480" w:firstLineChars="200"/>
              <w:rPr>
                <w:rFonts w:hint="eastAsia"/>
                <w:sz w:val="24"/>
                <w:szCs w:val="24"/>
              </w:rPr>
            </w:pPr>
            <w:r>
              <w:rPr>
                <w:rFonts w:hint="eastAsia"/>
                <w:sz w:val="24"/>
                <w:szCs w:val="24"/>
              </w:rPr>
              <w:t>依据《建设项目环境风险评价技术导则》（HJ/T169-2018）结合项目特点，对项目运营期可能发生的环境风险事故进行定性分析，重点在于提出防范、应急措施。</w:t>
            </w:r>
          </w:p>
          <w:p>
            <w:pPr>
              <w:pStyle w:val="6"/>
              <w:spacing w:before="0" w:beforeAutospacing="0" w:after="0" w:afterAutospacing="0" w:line="360" w:lineRule="auto"/>
              <w:jc w:val="left"/>
              <w:rPr>
                <w:rFonts w:hint="eastAsia"/>
                <w:b/>
                <w:bCs/>
                <w:sz w:val="24"/>
                <w:szCs w:val="24"/>
              </w:rPr>
            </w:pPr>
            <w:r>
              <w:rPr>
                <w:rFonts w:hint="eastAsia"/>
                <w:b/>
                <w:bCs/>
                <w:sz w:val="24"/>
                <w:szCs w:val="24"/>
                <w:lang w:val="en-US" w:eastAsia="zh-CN"/>
              </w:rPr>
              <w:t>6.1</w:t>
            </w:r>
            <w:r>
              <w:rPr>
                <w:rFonts w:hint="eastAsia"/>
                <w:b/>
                <w:bCs/>
                <w:sz w:val="24"/>
                <w:szCs w:val="24"/>
              </w:rPr>
              <w:t>风险事故影响分析</w:t>
            </w:r>
          </w:p>
          <w:p>
            <w:pPr>
              <w:pStyle w:val="6"/>
              <w:spacing w:before="0" w:beforeAutospacing="0" w:after="0" w:afterAutospacing="0" w:line="360" w:lineRule="auto"/>
              <w:ind w:firstLine="480" w:firstLineChars="200"/>
              <w:rPr>
                <w:rFonts w:hint="eastAsia"/>
                <w:sz w:val="24"/>
                <w:szCs w:val="24"/>
              </w:rPr>
            </w:pPr>
            <w:r>
              <w:rPr>
                <w:rFonts w:hint="eastAsia"/>
                <w:sz w:val="24"/>
                <w:szCs w:val="24"/>
              </w:rPr>
              <w:t>（1）动物疾病疫情是养殖潜在的风险，也是影响项目养殖业健康持续发展的重 要因素。随着经济的发展，疫情呈现传播快速化、种类多样化、发病率高等特点。动物疾病疫情的爆发对产品的外销、市场销售与居民消费心理等带来严重的冲击，对人类健康也构成一定威胁。</w:t>
            </w:r>
          </w:p>
          <w:p>
            <w:pPr>
              <w:pStyle w:val="6"/>
              <w:spacing w:before="0" w:beforeAutospacing="0" w:after="0" w:afterAutospacing="0" w:line="360" w:lineRule="auto"/>
              <w:ind w:firstLine="480" w:firstLineChars="200"/>
              <w:rPr>
                <w:rFonts w:hint="eastAsia"/>
                <w:sz w:val="24"/>
                <w:szCs w:val="24"/>
              </w:rPr>
            </w:pPr>
            <w:r>
              <w:rPr>
                <w:rFonts w:hint="eastAsia"/>
                <w:sz w:val="24"/>
                <w:szCs w:val="24"/>
              </w:rPr>
              <w:t>（2）废水处理设施出现故障，高浓度废水未经处理直接外排</w:t>
            </w:r>
            <w:r>
              <w:rPr>
                <w:rFonts w:hint="eastAsia"/>
                <w:sz w:val="24"/>
                <w:szCs w:val="24"/>
                <w:lang w:val="en-US" w:eastAsia="zh-CN"/>
              </w:rPr>
              <w:t>至果园或附近农田中</w:t>
            </w:r>
            <w:r>
              <w:rPr>
                <w:rFonts w:hint="eastAsia"/>
                <w:sz w:val="24"/>
                <w:szCs w:val="24"/>
              </w:rPr>
              <w:t>，废水中含有的污染物 COD、NH</w:t>
            </w:r>
            <w:r>
              <w:rPr>
                <w:rFonts w:hint="eastAsia"/>
                <w:sz w:val="24"/>
                <w:szCs w:val="24"/>
                <w:vertAlign w:val="subscript"/>
              </w:rPr>
              <w:t>3</w:t>
            </w:r>
            <w:r>
              <w:rPr>
                <w:rFonts w:hint="eastAsia"/>
                <w:sz w:val="24"/>
                <w:szCs w:val="24"/>
              </w:rPr>
              <w:t>-N 等对</w:t>
            </w:r>
            <w:r>
              <w:rPr>
                <w:rFonts w:hint="eastAsia"/>
                <w:sz w:val="24"/>
                <w:szCs w:val="24"/>
                <w:lang w:val="en-US" w:eastAsia="zh-CN"/>
              </w:rPr>
              <w:t>周边农作物、果树</w:t>
            </w:r>
            <w:r>
              <w:rPr>
                <w:rFonts w:hint="eastAsia"/>
                <w:sz w:val="24"/>
                <w:szCs w:val="24"/>
              </w:rPr>
              <w:t>可能造成影响。</w:t>
            </w:r>
          </w:p>
          <w:p>
            <w:pPr>
              <w:pStyle w:val="6"/>
              <w:spacing w:before="0" w:beforeAutospacing="0" w:after="0" w:afterAutospacing="0" w:line="360" w:lineRule="auto"/>
              <w:rPr>
                <w:rFonts w:hint="eastAsia"/>
                <w:b/>
                <w:bCs/>
                <w:sz w:val="24"/>
                <w:szCs w:val="24"/>
              </w:rPr>
            </w:pPr>
            <w:r>
              <w:rPr>
                <w:rFonts w:hint="eastAsia"/>
                <w:b/>
                <w:bCs/>
                <w:sz w:val="24"/>
                <w:szCs w:val="24"/>
                <w:lang w:val="en-US" w:eastAsia="zh-CN"/>
              </w:rPr>
              <w:t>6.</w:t>
            </w:r>
            <w:r>
              <w:rPr>
                <w:rFonts w:hint="eastAsia"/>
                <w:b/>
                <w:bCs/>
                <w:sz w:val="24"/>
                <w:szCs w:val="24"/>
              </w:rPr>
              <w:t>2风险事故的防范措施</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（1）动物疾病疫情防范措施</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①病死蛙尸体要严格按照防疫条例进行处置；</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②引进的水要求清洁无污染，定期对蛙池、净化池采取消毒措施，尽快对项目废水进行处理；</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③定期进行从业人员的体检。从业人员上岗必须穿戴规定的服饰并做到定期清洗和消毒。加强从业人员的职业卫生教育，严格操作的规章制度，从而减少人为的影响产品卫生的因素；</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④使用正规饲料加工厂的产品，严防不合格或者受污染的产品在项目内使用；</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⑤病死牛蛙应采用安全填埋方式处理。如果养殖场发生疫情，应立即对养殖场进行隔离，并采取消毒措施，同时对染病的牛蛙进行安全处置，并同步报告相关部门，以便采取进一步的措施，防治疫情的扩散。</w:t>
            </w:r>
          </w:p>
          <w:p>
            <w:pPr>
              <w:pStyle w:val="6"/>
              <w:spacing w:before="0" w:beforeAutospacing="0" w:after="0" w:afterAutospacing="0" w:line="360" w:lineRule="auto"/>
              <w:ind w:right="0" w:firstLine="0" w:firstLineChars="0"/>
              <w:rPr>
                <w:rFonts w:hint="eastAsia"/>
                <w:sz w:val="24"/>
                <w:szCs w:val="24"/>
              </w:rPr>
            </w:pPr>
            <w:r>
              <w:rPr>
                <w:rFonts w:hint="eastAsia"/>
                <w:sz w:val="24"/>
                <w:szCs w:val="24"/>
              </w:rPr>
              <w:tab/>
            </w:r>
            <w:r>
              <w:rPr>
                <w:rFonts w:hint="eastAsia"/>
                <w:sz w:val="24"/>
                <w:szCs w:val="24"/>
              </w:rPr>
              <w:t>（2）废水故事排放风险防范措施</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 xml:space="preserve">①加强对废水处理设施的日常维护工作，确保废水处理设备的正常运行；  </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②集水沟、沉淀池和净化池地面及内部必须作硬化和防渗处理，防止废水由地面渗入地下而污染地下水，同时避免废水在处理过程中外渗。</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③当</w:t>
            </w:r>
            <w:r>
              <w:rPr>
                <w:rFonts w:hint="eastAsia"/>
                <w:sz w:val="24"/>
                <w:szCs w:val="24"/>
                <w:lang w:val="en-US" w:eastAsia="zh-CN"/>
              </w:rPr>
              <w:t>处理设备</w:t>
            </w:r>
            <w:r>
              <w:rPr>
                <w:rFonts w:hint="eastAsia"/>
                <w:sz w:val="24"/>
                <w:szCs w:val="24"/>
              </w:rPr>
              <w:t>发生故障停运时，因项目</w:t>
            </w:r>
            <w:r>
              <w:rPr>
                <w:rFonts w:hint="eastAsia"/>
                <w:sz w:val="24"/>
                <w:szCs w:val="24"/>
                <w:lang w:val="en-US" w:eastAsia="zh-CN"/>
              </w:rPr>
              <w:t>过滤沉淀池</w:t>
            </w:r>
            <w:r>
              <w:rPr>
                <w:rFonts w:hint="eastAsia"/>
                <w:sz w:val="24"/>
                <w:szCs w:val="24"/>
              </w:rPr>
              <w:t>容积足够大，</w:t>
            </w:r>
            <w:r>
              <w:rPr>
                <w:rFonts w:hint="eastAsia"/>
                <w:sz w:val="24"/>
                <w:szCs w:val="24"/>
                <w:lang w:val="en-US" w:eastAsia="zh-CN"/>
              </w:rPr>
              <w:t>过滤沉淀池</w:t>
            </w:r>
            <w:r>
              <w:rPr>
                <w:rFonts w:hint="eastAsia"/>
                <w:sz w:val="24"/>
                <w:szCs w:val="24"/>
              </w:rPr>
              <w:t>可做应急使用，故将废水导入</w:t>
            </w:r>
            <w:r>
              <w:rPr>
                <w:rFonts w:hint="eastAsia"/>
                <w:sz w:val="24"/>
                <w:szCs w:val="24"/>
                <w:lang w:val="en-US" w:eastAsia="zh-CN"/>
              </w:rPr>
              <w:t>过滤沉淀池</w:t>
            </w:r>
            <w:r>
              <w:rPr>
                <w:rFonts w:hint="eastAsia"/>
                <w:sz w:val="24"/>
                <w:szCs w:val="24"/>
              </w:rPr>
              <w:t>中，并及时对发生故障的废水处理设施进行检修。待废水处理设施运行正常后，废水分批导入</w:t>
            </w:r>
            <w:r>
              <w:rPr>
                <w:rFonts w:hint="eastAsia"/>
                <w:sz w:val="24"/>
                <w:szCs w:val="24"/>
                <w:lang w:val="en-US" w:eastAsia="zh-CN"/>
              </w:rPr>
              <w:t>三级过滤沉淀池</w:t>
            </w:r>
            <w:r>
              <w:rPr>
                <w:rFonts w:hint="eastAsia"/>
                <w:sz w:val="24"/>
                <w:szCs w:val="24"/>
              </w:rPr>
              <w:t>重新从头逐级处理达标后排放。</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④发生暴雨等恶劣条件下，派专人对废水处理系统进行巡查，发生险情及时汇报，并随时做好将项目未经处理的养殖废水排入</w:t>
            </w:r>
            <w:r>
              <w:rPr>
                <w:rFonts w:hint="eastAsia"/>
                <w:sz w:val="24"/>
                <w:szCs w:val="24"/>
                <w:lang w:val="en-US" w:eastAsia="zh-CN"/>
              </w:rPr>
              <w:t>过滤沉淀池</w:t>
            </w:r>
            <w:r>
              <w:rPr>
                <w:rFonts w:hint="eastAsia"/>
                <w:sz w:val="24"/>
                <w:szCs w:val="24"/>
              </w:rPr>
              <w:t>的启动工作；</w:t>
            </w:r>
          </w:p>
          <w:p>
            <w:pPr>
              <w:pStyle w:val="6"/>
              <w:spacing w:before="0" w:beforeAutospacing="0" w:after="0" w:afterAutospacing="0" w:line="360" w:lineRule="auto"/>
              <w:ind w:right="0" w:firstLine="480" w:firstLineChars="200"/>
              <w:rPr>
                <w:rFonts w:hint="eastAsia"/>
                <w:sz w:val="24"/>
                <w:szCs w:val="24"/>
              </w:rPr>
            </w:pPr>
            <w:r>
              <w:rPr>
                <w:rFonts w:hint="eastAsia"/>
                <w:sz w:val="24"/>
                <w:szCs w:val="24"/>
              </w:rPr>
              <w:t>⑤为防止汛期雨水对水池造成水土流失，项目应设置护坡或挡土墙，以保护池体及固定排水管位置。</w:t>
            </w:r>
          </w:p>
          <w:p>
            <w:pPr>
              <w:pStyle w:val="6"/>
              <w:spacing w:after="0" w:afterAutospacing="0" w:line="360" w:lineRule="auto"/>
              <w:ind w:right="0" w:firstLine="480" w:firstLineChars="200"/>
              <w:rPr>
                <w:sz w:val="24"/>
                <w:szCs w:val="24"/>
              </w:rPr>
            </w:pPr>
            <w:r>
              <w:rPr>
                <w:rFonts w:hint="eastAsia"/>
                <w:sz w:val="24"/>
                <w:szCs w:val="24"/>
              </w:rPr>
              <w:t>综上所述，项目环境风险在采取一定的措施之后，可以接受。</w:t>
            </w:r>
          </w:p>
          <w:p>
            <w:pPr>
              <w:pStyle w:val="4"/>
              <w:widowControl/>
              <w:numPr>
                <w:ilvl w:val="0"/>
                <w:numId w:val="0"/>
              </w:numPr>
              <w:tabs>
                <w:tab w:val="left" w:pos="360"/>
                <w:tab w:val="left" w:pos="432"/>
              </w:tabs>
              <w:spacing w:beforeLines="0" w:beforeAutospacing="0" w:afterLines="0" w:line="240" w:lineRule="auto"/>
              <w:rPr>
                <w:rFonts w:cs="宋体"/>
                <w:bCs w:val="0"/>
              </w:rPr>
            </w:pPr>
            <w:r>
              <w:rPr>
                <w:rFonts w:hint="eastAsia" w:cs="宋体"/>
                <w:bCs w:val="0"/>
              </w:rPr>
              <w:t>7、环境管理要求</w:t>
            </w:r>
          </w:p>
          <w:p>
            <w:pPr>
              <w:widowControl/>
              <w:ind w:firstLine="480"/>
              <w:rPr>
                <w:u w:val="single"/>
              </w:rPr>
            </w:pPr>
            <w:r>
              <w:rPr>
                <w:rFonts w:hint="eastAsia"/>
                <w:u w:val="single"/>
              </w:rPr>
              <w:t>（1）环境管理要求</w:t>
            </w:r>
          </w:p>
          <w:p>
            <w:pPr>
              <w:widowControl/>
              <w:ind w:firstLine="480"/>
              <w:rPr>
                <w:u w:val="single"/>
              </w:rPr>
            </w:pPr>
            <w:r>
              <w:rPr>
                <w:rFonts w:hint="eastAsia"/>
                <w:u w:val="single"/>
              </w:rPr>
              <w:t>建设单位应按照本报告提出的污染源监控计划定期进行污染源监测。在项目经营期间，企业应委托有专业资质设计单位进行本项目的规划和设计，并履行环保、安全、消防“三同时”手续。</w:t>
            </w:r>
          </w:p>
          <w:p>
            <w:pPr>
              <w:widowControl/>
              <w:ind w:firstLine="480"/>
              <w:rPr>
                <w:u w:val="single"/>
              </w:rPr>
            </w:pPr>
            <w:r>
              <w:rPr>
                <w:rFonts w:hint="eastAsia"/>
                <w:u w:val="single"/>
              </w:rPr>
              <w:t>（2）排污许可证申请</w:t>
            </w:r>
          </w:p>
          <w:p>
            <w:pPr>
              <w:widowControl/>
              <w:ind w:firstLine="480"/>
              <w:rPr>
                <w:u w:val="single"/>
              </w:rPr>
            </w:pPr>
            <w:r>
              <w:rPr>
                <w:rFonts w:hint="eastAsia"/>
                <w:u w:val="single"/>
              </w:rPr>
              <w:t>根据《排污许可证管理暂行规定》，排放工业废气或者国家规定的有毒害大污染物的企业事业单位，应当实行排污许可管理。</w:t>
            </w:r>
          </w:p>
          <w:p>
            <w:pPr>
              <w:widowControl/>
              <w:ind w:firstLine="480"/>
              <w:rPr>
                <w:rFonts w:hint="eastAsia"/>
                <w:u w:val="single"/>
              </w:rPr>
            </w:pPr>
            <w:r>
              <w:rPr>
                <w:rFonts w:hint="eastAsia"/>
                <w:u w:val="single"/>
              </w:rPr>
              <w:t>根据《固定污染源排污许可分类管理名录》（</w:t>
            </w:r>
            <w:r>
              <w:rPr>
                <w:u w:val="single"/>
              </w:rPr>
              <w:t>2019</w:t>
            </w:r>
            <w:r>
              <w:rPr>
                <w:rFonts w:hint="eastAsia"/>
                <w:u w:val="single"/>
              </w:rPr>
              <w:t>年版），本项目属于“一 畜牧业03—2 其他畜牧业039—设有污水排放口的养殖场、养殖小区</w:t>
            </w:r>
            <w:r>
              <w:rPr>
                <w:u w:val="single"/>
              </w:rPr>
              <w:t>，属于“登记管理”项目</w:t>
            </w:r>
            <w:r>
              <w:rPr>
                <w:rFonts w:hint="eastAsia"/>
                <w:u w:val="single"/>
              </w:rPr>
              <w:t>。</w:t>
            </w:r>
          </w:p>
          <w:p>
            <w:pPr>
              <w:pStyle w:val="39"/>
              <w:numPr>
                <w:ilvl w:val="0"/>
                <w:numId w:val="0"/>
              </w:numPr>
              <w:ind w:left="480" w:leftChars="200"/>
              <w:rPr>
                <w:rFonts w:hint="eastAsia" w:ascii="宋体" w:hAnsi="宋体" w:cs="宋体"/>
                <w:color w:val="000000"/>
                <w:kern w:val="0"/>
                <w:sz w:val="24"/>
                <w:u w:val="single"/>
              </w:rPr>
            </w:pPr>
            <w:r>
              <w:rPr>
                <w:rFonts w:hint="default" w:ascii="Times New Roman" w:hAnsi="Times New Roman" w:eastAsia="宋体" w:cs="Times New Roman"/>
                <w:color w:val="000000"/>
                <w:kern w:val="0"/>
                <w:sz w:val="24"/>
                <w:szCs w:val="24"/>
                <w:u w:val="single"/>
                <w:lang w:val="en-US" w:eastAsia="zh-CN" w:bidi="ar-SA"/>
              </w:rPr>
              <w:t>（3）</w:t>
            </w:r>
            <w:r>
              <w:rPr>
                <w:rFonts w:hint="eastAsia" w:ascii="宋体" w:hAnsi="宋体" w:cs="宋体"/>
                <w:color w:val="000000"/>
                <w:kern w:val="0"/>
                <w:sz w:val="24"/>
                <w:u w:val="single"/>
              </w:rPr>
              <w:t>自行监测计划</w:t>
            </w:r>
          </w:p>
          <w:p>
            <w:pPr>
              <w:spacing w:line="360" w:lineRule="auto"/>
              <w:ind w:firstLine="480" w:firstLineChars="200"/>
              <w:rPr>
                <w:sz w:val="24"/>
                <w:u w:val="single"/>
              </w:rPr>
            </w:pPr>
            <w:r>
              <w:rPr>
                <w:sz w:val="24"/>
                <w:u w:val="single"/>
              </w:rPr>
              <w:t>环境监测是企业搞好环境管理，促进污染治理设施正常运行的主要保障。通过定期的环境监测，可以了解项目所在地的环境质量状况，及时发现问题、解决问题，从而有利于监督各项环境保护措施切实有效地落实，并根据监测结果适时调整环境保护计划。当发生污染事故时，应根据具体情况相应增加监测项目及监测频率，并进行跟踪监测，监测可以委托有资质的第三方检测机构定期进行。</w:t>
            </w:r>
          </w:p>
          <w:p>
            <w:pPr>
              <w:spacing w:line="360" w:lineRule="auto"/>
              <w:ind w:firstLine="480" w:firstLineChars="200"/>
              <w:rPr>
                <w:sz w:val="24"/>
                <w:u w:val="single"/>
              </w:rPr>
            </w:pPr>
            <w:r>
              <w:rPr>
                <w:sz w:val="24"/>
                <w:u w:val="single"/>
              </w:rPr>
              <w:t>根据</w:t>
            </w:r>
            <w:r>
              <w:rPr>
                <w:rFonts w:hint="eastAsia"/>
                <w:sz w:val="24"/>
                <w:u w:val="single"/>
                <w:lang w:eastAsia="zh-CN"/>
              </w:rPr>
              <w:t>《</w:t>
            </w:r>
            <w:r>
              <w:rPr>
                <w:rFonts w:hint="eastAsia"/>
                <w:sz w:val="24"/>
                <w:u w:val="single"/>
                <w:lang w:val="en-US" w:eastAsia="zh-CN"/>
              </w:rPr>
              <w:t>排污单位自行监测技术指南 总则</w:t>
            </w:r>
            <w:r>
              <w:rPr>
                <w:rFonts w:hint="eastAsia"/>
                <w:sz w:val="24"/>
                <w:u w:val="single"/>
                <w:lang w:eastAsia="zh-CN"/>
              </w:rPr>
              <w:t>》（</w:t>
            </w:r>
            <w:r>
              <w:rPr>
                <w:rFonts w:hint="eastAsia"/>
                <w:sz w:val="24"/>
                <w:u w:val="single"/>
                <w:lang w:val="en-US" w:eastAsia="zh-CN"/>
              </w:rPr>
              <w:t>HJ819-2017</w:t>
            </w:r>
            <w:r>
              <w:rPr>
                <w:rFonts w:hint="eastAsia"/>
                <w:sz w:val="24"/>
                <w:u w:val="single"/>
                <w:lang w:eastAsia="zh-CN"/>
              </w:rPr>
              <w:t>）</w:t>
            </w:r>
            <w:r>
              <w:rPr>
                <w:sz w:val="24"/>
                <w:u w:val="single"/>
              </w:rPr>
              <w:t>，</w:t>
            </w:r>
            <w:r>
              <w:rPr>
                <w:rFonts w:hint="eastAsia"/>
                <w:sz w:val="24"/>
                <w:u w:val="single"/>
                <w:lang w:val="en-US" w:eastAsia="zh-CN"/>
              </w:rPr>
              <w:t>本项目</w:t>
            </w:r>
            <w:r>
              <w:rPr>
                <w:sz w:val="24"/>
                <w:u w:val="single"/>
              </w:rPr>
              <w:t>环境监测</w:t>
            </w:r>
            <w:r>
              <w:rPr>
                <w:rFonts w:hint="eastAsia"/>
                <w:sz w:val="24"/>
                <w:u w:val="single"/>
                <w:lang w:val="en-US" w:eastAsia="zh-CN"/>
              </w:rPr>
              <w:t>计划</w:t>
            </w:r>
            <w:r>
              <w:rPr>
                <w:sz w:val="24"/>
                <w:u w:val="single"/>
              </w:rPr>
              <w:t>见下表。</w:t>
            </w:r>
          </w:p>
          <w:p>
            <w:pPr>
              <w:spacing w:line="240" w:lineRule="auto"/>
              <w:ind w:firstLine="422"/>
              <w:jc w:val="center"/>
              <w:rPr>
                <w:b/>
                <w:bCs/>
                <w:color w:val="000000"/>
                <w:sz w:val="21"/>
                <w:szCs w:val="21"/>
                <w:u w:val="single"/>
              </w:rPr>
            </w:pPr>
            <w:r>
              <w:rPr>
                <w:b/>
                <w:bCs/>
                <w:color w:val="000000"/>
                <w:sz w:val="21"/>
                <w:szCs w:val="21"/>
                <w:u w:val="single"/>
              </w:rPr>
              <w:t>表</w:t>
            </w:r>
            <w:r>
              <w:rPr>
                <w:rFonts w:hint="eastAsia"/>
                <w:b/>
                <w:bCs/>
                <w:color w:val="000000"/>
                <w:sz w:val="21"/>
                <w:szCs w:val="21"/>
                <w:u w:val="single"/>
              </w:rPr>
              <w:t>5-1</w:t>
            </w:r>
            <w:r>
              <w:rPr>
                <w:b/>
                <w:bCs/>
                <w:color w:val="000000"/>
                <w:sz w:val="21"/>
                <w:szCs w:val="21"/>
                <w:u w:val="single"/>
              </w:rPr>
              <w:t>　环境监测计划</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611"/>
              <w:gridCol w:w="1479"/>
              <w:gridCol w:w="652"/>
              <w:gridCol w:w="3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 w:hRule="atLeast"/>
              </w:trPr>
              <w:tc>
                <w:tcPr>
                  <w:tcW w:w="0" w:type="auto"/>
                  <w:noWrap w:val="0"/>
                  <w:vAlign w:val="center"/>
                </w:tcPr>
                <w:p>
                  <w:pPr>
                    <w:spacing w:line="240" w:lineRule="auto"/>
                    <w:jc w:val="center"/>
                    <w:rPr>
                      <w:b/>
                      <w:color w:val="000000"/>
                      <w:kern w:val="0"/>
                      <w:sz w:val="21"/>
                      <w:szCs w:val="21"/>
                      <w:u w:val="single"/>
                    </w:rPr>
                  </w:pPr>
                  <w:bookmarkStart w:id="41" w:name="_Toc177959167"/>
                  <w:bookmarkStart w:id="42" w:name="_Toc169054521"/>
                  <w:bookmarkStart w:id="43" w:name="_Toc312844910"/>
                  <w:bookmarkStart w:id="44" w:name="_Toc17874"/>
                  <w:bookmarkStart w:id="45" w:name="_Toc471914254"/>
                  <w:bookmarkStart w:id="46" w:name="_Toc266190623"/>
                  <w:r>
                    <w:rPr>
                      <w:b/>
                      <w:color w:val="000000"/>
                      <w:sz w:val="21"/>
                      <w:szCs w:val="21"/>
                      <w:u w:val="single"/>
                    </w:rPr>
                    <w:t>污染源类型</w:t>
                  </w:r>
                </w:p>
              </w:tc>
              <w:tc>
                <w:tcPr>
                  <w:tcW w:w="0" w:type="auto"/>
                  <w:noWrap w:val="0"/>
                  <w:vAlign w:val="center"/>
                </w:tcPr>
                <w:p>
                  <w:pPr>
                    <w:spacing w:line="240" w:lineRule="auto"/>
                    <w:jc w:val="center"/>
                    <w:rPr>
                      <w:b/>
                      <w:color w:val="000000"/>
                      <w:kern w:val="0"/>
                      <w:sz w:val="21"/>
                      <w:szCs w:val="21"/>
                      <w:u w:val="single"/>
                    </w:rPr>
                  </w:pPr>
                  <w:r>
                    <w:rPr>
                      <w:b/>
                      <w:color w:val="000000"/>
                      <w:sz w:val="21"/>
                      <w:szCs w:val="21"/>
                      <w:u w:val="single"/>
                    </w:rPr>
                    <w:t>监测位置</w:t>
                  </w:r>
                </w:p>
              </w:tc>
              <w:tc>
                <w:tcPr>
                  <w:tcW w:w="0" w:type="auto"/>
                  <w:noWrap w:val="0"/>
                  <w:vAlign w:val="center"/>
                </w:tcPr>
                <w:p>
                  <w:pPr>
                    <w:spacing w:line="240" w:lineRule="auto"/>
                    <w:jc w:val="center"/>
                    <w:rPr>
                      <w:b/>
                      <w:color w:val="000000"/>
                      <w:kern w:val="0"/>
                      <w:sz w:val="21"/>
                      <w:szCs w:val="21"/>
                      <w:u w:val="single"/>
                    </w:rPr>
                  </w:pPr>
                  <w:r>
                    <w:rPr>
                      <w:b/>
                      <w:color w:val="000000"/>
                      <w:sz w:val="21"/>
                      <w:szCs w:val="21"/>
                      <w:u w:val="single"/>
                    </w:rPr>
                    <w:t>监测项目</w:t>
                  </w:r>
                </w:p>
              </w:tc>
              <w:tc>
                <w:tcPr>
                  <w:tcW w:w="0" w:type="auto"/>
                  <w:noWrap w:val="0"/>
                  <w:vAlign w:val="center"/>
                </w:tcPr>
                <w:p>
                  <w:pPr>
                    <w:spacing w:line="240" w:lineRule="auto"/>
                    <w:jc w:val="center"/>
                    <w:rPr>
                      <w:rFonts w:hint="eastAsia"/>
                      <w:b/>
                      <w:color w:val="000000"/>
                      <w:sz w:val="21"/>
                      <w:szCs w:val="21"/>
                      <w:u w:val="single"/>
                    </w:rPr>
                  </w:pPr>
                  <w:r>
                    <w:rPr>
                      <w:b/>
                      <w:color w:val="000000"/>
                      <w:sz w:val="21"/>
                      <w:szCs w:val="21"/>
                      <w:u w:val="single"/>
                    </w:rPr>
                    <w:t>监测</w:t>
                  </w:r>
                </w:p>
                <w:p>
                  <w:pPr>
                    <w:spacing w:line="240" w:lineRule="auto"/>
                    <w:jc w:val="center"/>
                    <w:rPr>
                      <w:b/>
                      <w:color w:val="000000"/>
                      <w:kern w:val="0"/>
                      <w:sz w:val="21"/>
                      <w:szCs w:val="21"/>
                      <w:u w:val="single"/>
                    </w:rPr>
                  </w:pPr>
                  <w:r>
                    <w:rPr>
                      <w:b/>
                      <w:color w:val="000000"/>
                      <w:sz w:val="21"/>
                      <w:szCs w:val="21"/>
                      <w:u w:val="single"/>
                    </w:rPr>
                    <w:t>频次</w:t>
                  </w:r>
                </w:p>
              </w:tc>
              <w:tc>
                <w:tcPr>
                  <w:tcW w:w="0" w:type="auto"/>
                  <w:noWrap w:val="0"/>
                  <w:vAlign w:val="center"/>
                </w:tcPr>
                <w:p>
                  <w:pPr>
                    <w:spacing w:line="240" w:lineRule="auto"/>
                    <w:jc w:val="center"/>
                    <w:rPr>
                      <w:b/>
                      <w:color w:val="000000"/>
                      <w:sz w:val="21"/>
                      <w:szCs w:val="21"/>
                      <w:u w:val="single"/>
                    </w:rPr>
                  </w:pPr>
                  <w:r>
                    <w:rPr>
                      <w:b/>
                      <w:color w:val="000000"/>
                      <w:sz w:val="21"/>
                      <w:szCs w:val="21"/>
                      <w:u w:val="singl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pPr>
                    <w:widowControl/>
                    <w:spacing w:line="240" w:lineRule="auto"/>
                    <w:jc w:val="center"/>
                    <w:rPr>
                      <w:rFonts w:hint="eastAsia"/>
                      <w:color w:val="000000"/>
                      <w:kern w:val="0"/>
                      <w:sz w:val="21"/>
                      <w:szCs w:val="21"/>
                      <w:u w:val="single"/>
                    </w:rPr>
                  </w:pPr>
                  <w:r>
                    <w:rPr>
                      <w:color w:val="000000"/>
                      <w:kern w:val="0"/>
                      <w:sz w:val="21"/>
                      <w:szCs w:val="21"/>
                      <w:u w:val="single"/>
                    </w:rPr>
                    <w:t>恶臭</w:t>
                  </w:r>
                </w:p>
                <w:p>
                  <w:pPr>
                    <w:widowControl/>
                    <w:spacing w:line="240" w:lineRule="auto"/>
                    <w:jc w:val="center"/>
                    <w:rPr>
                      <w:kern w:val="0"/>
                      <w:sz w:val="21"/>
                      <w:szCs w:val="21"/>
                      <w:u w:val="single"/>
                    </w:rPr>
                  </w:pPr>
                  <w:r>
                    <w:rPr>
                      <w:color w:val="000000"/>
                      <w:kern w:val="0"/>
                      <w:sz w:val="21"/>
                      <w:szCs w:val="21"/>
                      <w:u w:val="single"/>
                    </w:rPr>
                    <w:t>气体</w:t>
                  </w:r>
                </w:p>
              </w:tc>
              <w:tc>
                <w:tcPr>
                  <w:tcW w:w="0" w:type="auto"/>
                  <w:noWrap w:val="0"/>
                  <w:vAlign w:val="center"/>
                </w:tcPr>
                <w:p>
                  <w:pPr>
                    <w:widowControl/>
                    <w:spacing w:line="240" w:lineRule="auto"/>
                    <w:jc w:val="center"/>
                    <w:rPr>
                      <w:kern w:val="0"/>
                      <w:sz w:val="21"/>
                      <w:szCs w:val="21"/>
                      <w:u w:val="single"/>
                    </w:rPr>
                  </w:pPr>
                  <w:r>
                    <w:rPr>
                      <w:rFonts w:hint="eastAsia"/>
                      <w:kern w:val="0"/>
                      <w:sz w:val="21"/>
                      <w:szCs w:val="21"/>
                      <w:u w:val="single"/>
                    </w:rPr>
                    <w:t>养殖场下风向1～2个监测点</w:t>
                  </w:r>
                </w:p>
              </w:tc>
              <w:tc>
                <w:tcPr>
                  <w:tcW w:w="0" w:type="auto"/>
                  <w:noWrap w:val="0"/>
                  <w:vAlign w:val="center"/>
                </w:tcPr>
                <w:p>
                  <w:pPr>
                    <w:widowControl/>
                    <w:spacing w:line="240" w:lineRule="auto"/>
                    <w:jc w:val="center"/>
                    <w:rPr>
                      <w:kern w:val="0"/>
                      <w:sz w:val="21"/>
                      <w:szCs w:val="21"/>
                      <w:u w:val="single"/>
                    </w:rPr>
                  </w:pPr>
                  <w:r>
                    <w:rPr>
                      <w:color w:val="000000"/>
                      <w:kern w:val="0"/>
                      <w:sz w:val="21"/>
                      <w:szCs w:val="21"/>
                      <w:u w:val="single"/>
                    </w:rPr>
                    <w:t>硫化氢、氨气、臭气浓度</w:t>
                  </w:r>
                </w:p>
              </w:tc>
              <w:tc>
                <w:tcPr>
                  <w:tcW w:w="0" w:type="auto"/>
                  <w:noWrap w:val="0"/>
                  <w:vAlign w:val="center"/>
                </w:tcPr>
                <w:p>
                  <w:pPr>
                    <w:widowControl/>
                    <w:spacing w:line="240" w:lineRule="auto"/>
                    <w:jc w:val="center"/>
                    <w:rPr>
                      <w:rFonts w:hint="default" w:eastAsia="宋体"/>
                      <w:kern w:val="0"/>
                      <w:sz w:val="21"/>
                      <w:szCs w:val="21"/>
                      <w:u w:val="single"/>
                      <w:lang w:val="en-US" w:eastAsia="zh-CN"/>
                    </w:rPr>
                  </w:pPr>
                  <w:r>
                    <w:rPr>
                      <w:rFonts w:hint="eastAsia"/>
                      <w:color w:val="000000"/>
                      <w:kern w:val="0"/>
                      <w:sz w:val="21"/>
                      <w:szCs w:val="21"/>
                      <w:u w:val="single"/>
                    </w:rPr>
                    <w:t>1次</w:t>
                  </w:r>
                  <w:r>
                    <w:rPr>
                      <w:rFonts w:hint="eastAsia"/>
                      <w:color w:val="000000"/>
                      <w:kern w:val="0"/>
                      <w:sz w:val="21"/>
                      <w:szCs w:val="21"/>
                      <w:u w:val="single"/>
                      <w:lang w:val="en-US" w:eastAsia="zh-CN"/>
                    </w:rPr>
                    <w:t>/年</w:t>
                  </w:r>
                </w:p>
              </w:tc>
              <w:tc>
                <w:tcPr>
                  <w:tcW w:w="0" w:type="auto"/>
                  <w:noWrap w:val="0"/>
                  <w:vAlign w:val="center"/>
                </w:tcPr>
                <w:p>
                  <w:pPr>
                    <w:widowControl/>
                    <w:spacing w:line="240" w:lineRule="auto"/>
                    <w:jc w:val="center"/>
                    <w:rPr>
                      <w:rFonts w:hint="default" w:eastAsia="宋体"/>
                      <w:color w:val="000000"/>
                      <w:kern w:val="0"/>
                      <w:sz w:val="21"/>
                      <w:szCs w:val="21"/>
                      <w:u w:val="single"/>
                      <w:lang w:val="en-US" w:eastAsia="zh-CN"/>
                    </w:rPr>
                  </w:pPr>
                  <w:r>
                    <w:rPr>
                      <w:color w:val="000000"/>
                      <w:kern w:val="0"/>
                      <w:sz w:val="21"/>
                      <w:szCs w:val="21"/>
                      <w:u w:val="single"/>
                    </w:rPr>
                    <w:t>《恶臭污染物排放标准》（</w:t>
                  </w:r>
                  <w:r>
                    <w:rPr>
                      <w:rFonts w:hint="eastAsia"/>
                      <w:color w:val="000000"/>
                      <w:kern w:val="0"/>
                      <w:sz w:val="21"/>
                      <w:szCs w:val="21"/>
                      <w:u w:val="single"/>
                    </w:rPr>
                    <w:t>GB14554-93）</w:t>
                  </w:r>
                  <w:r>
                    <w:rPr>
                      <w:rFonts w:hint="eastAsia"/>
                      <w:color w:val="000000"/>
                      <w:kern w:val="0"/>
                      <w:sz w:val="21"/>
                      <w:szCs w:val="21"/>
                      <w:u w:val="single"/>
                      <w:lang w:val="en-US" w:eastAsia="zh-CN"/>
                    </w:rPr>
                    <w:t>无组织控制标准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pPr>
                    <w:widowControl/>
                    <w:spacing w:line="240" w:lineRule="auto"/>
                    <w:jc w:val="center"/>
                    <w:rPr>
                      <w:rFonts w:hint="default" w:eastAsia="宋体"/>
                      <w:color w:val="000000"/>
                      <w:kern w:val="0"/>
                      <w:sz w:val="21"/>
                      <w:szCs w:val="21"/>
                      <w:u w:val="single"/>
                      <w:lang w:val="en-US" w:eastAsia="zh-CN"/>
                    </w:rPr>
                  </w:pPr>
                  <w:r>
                    <w:rPr>
                      <w:rFonts w:hint="eastAsia"/>
                      <w:color w:val="000000"/>
                      <w:kern w:val="0"/>
                      <w:sz w:val="21"/>
                      <w:szCs w:val="21"/>
                      <w:u w:val="single"/>
                      <w:lang w:val="en-US" w:eastAsia="zh-CN"/>
                    </w:rPr>
                    <w:t>养殖尾水</w:t>
                  </w:r>
                </w:p>
              </w:tc>
              <w:tc>
                <w:tcPr>
                  <w:tcW w:w="0" w:type="auto"/>
                  <w:noWrap w:val="0"/>
                  <w:vAlign w:val="center"/>
                </w:tcPr>
                <w:p>
                  <w:pPr>
                    <w:widowControl/>
                    <w:spacing w:line="240" w:lineRule="auto"/>
                    <w:jc w:val="center"/>
                    <w:rPr>
                      <w:rFonts w:hint="default" w:eastAsia="宋体"/>
                      <w:kern w:val="0"/>
                      <w:sz w:val="21"/>
                      <w:szCs w:val="21"/>
                      <w:u w:val="single"/>
                      <w:lang w:val="en-US" w:eastAsia="zh-CN"/>
                    </w:rPr>
                  </w:pPr>
                  <w:r>
                    <w:rPr>
                      <w:rFonts w:hint="eastAsia"/>
                      <w:kern w:val="0"/>
                      <w:sz w:val="21"/>
                      <w:szCs w:val="21"/>
                      <w:u w:val="single"/>
                      <w:lang w:val="en-US" w:eastAsia="zh-CN"/>
                    </w:rPr>
                    <w:t>污水处理一体化</w:t>
                  </w:r>
                </w:p>
              </w:tc>
              <w:tc>
                <w:tcPr>
                  <w:tcW w:w="0" w:type="auto"/>
                  <w:noWrap w:val="0"/>
                  <w:vAlign w:val="center"/>
                </w:tcPr>
                <w:p>
                  <w:pPr>
                    <w:widowControl/>
                    <w:spacing w:line="240" w:lineRule="auto"/>
                    <w:jc w:val="center"/>
                    <w:rPr>
                      <w:rFonts w:hint="eastAsia" w:eastAsia="宋体"/>
                      <w:color w:val="000000"/>
                      <w:kern w:val="0"/>
                      <w:sz w:val="21"/>
                      <w:szCs w:val="21"/>
                      <w:u w:val="single"/>
                      <w:lang w:val="en-US" w:eastAsia="zh-CN"/>
                    </w:rPr>
                  </w:pPr>
                  <w:r>
                    <w:rPr>
                      <w:rFonts w:hint="eastAsia"/>
                      <w:color w:val="000000"/>
                      <w:kern w:val="0"/>
                      <w:sz w:val="21"/>
                      <w:szCs w:val="21"/>
                      <w:u w:val="single"/>
                    </w:rPr>
                    <w:t>一体化污水处理设备</w:t>
                  </w:r>
                  <w:r>
                    <w:rPr>
                      <w:rFonts w:hint="eastAsia"/>
                      <w:color w:val="000000"/>
                      <w:kern w:val="0"/>
                      <w:sz w:val="21"/>
                      <w:szCs w:val="21"/>
                      <w:u w:val="single"/>
                      <w:lang w:val="en-US" w:eastAsia="zh-CN"/>
                    </w:rPr>
                    <w:t>出水口</w:t>
                  </w:r>
                </w:p>
              </w:tc>
              <w:tc>
                <w:tcPr>
                  <w:tcW w:w="0" w:type="auto"/>
                  <w:noWrap w:val="0"/>
                  <w:vAlign w:val="center"/>
                </w:tcPr>
                <w:p>
                  <w:pPr>
                    <w:widowControl/>
                    <w:spacing w:line="240" w:lineRule="auto"/>
                    <w:jc w:val="center"/>
                    <w:rPr>
                      <w:rFonts w:hint="eastAsia"/>
                      <w:color w:val="000000"/>
                      <w:kern w:val="0"/>
                      <w:sz w:val="21"/>
                      <w:szCs w:val="21"/>
                      <w:u w:val="single"/>
                    </w:rPr>
                  </w:pPr>
                  <w:r>
                    <w:rPr>
                      <w:rFonts w:hint="eastAsia"/>
                      <w:color w:val="000000"/>
                      <w:kern w:val="0"/>
                      <w:sz w:val="21"/>
                      <w:szCs w:val="21"/>
                      <w:u w:val="single"/>
                    </w:rPr>
                    <w:t>1次</w:t>
                  </w:r>
                  <w:r>
                    <w:rPr>
                      <w:rFonts w:hint="eastAsia"/>
                      <w:color w:val="000000"/>
                      <w:kern w:val="0"/>
                      <w:sz w:val="21"/>
                      <w:szCs w:val="21"/>
                      <w:u w:val="single"/>
                      <w:lang w:val="en-US" w:eastAsia="zh-CN"/>
                    </w:rPr>
                    <w:t>/年</w:t>
                  </w:r>
                </w:p>
              </w:tc>
              <w:tc>
                <w:tcPr>
                  <w:tcW w:w="0" w:type="auto"/>
                  <w:noWrap w:val="0"/>
                  <w:vAlign w:val="center"/>
                </w:tcPr>
                <w:p>
                  <w:pPr>
                    <w:widowControl/>
                    <w:spacing w:line="240" w:lineRule="auto"/>
                    <w:jc w:val="center"/>
                    <w:rPr>
                      <w:color w:val="000000"/>
                      <w:kern w:val="0"/>
                      <w:sz w:val="21"/>
                      <w:szCs w:val="21"/>
                      <w:u w:val="single"/>
                    </w:rPr>
                  </w:pPr>
                  <w:r>
                    <w:rPr>
                      <w:rFonts w:hint="eastAsia"/>
                      <w:color w:val="000000"/>
                      <w:kern w:val="0"/>
                      <w:sz w:val="21"/>
                      <w:szCs w:val="21"/>
                      <w:u w:val="single"/>
                    </w:rPr>
                    <w:t>《湖南省水产养殖尾水综合排放标准》（DB43/1752-2020）二级标准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pPr>
                    <w:spacing w:line="240" w:lineRule="auto"/>
                    <w:jc w:val="center"/>
                    <w:rPr>
                      <w:color w:val="000000"/>
                      <w:kern w:val="0"/>
                      <w:sz w:val="21"/>
                      <w:szCs w:val="21"/>
                      <w:u w:val="single"/>
                    </w:rPr>
                  </w:pPr>
                  <w:r>
                    <w:rPr>
                      <w:color w:val="000000"/>
                      <w:kern w:val="0"/>
                      <w:sz w:val="21"/>
                      <w:szCs w:val="21"/>
                      <w:u w:val="single"/>
                    </w:rPr>
                    <w:t>噪声</w:t>
                  </w:r>
                </w:p>
              </w:tc>
              <w:tc>
                <w:tcPr>
                  <w:tcW w:w="0" w:type="auto"/>
                  <w:noWrap w:val="0"/>
                  <w:vAlign w:val="center"/>
                </w:tcPr>
                <w:p>
                  <w:pPr>
                    <w:spacing w:line="240" w:lineRule="auto"/>
                    <w:jc w:val="center"/>
                    <w:rPr>
                      <w:color w:val="000000"/>
                      <w:kern w:val="0"/>
                      <w:sz w:val="21"/>
                      <w:szCs w:val="21"/>
                      <w:u w:val="single"/>
                    </w:rPr>
                  </w:pPr>
                  <w:r>
                    <w:rPr>
                      <w:rFonts w:hint="eastAsia"/>
                      <w:color w:val="000000"/>
                      <w:kern w:val="0"/>
                      <w:sz w:val="21"/>
                      <w:szCs w:val="21"/>
                      <w:u w:val="single"/>
                      <w:lang w:val="en-US" w:eastAsia="zh-CN"/>
                    </w:rPr>
                    <w:t>养殖场四周</w:t>
                  </w:r>
                  <w:r>
                    <w:rPr>
                      <w:color w:val="000000"/>
                      <w:kern w:val="0"/>
                      <w:sz w:val="21"/>
                      <w:szCs w:val="21"/>
                      <w:u w:val="single"/>
                    </w:rPr>
                    <w:t>东南西北面各设</w:t>
                  </w:r>
                  <w:r>
                    <w:rPr>
                      <w:rFonts w:hint="eastAsia"/>
                      <w:color w:val="000000"/>
                      <w:kern w:val="0"/>
                      <w:sz w:val="21"/>
                      <w:szCs w:val="21"/>
                      <w:u w:val="single"/>
                    </w:rPr>
                    <w:t>1个点位</w:t>
                  </w:r>
                </w:p>
              </w:tc>
              <w:tc>
                <w:tcPr>
                  <w:tcW w:w="0" w:type="auto"/>
                  <w:noWrap w:val="0"/>
                  <w:vAlign w:val="center"/>
                </w:tcPr>
                <w:p>
                  <w:pPr>
                    <w:widowControl/>
                    <w:spacing w:line="240" w:lineRule="auto"/>
                    <w:jc w:val="center"/>
                    <w:rPr>
                      <w:rFonts w:hint="eastAsia" w:eastAsia="宋体"/>
                      <w:kern w:val="0"/>
                      <w:sz w:val="21"/>
                      <w:szCs w:val="21"/>
                      <w:u w:val="single"/>
                      <w:lang w:eastAsia="zh-CN"/>
                    </w:rPr>
                  </w:pPr>
                  <w:r>
                    <w:rPr>
                      <w:rFonts w:hint="eastAsia"/>
                      <w:color w:val="000000"/>
                      <w:kern w:val="0"/>
                      <w:sz w:val="21"/>
                      <w:szCs w:val="21"/>
                      <w:u w:val="single"/>
                    </w:rPr>
                    <w:t>L</w:t>
                  </w:r>
                  <w:r>
                    <w:rPr>
                      <w:rFonts w:hint="eastAsia"/>
                      <w:color w:val="000000"/>
                      <w:kern w:val="0"/>
                      <w:sz w:val="21"/>
                      <w:szCs w:val="21"/>
                      <w:u w:val="single"/>
                      <w:lang w:val="en-US" w:eastAsia="zh-CN"/>
                    </w:rPr>
                    <w:t>eq（A）</w:t>
                  </w:r>
                </w:p>
              </w:tc>
              <w:tc>
                <w:tcPr>
                  <w:tcW w:w="0" w:type="auto"/>
                  <w:noWrap w:val="0"/>
                  <w:vAlign w:val="center"/>
                </w:tcPr>
                <w:p>
                  <w:pPr>
                    <w:widowControl/>
                    <w:spacing w:line="240" w:lineRule="auto"/>
                    <w:jc w:val="center"/>
                    <w:rPr>
                      <w:rFonts w:hint="default"/>
                      <w:color w:val="000000"/>
                      <w:sz w:val="21"/>
                      <w:szCs w:val="21"/>
                      <w:u w:val="single"/>
                      <w:lang w:val="en-US" w:eastAsia="zh-CN"/>
                    </w:rPr>
                  </w:pPr>
                  <w:r>
                    <w:rPr>
                      <w:rFonts w:hint="eastAsia"/>
                      <w:color w:val="000000"/>
                      <w:sz w:val="21"/>
                      <w:szCs w:val="21"/>
                      <w:u w:val="single"/>
                    </w:rPr>
                    <w:t>1次</w:t>
                  </w:r>
                  <w:r>
                    <w:rPr>
                      <w:rFonts w:hint="eastAsia"/>
                      <w:color w:val="000000"/>
                      <w:sz w:val="21"/>
                      <w:szCs w:val="21"/>
                      <w:u w:val="single"/>
                      <w:lang w:val="en-US" w:eastAsia="zh-CN"/>
                    </w:rPr>
                    <w:t>/季度</w:t>
                  </w:r>
                </w:p>
              </w:tc>
              <w:tc>
                <w:tcPr>
                  <w:tcW w:w="0" w:type="auto"/>
                  <w:noWrap w:val="0"/>
                  <w:vAlign w:val="center"/>
                </w:tcPr>
                <w:p>
                  <w:pPr>
                    <w:widowControl/>
                    <w:spacing w:line="240" w:lineRule="auto"/>
                    <w:jc w:val="center"/>
                    <w:rPr>
                      <w:rFonts w:hint="eastAsia" w:eastAsia="宋体"/>
                      <w:color w:val="000000"/>
                      <w:kern w:val="0"/>
                      <w:sz w:val="21"/>
                      <w:szCs w:val="21"/>
                      <w:u w:val="single"/>
                      <w:lang w:eastAsia="zh-CN"/>
                    </w:rPr>
                  </w:pPr>
                  <w:r>
                    <w:rPr>
                      <w:color w:val="000000"/>
                      <w:kern w:val="0"/>
                      <w:sz w:val="21"/>
                      <w:szCs w:val="21"/>
                      <w:u w:val="single"/>
                    </w:rPr>
                    <w:t>《工业企业厂界环境噪声排放标准》（</w:t>
                  </w:r>
                  <w:r>
                    <w:rPr>
                      <w:rFonts w:hint="eastAsia"/>
                      <w:color w:val="000000"/>
                      <w:kern w:val="0"/>
                      <w:sz w:val="21"/>
                      <w:szCs w:val="21"/>
                      <w:u w:val="single"/>
                    </w:rPr>
                    <w:t>GB12348-2008）2</w:t>
                  </w:r>
                  <w:r>
                    <w:rPr>
                      <w:rFonts w:hint="eastAsia"/>
                      <w:color w:val="000000"/>
                      <w:kern w:val="0"/>
                      <w:sz w:val="21"/>
                      <w:szCs w:val="21"/>
                      <w:u w:val="single"/>
                      <w:lang w:val="en-US" w:eastAsia="zh-CN"/>
                    </w:rPr>
                    <w:t>类</w:t>
                  </w:r>
                </w:p>
              </w:tc>
            </w:tr>
            <w:bookmarkEnd w:id="41"/>
            <w:bookmarkEnd w:id="42"/>
            <w:bookmarkEnd w:id="43"/>
            <w:bookmarkEnd w:id="44"/>
            <w:bookmarkEnd w:id="45"/>
            <w:bookmarkEnd w:id="46"/>
          </w:tbl>
          <w:p>
            <w:pPr>
              <w:pStyle w:val="39"/>
              <w:numPr>
                <w:ilvl w:val="0"/>
                <w:numId w:val="0"/>
              </w:numPr>
              <w:ind w:left="480" w:leftChars="200"/>
              <w:rPr>
                <w:rFonts w:hint="eastAsia" w:ascii="宋体" w:hAnsi="宋体" w:cs="宋体"/>
                <w:color w:val="000000"/>
                <w:kern w:val="0"/>
                <w:sz w:val="24"/>
                <w:u w:val="single"/>
                <w:lang w:val="en-US" w:eastAsia="zh-CN"/>
              </w:rPr>
            </w:pPr>
            <w:r>
              <w:rPr>
                <w:rFonts w:hint="eastAsia" w:ascii="宋体" w:hAnsi="宋体" w:eastAsia="宋体" w:cs="宋体"/>
                <w:color w:val="000000"/>
                <w:kern w:val="0"/>
                <w:sz w:val="24"/>
                <w:szCs w:val="24"/>
                <w:u w:val="single"/>
                <w:lang w:val="en-US" w:eastAsia="zh-CN" w:bidi="ar-SA"/>
              </w:rPr>
              <w:t>（4）</w:t>
            </w:r>
            <w:r>
              <w:rPr>
                <w:rFonts w:hint="eastAsia" w:ascii="宋体" w:hAnsi="宋体" w:cs="宋体"/>
                <w:color w:val="000000"/>
                <w:kern w:val="0"/>
                <w:sz w:val="24"/>
                <w:u w:val="single"/>
                <w:lang w:val="en-US" w:eastAsia="zh-CN"/>
              </w:rPr>
              <w:t>危废暂存间建设要求</w:t>
            </w:r>
          </w:p>
          <w:p>
            <w:pPr>
              <w:numPr>
                <w:ilvl w:val="0"/>
                <w:numId w:val="0"/>
              </w:numPr>
              <w:ind w:firstLine="480" w:firstLineChars="200"/>
              <w:rPr>
                <w:rFonts w:hint="default"/>
                <w:u w:val="single"/>
                <w:lang w:val="en-US" w:eastAsia="zh-CN"/>
              </w:rPr>
            </w:pPr>
            <w:r>
              <w:rPr>
                <w:rFonts w:hint="default"/>
                <w:u w:val="single"/>
                <w:lang w:val="en-US" w:eastAsia="zh-CN"/>
              </w:rPr>
              <w:t>根据《危险废物贮存污染控制标准》</w:t>
            </w:r>
            <w:r>
              <w:rPr>
                <w:rFonts w:hint="eastAsia"/>
                <w:u w:val="single"/>
                <w:lang w:val="en-US" w:eastAsia="zh-CN"/>
              </w:rPr>
              <w:t>（GB18597-2023），本项目</w:t>
            </w:r>
            <w:r>
              <w:rPr>
                <w:rFonts w:hint="default"/>
                <w:u w:val="single"/>
                <w:lang w:val="en-US" w:eastAsia="zh-CN"/>
              </w:rPr>
              <w:t>建立的</w:t>
            </w:r>
            <w:r>
              <w:rPr>
                <w:rFonts w:hint="eastAsia"/>
                <w:u w:val="single"/>
                <w:lang w:val="en-US" w:eastAsia="zh-CN"/>
              </w:rPr>
              <w:t>危废暂存间</w:t>
            </w:r>
            <w:r>
              <w:rPr>
                <w:rFonts w:hint="default"/>
                <w:u w:val="single"/>
                <w:lang w:val="en-US" w:eastAsia="zh-CN"/>
              </w:rPr>
              <w:t>设施、设备应当达到以下要求：</w:t>
            </w:r>
          </w:p>
          <w:p>
            <w:pPr>
              <w:numPr>
                <w:ilvl w:val="0"/>
                <w:numId w:val="0"/>
              </w:numPr>
              <w:ind w:firstLine="480" w:firstLineChars="200"/>
              <w:rPr>
                <w:rFonts w:hint="default"/>
                <w:u w:val="single"/>
                <w:lang w:val="en-US" w:eastAsia="zh-CN"/>
              </w:rPr>
            </w:pPr>
            <w:r>
              <w:rPr>
                <w:rFonts w:hint="default"/>
                <w:u w:val="single"/>
                <w:lang w:val="en-US" w:eastAsia="zh-CN"/>
              </w:rPr>
              <w:t>（1）必须与</w:t>
            </w:r>
            <w:r>
              <w:rPr>
                <w:rFonts w:hint="eastAsia"/>
                <w:u w:val="single"/>
                <w:lang w:val="en-US" w:eastAsia="zh-CN"/>
              </w:rPr>
              <w:t>一般固废</w:t>
            </w:r>
            <w:r>
              <w:rPr>
                <w:rFonts w:hint="default"/>
                <w:u w:val="single"/>
                <w:lang w:val="en-US" w:eastAsia="zh-CN"/>
              </w:rPr>
              <w:t>存放地分开，有防雨淋的装置，地基高度应确保设</w:t>
            </w:r>
          </w:p>
          <w:p>
            <w:pPr>
              <w:numPr>
                <w:ilvl w:val="0"/>
                <w:numId w:val="0"/>
              </w:numPr>
              <w:rPr>
                <w:rFonts w:hint="default"/>
                <w:u w:val="single"/>
                <w:lang w:val="en-US" w:eastAsia="zh-CN"/>
              </w:rPr>
            </w:pPr>
            <w:r>
              <w:rPr>
                <w:rFonts w:hint="default"/>
                <w:u w:val="single"/>
                <w:lang w:val="en-US" w:eastAsia="zh-CN"/>
              </w:rPr>
              <w:t>施内不受雨洪冲击或浸泡；</w:t>
            </w:r>
          </w:p>
          <w:p>
            <w:pPr>
              <w:numPr>
                <w:ilvl w:val="0"/>
                <w:numId w:val="0"/>
              </w:numPr>
              <w:ind w:firstLine="480" w:firstLineChars="200"/>
              <w:rPr>
                <w:rFonts w:hint="default"/>
                <w:u w:val="single"/>
                <w:lang w:val="en-US" w:eastAsia="zh-CN"/>
              </w:rPr>
            </w:pPr>
            <w:r>
              <w:rPr>
                <w:rFonts w:hint="default"/>
                <w:u w:val="single"/>
                <w:lang w:val="en-US" w:eastAsia="zh-CN"/>
              </w:rPr>
              <w:t>（</w:t>
            </w:r>
            <w:r>
              <w:rPr>
                <w:rFonts w:hint="eastAsia"/>
                <w:u w:val="single"/>
                <w:lang w:val="en-US" w:eastAsia="zh-CN"/>
              </w:rPr>
              <w:t>2</w:t>
            </w:r>
            <w:r>
              <w:rPr>
                <w:rFonts w:hint="default"/>
                <w:u w:val="single"/>
                <w:lang w:val="en-US" w:eastAsia="zh-CN"/>
              </w:rPr>
              <w:t>）应有严密的封闭措施，设专人管理，避免非工作人员进出，以及防</w:t>
            </w:r>
          </w:p>
          <w:p>
            <w:pPr>
              <w:numPr>
                <w:ilvl w:val="0"/>
                <w:numId w:val="0"/>
              </w:numPr>
              <w:rPr>
                <w:rFonts w:hint="default"/>
                <w:u w:val="single"/>
                <w:lang w:val="en-US" w:eastAsia="zh-CN"/>
              </w:rPr>
            </w:pPr>
            <w:r>
              <w:rPr>
                <w:rFonts w:hint="default"/>
                <w:u w:val="single"/>
                <w:lang w:val="en-US" w:eastAsia="zh-CN"/>
              </w:rPr>
              <w:t>鼠、防蚊蝇、防蟑螂、防盗等安全措施；</w:t>
            </w:r>
          </w:p>
          <w:p>
            <w:pPr>
              <w:numPr>
                <w:ilvl w:val="0"/>
                <w:numId w:val="0"/>
              </w:numPr>
              <w:ind w:firstLine="480" w:firstLineChars="200"/>
              <w:rPr>
                <w:rFonts w:hint="default"/>
                <w:u w:val="single"/>
                <w:lang w:val="en-US" w:eastAsia="zh-CN"/>
              </w:rPr>
            </w:pPr>
            <w:r>
              <w:rPr>
                <w:rFonts w:hint="default"/>
                <w:u w:val="single"/>
                <w:lang w:val="en-US" w:eastAsia="zh-CN"/>
              </w:rPr>
              <w:t>（</w:t>
            </w:r>
            <w:r>
              <w:rPr>
                <w:rFonts w:hint="eastAsia"/>
                <w:u w:val="single"/>
                <w:lang w:val="en-US" w:eastAsia="zh-CN"/>
              </w:rPr>
              <w:t>3</w:t>
            </w:r>
            <w:r>
              <w:rPr>
                <w:rFonts w:hint="default"/>
                <w:u w:val="single"/>
                <w:lang w:val="en-US" w:eastAsia="zh-CN"/>
              </w:rPr>
              <w:t>）地面和1.0米高的墙裙须进行防渗处理；</w:t>
            </w:r>
          </w:p>
          <w:p>
            <w:pPr>
              <w:numPr>
                <w:ilvl w:val="0"/>
                <w:numId w:val="0"/>
              </w:numPr>
              <w:ind w:firstLine="480" w:firstLineChars="200"/>
              <w:rPr>
                <w:rFonts w:hint="default"/>
                <w:u w:val="single"/>
                <w:lang w:val="en-US" w:eastAsia="zh-CN"/>
              </w:rPr>
            </w:pPr>
            <w:r>
              <w:rPr>
                <w:rFonts w:hint="default"/>
                <w:u w:val="single"/>
                <w:lang w:val="en-US" w:eastAsia="zh-CN"/>
              </w:rPr>
              <w:t>（</w:t>
            </w:r>
            <w:r>
              <w:rPr>
                <w:rFonts w:hint="eastAsia"/>
                <w:u w:val="single"/>
                <w:lang w:val="en-US" w:eastAsia="zh-CN"/>
              </w:rPr>
              <w:t>4</w:t>
            </w:r>
            <w:r>
              <w:rPr>
                <w:rFonts w:hint="default"/>
                <w:u w:val="single"/>
                <w:lang w:val="en-US" w:eastAsia="zh-CN"/>
              </w:rPr>
              <w:t>）避免阳光直射库内，应有良好的照明设备和通风条件；</w:t>
            </w:r>
          </w:p>
          <w:p>
            <w:pPr>
              <w:numPr>
                <w:ilvl w:val="0"/>
                <w:numId w:val="0"/>
              </w:numPr>
              <w:ind w:firstLine="480" w:firstLineChars="200"/>
              <w:rPr>
                <w:rFonts w:hint="eastAsia" w:cs="宋体"/>
                <w:bCs w:val="0"/>
                <w:u w:val="single"/>
              </w:rPr>
            </w:pPr>
            <w:r>
              <w:rPr>
                <w:rFonts w:hint="default"/>
                <w:u w:val="single"/>
                <w:lang w:val="en-US" w:eastAsia="zh-CN"/>
              </w:rPr>
              <w:t>（</w:t>
            </w:r>
            <w:r>
              <w:rPr>
                <w:rFonts w:hint="eastAsia"/>
                <w:u w:val="single"/>
                <w:lang w:val="en-US" w:eastAsia="zh-CN"/>
              </w:rPr>
              <w:t>5</w:t>
            </w:r>
            <w:r>
              <w:rPr>
                <w:rFonts w:hint="default"/>
                <w:u w:val="single"/>
                <w:lang w:val="en-US" w:eastAsia="zh-CN"/>
              </w:rPr>
              <w:t>）</w:t>
            </w:r>
            <w:r>
              <w:rPr>
                <w:rFonts w:hint="eastAsia"/>
                <w:u w:val="single"/>
                <w:lang w:val="en-US" w:eastAsia="zh-CN"/>
              </w:rPr>
              <w:t>危废</w:t>
            </w:r>
            <w:r>
              <w:rPr>
                <w:rFonts w:hint="default"/>
                <w:u w:val="single"/>
                <w:lang w:val="en-US" w:eastAsia="zh-CN"/>
              </w:rPr>
              <w:t>暂存间</w:t>
            </w:r>
            <w:r>
              <w:rPr>
                <w:rFonts w:hint="eastAsia"/>
                <w:u w:val="single"/>
                <w:lang w:val="en-US" w:eastAsia="zh-CN"/>
              </w:rPr>
              <w:t>内</w:t>
            </w:r>
            <w:r>
              <w:rPr>
                <w:rFonts w:hint="default"/>
                <w:u w:val="single"/>
                <w:lang w:val="en-US" w:eastAsia="zh-CN"/>
              </w:rPr>
              <w:t>应配备</w:t>
            </w:r>
            <w:r>
              <w:rPr>
                <w:rFonts w:hint="eastAsia"/>
                <w:u w:val="single"/>
                <w:lang w:val="en-US" w:eastAsia="zh-CN"/>
              </w:rPr>
              <w:t>紫外消毒装置</w:t>
            </w:r>
            <w:r>
              <w:rPr>
                <w:rFonts w:hint="default"/>
                <w:u w:val="single"/>
                <w:lang w:val="en-US" w:eastAsia="zh-CN"/>
              </w:rPr>
              <w:t>。</w:t>
            </w:r>
          </w:p>
          <w:p>
            <w:pPr>
              <w:pStyle w:val="4"/>
              <w:widowControl/>
              <w:numPr>
                <w:ilvl w:val="0"/>
                <w:numId w:val="0"/>
              </w:numPr>
              <w:tabs>
                <w:tab w:val="left" w:pos="360"/>
                <w:tab w:val="left" w:pos="432"/>
              </w:tabs>
              <w:spacing w:beforeLines="0" w:afterLines="0" w:line="240" w:lineRule="auto"/>
              <w:rPr>
                <w:rFonts w:cs="宋体"/>
                <w:bCs w:val="0"/>
              </w:rPr>
            </w:pPr>
            <w:r>
              <w:rPr>
                <w:rFonts w:hint="eastAsia" w:cs="宋体"/>
                <w:bCs w:val="0"/>
              </w:rPr>
              <w:t>8、项目环境保护竣工验收</w:t>
            </w:r>
          </w:p>
          <w:p>
            <w:pPr>
              <w:keepNext w:val="0"/>
              <w:keepLines w:val="0"/>
              <w:pageBreakBefore w:val="0"/>
              <w:widowControl/>
              <w:kinsoku/>
              <w:wordWrap/>
              <w:overflowPunct/>
              <w:topLinePunct w:val="0"/>
              <w:autoSpaceDE/>
              <w:autoSpaceDN/>
              <w:bidi w:val="0"/>
              <w:adjustRightInd/>
              <w:snapToGrid/>
              <w:spacing w:line="360" w:lineRule="auto"/>
              <w:ind w:firstLine="482"/>
              <w:textAlignment w:val="auto"/>
            </w:pPr>
            <w:r>
              <w:rPr>
                <w:rFonts w:hint="eastAsia"/>
              </w:rPr>
              <w:t>本项目已完成建设，待项目环保设备建设完成后，应立即按照《建设项目竣工环境保护验收暂行办法》(国环规环评〔2017〕4 号)、《建设项目竣工环境保护验收技术指南 污染影响类》（生态环境部办公厅2018 年5月16日印发）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中弄虚作假。</w:t>
            </w:r>
          </w:p>
          <w:p>
            <w:pPr>
              <w:pStyle w:val="4"/>
              <w:widowControl/>
              <w:numPr>
                <w:ilvl w:val="0"/>
                <w:numId w:val="0"/>
              </w:numPr>
              <w:tabs>
                <w:tab w:val="left" w:pos="360"/>
                <w:tab w:val="left" w:pos="432"/>
              </w:tabs>
              <w:spacing w:beforeLines="0" w:afterLines="0" w:line="240" w:lineRule="auto"/>
              <w:rPr>
                <w:rFonts w:cs="宋体"/>
                <w:bCs w:val="0"/>
                <w:u w:val="single"/>
              </w:rPr>
            </w:pPr>
            <w:r>
              <w:rPr>
                <w:rFonts w:hint="eastAsia" w:cs="宋体"/>
                <w:bCs w:val="0"/>
                <w:u w:val="single"/>
              </w:rPr>
              <w:t>9、环境保护投资估算</w:t>
            </w:r>
          </w:p>
          <w:p>
            <w:pPr>
              <w:widowControl/>
              <w:spacing w:line="360" w:lineRule="auto"/>
              <w:ind w:firstLine="480" w:firstLineChars="200"/>
              <w:rPr>
                <w:u w:val="single"/>
              </w:rPr>
            </w:pPr>
            <w:r>
              <w:rPr>
                <w:rFonts w:hint="eastAsia"/>
                <w:u w:val="single"/>
              </w:rPr>
              <w:t>本项目总投资850万元，环保投资约</w:t>
            </w:r>
            <w:r>
              <w:rPr>
                <w:rFonts w:hint="eastAsia"/>
                <w:u w:val="single"/>
                <w:lang w:val="en-US" w:eastAsia="zh-CN"/>
              </w:rPr>
              <w:t>40.5</w:t>
            </w:r>
            <w:r>
              <w:rPr>
                <w:rFonts w:hint="eastAsia"/>
                <w:u w:val="single"/>
              </w:rPr>
              <w:t>万，环保投资占工程总投资的</w:t>
            </w:r>
            <w:r>
              <w:rPr>
                <w:rFonts w:hint="eastAsia"/>
                <w:u w:val="single"/>
                <w:lang w:val="en-US" w:eastAsia="zh-CN"/>
              </w:rPr>
              <w:t>4.8</w:t>
            </w:r>
            <w:r>
              <w:rPr>
                <w:rFonts w:hint="eastAsia"/>
                <w:u w:val="single"/>
              </w:rPr>
              <w:t>%，工程环保投资估算及“三同时”竣工验收情况详见下表。</w:t>
            </w:r>
          </w:p>
          <w:p>
            <w:pPr>
              <w:tabs>
                <w:tab w:val="left" w:pos="1021"/>
              </w:tabs>
              <w:spacing w:line="240" w:lineRule="auto"/>
              <w:jc w:val="center"/>
              <w:rPr>
                <w:rFonts w:hAnsi="宋体"/>
                <w:b/>
                <w:sz w:val="21"/>
                <w:szCs w:val="21"/>
                <w:u w:val="single"/>
              </w:rPr>
            </w:pPr>
            <w:r>
              <w:rPr>
                <w:rFonts w:hint="eastAsia" w:hAnsi="宋体"/>
                <w:b/>
                <w:sz w:val="21"/>
                <w:szCs w:val="21"/>
                <w:u w:val="single"/>
              </w:rPr>
              <w:t>表4</w:t>
            </w:r>
            <w:r>
              <w:rPr>
                <w:rFonts w:hAnsi="宋体"/>
                <w:b/>
                <w:sz w:val="21"/>
                <w:szCs w:val="21"/>
                <w:u w:val="single"/>
              </w:rPr>
              <w:t>-</w:t>
            </w:r>
            <w:r>
              <w:rPr>
                <w:rFonts w:hint="eastAsia" w:hAnsi="宋体"/>
                <w:b/>
                <w:sz w:val="21"/>
                <w:szCs w:val="21"/>
                <w:u w:val="single"/>
              </w:rPr>
              <w:t>8  环境保护专项投资估算表</w:t>
            </w:r>
          </w:p>
          <w:tbl>
            <w:tblPr>
              <w:tblStyle w:val="173"/>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37"/>
              <w:gridCol w:w="982"/>
              <w:gridCol w:w="3188"/>
              <w:gridCol w:w="1259"/>
              <w:gridCol w:w="157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1302" w:type="pct"/>
                  <w:gridSpan w:val="2"/>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pPr>
                    <w:pStyle w:val="266"/>
                    <w:spacing w:line="240" w:lineRule="auto"/>
                    <w:jc w:val="center"/>
                    <w:rPr>
                      <w:rFonts w:hint="default" w:ascii="Times New Roman" w:hAnsi="Times New Roman" w:eastAsia="宋体" w:cs="Times New Roman"/>
                      <w:b/>
                      <w:bCs/>
                      <w:color w:val="000000"/>
                      <w:sz w:val="21"/>
                      <w:szCs w:val="21"/>
                      <w:u w:val="single"/>
                    </w:rPr>
                  </w:pPr>
                  <w:r>
                    <w:rPr>
                      <w:rFonts w:hint="default" w:ascii="Times New Roman" w:hAnsi="Times New Roman" w:eastAsia="宋体" w:cs="Times New Roman"/>
                      <w:b/>
                      <w:bCs/>
                      <w:color w:val="000000"/>
                      <w:spacing w:val="-9"/>
                      <w:sz w:val="21"/>
                      <w:szCs w:val="21"/>
                      <w:u w:val="single"/>
                    </w:rPr>
                    <w:t>项目</w:t>
                  </w:r>
                </w:p>
              </w:tc>
              <w:tc>
                <w:tcPr>
                  <w:tcW w:w="1957" w:type="pct"/>
                  <w:tcBorders>
                    <w:top w:val="single" w:color="000000" w:sz="12"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b/>
                      <w:bCs/>
                      <w:color w:val="000000"/>
                      <w:sz w:val="21"/>
                      <w:szCs w:val="21"/>
                      <w:u w:val="single"/>
                    </w:rPr>
                  </w:pPr>
                  <w:r>
                    <w:rPr>
                      <w:rFonts w:hint="default" w:ascii="Times New Roman" w:hAnsi="Times New Roman" w:eastAsia="宋体" w:cs="Times New Roman"/>
                      <w:b/>
                      <w:bCs/>
                      <w:color w:val="000000"/>
                      <w:spacing w:val="-23"/>
                      <w:sz w:val="21"/>
                      <w:szCs w:val="21"/>
                      <w:u w:val="single"/>
                    </w:rPr>
                    <w:t>污染防治措施或设施</w:t>
                  </w:r>
                </w:p>
              </w:tc>
              <w:tc>
                <w:tcPr>
                  <w:tcW w:w="773" w:type="pct"/>
                  <w:tcBorders>
                    <w:top w:val="single" w:color="000000" w:sz="12"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b/>
                      <w:bCs/>
                      <w:color w:val="000000"/>
                      <w:spacing w:val="-2"/>
                      <w:sz w:val="21"/>
                      <w:szCs w:val="21"/>
                      <w:u w:val="single"/>
                      <w:lang w:val="en-US" w:eastAsia="zh-CN"/>
                    </w:rPr>
                  </w:pPr>
                  <w:r>
                    <w:rPr>
                      <w:rFonts w:hint="default" w:ascii="Times New Roman" w:hAnsi="Times New Roman" w:eastAsia="宋体" w:cs="Times New Roman"/>
                      <w:b/>
                      <w:bCs/>
                      <w:color w:val="000000"/>
                      <w:spacing w:val="-2"/>
                      <w:sz w:val="21"/>
                      <w:szCs w:val="21"/>
                      <w:u w:val="single"/>
                      <w:lang w:val="en-US" w:eastAsia="zh-CN"/>
                    </w:rPr>
                    <w:t>投资</w:t>
                  </w:r>
                  <w:r>
                    <w:rPr>
                      <w:rFonts w:hint="default" w:ascii="Times New Roman" w:hAnsi="Times New Roman" w:eastAsia="宋体" w:cs="Times New Roman"/>
                      <w:b/>
                      <w:bCs/>
                      <w:color w:val="000000"/>
                      <w:spacing w:val="-2"/>
                      <w:sz w:val="21"/>
                      <w:szCs w:val="21"/>
                      <w:u w:val="single"/>
                    </w:rPr>
                    <w:t>（万元）</w:t>
                  </w:r>
                </w:p>
              </w:tc>
              <w:tc>
                <w:tcPr>
                  <w:tcW w:w="966" w:type="pct"/>
                  <w:tcBorders>
                    <w:top w:val="single" w:color="000000" w:sz="12"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b/>
                      <w:bCs/>
                      <w:color w:val="000000"/>
                      <w:sz w:val="21"/>
                      <w:szCs w:val="21"/>
                      <w:u w:val="single"/>
                    </w:rPr>
                  </w:pPr>
                  <w:r>
                    <w:rPr>
                      <w:rFonts w:hint="default" w:ascii="Times New Roman" w:hAnsi="Times New Roman" w:eastAsia="宋体" w:cs="Times New Roman"/>
                      <w:b/>
                      <w:bCs/>
                      <w:color w:val="000000"/>
                      <w:spacing w:val="-2"/>
                      <w:sz w:val="21"/>
                      <w:szCs w:val="21"/>
                      <w:u w:val="single"/>
                      <w:lang w:val="en-US" w:eastAsia="zh-CN"/>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699" w:type="pct"/>
                  <w:vMerge w:val="restart"/>
                  <w:tcBorders>
                    <w:top w:val="single" w:color="000000" w:sz="4" w:space="0"/>
                    <w:left w:val="single" w:color="000000" w:sz="12"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10"/>
                      <w:sz w:val="21"/>
                      <w:szCs w:val="21"/>
                      <w:u w:val="single"/>
                    </w:rPr>
                    <w:t>废水</w:t>
                  </w: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4"/>
                      <w:sz w:val="21"/>
                      <w:szCs w:val="21"/>
                      <w:u w:val="single"/>
                    </w:rPr>
                    <w:t>养殖废水</w:t>
                  </w:r>
                </w:p>
              </w:tc>
              <w:tc>
                <w:tcPr>
                  <w:tcW w:w="195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color w:val="000000"/>
                      <w:spacing w:val="-3"/>
                      <w:sz w:val="21"/>
                      <w:szCs w:val="21"/>
                      <w:u w:val="single"/>
                      <w:lang w:eastAsia="zh-CN"/>
                    </w:rPr>
                    <w:t>三级过滤沉淀池+污水处理一体化设备</w:t>
                  </w:r>
                </w:p>
              </w:tc>
              <w:tc>
                <w:tcPr>
                  <w:tcW w:w="773"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pacing w:val="-3"/>
                      <w:sz w:val="21"/>
                      <w:szCs w:val="21"/>
                      <w:u w:val="single"/>
                      <w:lang w:val="en-US" w:eastAsia="zh-CN"/>
                    </w:rPr>
                  </w:pPr>
                  <w:r>
                    <w:rPr>
                      <w:rFonts w:hint="eastAsia" w:ascii="Times New Roman" w:hAnsi="Times New Roman" w:eastAsia="宋体" w:cs="Times New Roman"/>
                      <w:color w:val="000000"/>
                      <w:spacing w:val="-3"/>
                      <w:sz w:val="21"/>
                      <w:szCs w:val="21"/>
                      <w:u w:val="single"/>
                      <w:lang w:val="en-US" w:eastAsia="zh-CN"/>
                    </w:rPr>
                    <w:t>23</w:t>
                  </w:r>
                </w:p>
              </w:tc>
              <w:tc>
                <w:tcPr>
                  <w:tcW w:w="966"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eastAsia" w:ascii="Times New Roman" w:hAnsi="Times New Roman" w:eastAsia="宋体" w:cs="Times New Roman"/>
                      <w:color w:val="000000"/>
                      <w:sz w:val="21"/>
                      <w:szCs w:val="21"/>
                      <w:u w:val="single"/>
                      <w:lang w:val="en-US" w:eastAsia="zh-CN"/>
                    </w:rPr>
                    <w:t>现有项目已修建三级过滤沉淀池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699" w:type="pct"/>
                  <w:vMerge w:val="continue"/>
                  <w:tcBorders>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pacing w:val="-10"/>
                      <w:sz w:val="21"/>
                      <w:szCs w:val="21"/>
                      <w:u w:val="single"/>
                    </w:rPr>
                  </w:pP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pacing w:val="-4"/>
                      <w:sz w:val="21"/>
                      <w:szCs w:val="21"/>
                      <w:u w:val="single"/>
                      <w:lang w:val="en-US" w:eastAsia="zh-CN"/>
                    </w:rPr>
                  </w:pPr>
                  <w:r>
                    <w:rPr>
                      <w:rFonts w:hint="default" w:ascii="Times New Roman" w:hAnsi="Times New Roman" w:eastAsia="宋体" w:cs="Times New Roman"/>
                      <w:color w:val="000000"/>
                      <w:spacing w:val="-4"/>
                      <w:sz w:val="21"/>
                      <w:szCs w:val="21"/>
                      <w:u w:val="single"/>
                      <w:lang w:val="en-US" w:eastAsia="zh-CN"/>
                    </w:rPr>
                    <w:t>果园灌溉</w:t>
                  </w:r>
                </w:p>
              </w:tc>
              <w:tc>
                <w:tcPr>
                  <w:tcW w:w="195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pacing w:val="-3"/>
                      <w:sz w:val="21"/>
                      <w:szCs w:val="21"/>
                      <w:u w:val="single"/>
                      <w:lang w:val="en-US" w:eastAsia="zh-CN"/>
                    </w:rPr>
                  </w:pPr>
                  <w:r>
                    <w:rPr>
                      <w:rFonts w:hint="default" w:ascii="Times New Roman" w:hAnsi="Times New Roman" w:eastAsia="宋体" w:cs="Times New Roman"/>
                      <w:color w:val="000000"/>
                      <w:spacing w:val="-3"/>
                      <w:sz w:val="21"/>
                      <w:szCs w:val="21"/>
                      <w:u w:val="single"/>
                      <w:lang w:val="en-US" w:eastAsia="zh-CN"/>
                    </w:rPr>
                    <w:t>果园灌溉设施</w:t>
                  </w:r>
                  <w:r>
                    <w:rPr>
                      <w:rFonts w:hint="eastAsia" w:ascii="Times New Roman" w:hAnsi="Times New Roman" w:eastAsia="宋体" w:cs="Times New Roman"/>
                      <w:color w:val="000000"/>
                      <w:spacing w:val="-3"/>
                      <w:sz w:val="21"/>
                      <w:szCs w:val="21"/>
                      <w:u w:val="single"/>
                      <w:lang w:val="en-US" w:eastAsia="zh-CN"/>
                    </w:rPr>
                    <w:t>+</w:t>
                  </w:r>
                  <w:r>
                    <w:rPr>
                      <w:rFonts w:hint="default" w:ascii="Times New Roman" w:hAnsi="Times New Roman" w:eastAsia="宋体" w:cs="Times New Roman"/>
                      <w:color w:val="000000"/>
                      <w:spacing w:val="-3"/>
                      <w:sz w:val="21"/>
                      <w:szCs w:val="21"/>
                      <w:u w:val="single"/>
                      <w:lang w:val="en-US" w:eastAsia="zh-CN"/>
                    </w:rPr>
                    <w:t>污水管道</w:t>
                  </w:r>
                  <w:r>
                    <w:rPr>
                      <w:rFonts w:hint="eastAsia" w:ascii="Times New Roman" w:hAnsi="Times New Roman" w:eastAsia="宋体" w:cs="Times New Roman"/>
                      <w:color w:val="000000"/>
                      <w:spacing w:val="-3"/>
                      <w:sz w:val="21"/>
                      <w:szCs w:val="21"/>
                      <w:u w:val="single"/>
                      <w:lang w:val="en-US" w:eastAsia="zh-CN"/>
                    </w:rPr>
                    <w:t>+</w:t>
                  </w:r>
                  <w:r>
                    <w:rPr>
                      <w:rFonts w:hint="default" w:ascii="Times New Roman" w:hAnsi="Times New Roman" w:eastAsia="宋体" w:cs="Times New Roman"/>
                      <w:color w:val="000000"/>
                      <w:spacing w:val="-3"/>
                      <w:sz w:val="21"/>
                      <w:szCs w:val="21"/>
                      <w:u w:val="single"/>
                      <w:lang w:val="en-US" w:eastAsia="zh-CN"/>
                    </w:rPr>
                    <w:t>污水处理池底部防渗处理</w:t>
                  </w:r>
                </w:p>
              </w:tc>
              <w:tc>
                <w:tcPr>
                  <w:tcW w:w="773"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pacing w:val="-3"/>
                      <w:sz w:val="21"/>
                      <w:szCs w:val="21"/>
                      <w:u w:val="single"/>
                      <w:lang w:val="en-US" w:eastAsia="zh-CN"/>
                    </w:rPr>
                  </w:pPr>
                  <w:r>
                    <w:rPr>
                      <w:rFonts w:hint="eastAsia" w:ascii="Times New Roman" w:hAnsi="Times New Roman" w:eastAsia="宋体" w:cs="Times New Roman"/>
                      <w:color w:val="000000"/>
                      <w:spacing w:val="-3"/>
                      <w:sz w:val="21"/>
                      <w:szCs w:val="21"/>
                      <w:u w:val="single"/>
                      <w:lang w:val="en-US" w:eastAsia="zh-CN"/>
                    </w:rPr>
                    <w:t>10</w:t>
                  </w:r>
                </w:p>
              </w:tc>
              <w:tc>
                <w:tcPr>
                  <w:tcW w:w="966"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pacing w:val="-3"/>
                      <w:sz w:val="21"/>
                      <w:szCs w:val="21"/>
                      <w:u w:val="single"/>
                      <w:lang w:val="en-US" w:eastAsia="zh-CN"/>
                    </w:rPr>
                  </w:pPr>
                  <w:r>
                    <w:rPr>
                      <w:rFonts w:hint="eastAsia" w:ascii="Times New Roman" w:hAnsi="Times New Roman" w:eastAsia="宋体" w:cs="Times New Roman"/>
                      <w:color w:val="000000"/>
                      <w:spacing w:val="-3"/>
                      <w:sz w:val="21"/>
                      <w:szCs w:val="21"/>
                      <w:u w:val="single"/>
                      <w:lang w:val="en-US" w:eastAsia="zh-CN"/>
                    </w:rPr>
                    <w:t>污水管道长约200m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0" w:hRule="atLeast"/>
                <w:jc w:val="center"/>
              </w:trPr>
              <w:tc>
                <w:tcPr>
                  <w:tcW w:w="699"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10"/>
                      <w:sz w:val="21"/>
                      <w:szCs w:val="21"/>
                      <w:u w:val="single"/>
                    </w:rPr>
                    <w:t>废气</w:t>
                  </w: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14"/>
                      <w:sz w:val="21"/>
                      <w:szCs w:val="21"/>
                      <w:u w:val="single"/>
                    </w:rPr>
                    <w:t>恶臭</w:t>
                  </w:r>
                </w:p>
              </w:tc>
              <w:tc>
                <w:tcPr>
                  <w:tcW w:w="195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color w:val="000000"/>
                      <w:spacing w:val="-2"/>
                      <w:sz w:val="21"/>
                      <w:szCs w:val="21"/>
                      <w:u w:val="single"/>
                      <w:lang w:eastAsia="zh-CN"/>
                    </w:rPr>
                    <w:t>加强养殖水体多流动以及经常清洗水体，并且一发现死蛙立即清</w:t>
                  </w:r>
                  <w:r>
                    <w:rPr>
                      <w:rFonts w:hint="default" w:ascii="Times New Roman" w:hAnsi="Times New Roman" w:eastAsia="宋体" w:cs="Times New Roman"/>
                      <w:color w:val="000000"/>
                      <w:spacing w:val="-8"/>
                      <w:sz w:val="21"/>
                      <w:szCs w:val="21"/>
                      <w:u w:val="single"/>
                      <w:lang w:eastAsia="zh-CN"/>
                    </w:rPr>
                    <w:t>捞，减少水体发臭现象，并对养殖</w:t>
                  </w:r>
                  <w:r>
                    <w:rPr>
                      <w:rFonts w:hint="default" w:ascii="Times New Roman" w:hAnsi="Times New Roman" w:eastAsia="宋体" w:cs="Times New Roman"/>
                      <w:color w:val="000000"/>
                      <w:spacing w:val="-2"/>
                      <w:sz w:val="21"/>
                      <w:szCs w:val="21"/>
                      <w:u w:val="single"/>
                      <w:lang w:eastAsia="zh-CN"/>
                    </w:rPr>
                    <w:t>区投放石灰杀菌消毒减少腥臭味的逸散，并经周边植被稀释扩散</w:t>
                  </w:r>
                </w:p>
              </w:tc>
              <w:tc>
                <w:tcPr>
                  <w:tcW w:w="773"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2</w:t>
                  </w:r>
                </w:p>
              </w:tc>
              <w:tc>
                <w:tcPr>
                  <w:tcW w:w="966"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eastAsia="zh-CN"/>
                    </w:rPr>
                  </w:pPr>
                  <w:r>
                    <w:rPr>
                      <w:rFonts w:hint="eastAsia" w:ascii="Times New Roman" w:hAnsi="Times New Roman" w:eastAsia="宋体" w:cs="Times New Roman"/>
                      <w:color w:val="000000"/>
                      <w:sz w:val="21"/>
                      <w:szCs w:val="21"/>
                      <w:u w:val="singl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699" w:type="pct"/>
                  <w:vMerge w:val="restart"/>
                  <w:tcBorders>
                    <w:top w:val="single" w:color="000000" w:sz="4" w:space="0"/>
                    <w:left w:val="single" w:color="000000" w:sz="12" w:space="0"/>
                    <w:right w:val="single" w:color="000000" w:sz="4" w:space="0"/>
                  </w:tcBorders>
                  <w:shd w:val="clear" w:color="auto" w:fill="FFFFFF"/>
                  <w:vAlign w:val="center"/>
                </w:tcPr>
                <w:p>
                  <w:pPr>
                    <w:spacing w:line="240" w:lineRule="auto"/>
                    <w:jc w:val="center"/>
                    <w:rPr>
                      <w:rFonts w:hint="eastAsia" w:ascii="Times New Roman" w:hAnsi="Times New Roman" w:eastAsia="宋体" w:cs="Times New Roman"/>
                      <w:color w:val="000000"/>
                      <w:sz w:val="21"/>
                      <w:szCs w:val="21"/>
                      <w:u w:val="single"/>
                      <w:lang w:val="en-US" w:eastAsia="zh-CN"/>
                    </w:rPr>
                  </w:pPr>
                  <w:r>
                    <w:rPr>
                      <w:rFonts w:hint="eastAsia" w:cs="Times New Roman"/>
                      <w:color w:val="000000"/>
                      <w:sz w:val="21"/>
                      <w:szCs w:val="21"/>
                      <w:u w:val="single"/>
                      <w:lang w:val="en-US" w:eastAsia="zh-CN"/>
                    </w:rPr>
                    <w:t>固废</w:t>
                  </w: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eastAsia" w:ascii="Times New Roman" w:hAnsi="Times New Roman" w:eastAsia="宋体" w:cs="Times New Roman"/>
                      <w:color w:val="000000"/>
                      <w:spacing w:val="-6"/>
                      <w:sz w:val="21"/>
                      <w:szCs w:val="21"/>
                      <w:u w:val="single"/>
                      <w:lang w:val="en-US" w:eastAsia="zh-CN"/>
                    </w:rPr>
                    <w:t>非病疫</w:t>
                  </w:r>
                  <w:r>
                    <w:rPr>
                      <w:rFonts w:hint="default" w:ascii="Times New Roman" w:hAnsi="Times New Roman" w:eastAsia="宋体" w:cs="Times New Roman"/>
                      <w:color w:val="000000"/>
                      <w:spacing w:val="-6"/>
                      <w:sz w:val="21"/>
                      <w:szCs w:val="21"/>
                      <w:u w:val="single"/>
                    </w:rPr>
                    <w:t>死蛙</w:t>
                  </w:r>
                </w:p>
              </w:tc>
              <w:tc>
                <w:tcPr>
                  <w:tcW w:w="195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lang w:eastAsia="zh-CN"/>
                    </w:rPr>
                  </w:pPr>
                  <w:r>
                    <w:rPr>
                      <w:rFonts w:hint="default" w:ascii="Times New Roman" w:hAnsi="Times New Roman" w:eastAsia="宋体" w:cs="Times New Roman"/>
                      <w:color w:val="000000"/>
                      <w:sz w:val="21"/>
                      <w:szCs w:val="21"/>
                      <w:u w:val="single"/>
                      <w:lang w:val="en-US" w:eastAsia="zh-CN"/>
                    </w:rPr>
                    <w:t>日常非疫病死亡牛蛙使用安全填埋井进行填埋（若有疫病死亡现象则需使用化尸桶存储放置在危废暂存间内作为危险废物送至附近死畜禽处置中心进行处置）</w:t>
                  </w:r>
                </w:p>
              </w:tc>
              <w:tc>
                <w:tcPr>
                  <w:tcW w:w="773"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eastAsia" w:cs="Times New Roman"/>
                      <w:color w:val="000000"/>
                      <w:sz w:val="21"/>
                      <w:szCs w:val="21"/>
                      <w:u w:val="single"/>
                      <w:lang w:val="en-US" w:eastAsia="zh-CN"/>
                    </w:rPr>
                    <w:t>4</w:t>
                  </w:r>
                  <w:r>
                    <w:rPr>
                      <w:rFonts w:hint="eastAsia" w:ascii="Times New Roman" w:hAnsi="Times New Roman" w:eastAsia="宋体" w:cs="Times New Roman"/>
                      <w:color w:val="000000"/>
                      <w:sz w:val="21"/>
                      <w:szCs w:val="21"/>
                      <w:u w:val="single"/>
                      <w:lang w:val="en-US" w:eastAsia="zh-CN"/>
                    </w:rPr>
                    <w:t>.5</w:t>
                  </w:r>
                </w:p>
              </w:tc>
              <w:tc>
                <w:tcPr>
                  <w:tcW w:w="966"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eastAsia" w:ascii="Times New Roman" w:hAnsi="Times New Roman" w:eastAsia="宋体" w:cs="Times New Roman"/>
                      <w:color w:val="000000"/>
                      <w:sz w:val="21"/>
                      <w:szCs w:val="21"/>
                      <w:u w:val="singl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99"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rPr>
                  </w:pP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8"/>
                      <w:sz w:val="21"/>
                      <w:szCs w:val="21"/>
                      <w:u w:val="single"/>
                    </w:rPr>
                    <w:t>生活垃圾</w:t>
                  </w:r>
                </w:p>
              </w:tc>
              <w:tc>
                <w:tcPr>
                  <w:tcW w:w="1957" w:type="pc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3"/>
                      <w:sz w:val="21"/>
                      <w:szCs w:val="21"/>
                      <w:u w:val="single"/>
                    </w:rPr>
                    <w:t>交由环卫部门清运</w:t>
                  </w:r>
                </w:p>
              </w:tc>
              <w:tc>
                <w:tcPr>
                  <w:tcW w:w="773"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default" w:ascii="Times New Roman" w:hAnsi="Times New Roman" w:eastAsia="宋体" w:cs="Times New Roman"/>
                      <w:color w:val="000000"/>
                      <w:sz w:val="21"/>
                      <w:szCs w:val="21"/>
                      <w:u w:val="single"/>
                      <w:lang w:val="en-US" w:eastAsia="zh-CN"/>
                    </w:rPr>
                    <w:t>0.5</w:t>
                  </w:r>
                </w:p>
              </w:tc>
              <w:tc>
                <w:tcPr>
                  <w:tcW w:w="966" w:type="pc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eastAsia" w:ascii="Times New Roman" w:hAnsi="Times New Roman" w:eastAsia="宋体" w:cs="Times New Roman"/>
                      <w:color w:val="000000"/>
                      <w:sz w:val="21"/>
                      <w:szCs w:val="21"/>
                      <w:u w:val="single"/>
                      <w:lang w:eastAsia="zh-CN"/>
                    </w:rPr>
                  </w:pPr>
                  <w:r>
                    <w:rPr>
                      <w:rFonts w:hint="eastAsia" w:ascii="Times New Roman" w:hAnsi="Times New Roman" w:eastAsia="宋体" w:cs="Times New Roman"/>
                      <w:color w:val="000000"/>
                      <w:sz w:val="21"/>
                      <w:szCs w:val="21"/>
                      <w:u w:val="singl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699" w:type="pct"/>
                  <w:vMerge w:val="restar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14"/>
                      <w:sz w:val="21"/>
                      <w:szCs w:val="21"/>
                      <w:u w:val="single"/>
                    </w:rPr>
                    <w:t>噪声</w:t>
                  </w: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5"/>
                      <w:sz w:val="21"/>
                      <w:szCs w:val="21"/>
                      <w:u w:val="single"/>
                    </w:rPr>
                    <w:t>牛蛙叫声</w:t>
                  </w:r>
                </w:p>
              </w:tc>
              <w:tc>
                <w:tcPr>
                  <w:tcW w:w="1957" w:type="pct"/>
                  <w:vMerge w:val="restart"/>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3"/>
                      <w:sz w:val="21"/>
                      <w:szCs w:val="21"/>
                      <w:u w:val="single"/>
                    </w:rPr>
                    <w:t>减振、隔声措施</w:t>
                  </w:r>
                </w:p>
              </w:tc>
              <w:tc>
                <w:tcPr>
                  <w:tcW w:w="773" w:type="pct"/>
                  <w:vMerge w:val="restart"/>
                  <w:tcBorders>
                    <w:top w:val="single" w:color="000000" w:sz="4" w:space="0"/>
                    <w:left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eastAsia" w:ascii="Times New Roman" w:hAnsi="Times New Roman" w:eastAsia="宋体" w:cs="Times New Roman"/>
                      <w:color w:val="000000"/>
                      <w:sz w:val="21"/>
                      <w:szCs w:val="21"/>
                      <w:u w:val="single"/>
                      <w:lang w:val="en-US" w:eastAsia="zh-CN"/>
                    </w:rPr>
                    <w:t>0.5</w:t>
                  </w:r>
                </w:p>
              </w:tc>
              <w:tc>
                <w:tcPr>
                  <w:tcW w:w="96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eastAsia="zh-CN"/>
                    </w:rPr>
                  </w:pPr>
                  <w:r>
                    <w:rPr>
                      <w:rFonts w:hint="eastAsia" w:ascii="Times New Roman" w:hAnsi="Times New Roman" w:eastAsia="宋体" w:cs="Times New Roman"/>
                      <w:color w:val="000000"/>
                      <w:sz w:val="21"/>
                      <w:szCs w:val="21"/>
                      <w:u w:val="singl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699"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rPr>
                  </w:pPr>
                </w:p>
              </w:tc>
              <w:tc>
                <w:tcPr>
                  <w:tcW w:w="603" w:type="pct"/>
                  <w:tcBorders>
                    <w:top w:val="single" w:color="000000" w:sz="4" w:space="0"/>
                    <w:left w:val="single" w:color="000000" w:sz="4" w:space="0"/>
                    <w:bottom w:val="single" w:color="000000" w:sz="4" w:space="0"/>
                    <w:right w:val="single" w:color="000000" w:sz="12"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8"/>
                      <w:sz w:val="21"/>
                      <w:szCs w:val="21"/>
                      <w:u w:val="single"/>
                    </w:rPr>
                    <w:t>水泵</w:t>
                  </w:r>
                </w:p>
              </w:tc>
              <w:tc>
                <w:tcPr>
                  <w:tcW w:w="1957" w:type="pct"/>
                  <w:vMerge w:val="continue"/>
                  <w:tcBorders>
                    <w:top w:val="single" w:color="000000" w:sz="4" w:space="0"/>
                    <w:left w:val="single" w:color="000000" w:sz="12"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rPr>
                  </w:pPr>
                </w:p>
              </w:tc>
              <w:tc>
                <w:tcPr>
                  <w:tcW w:w="773" w:type="pct"/>
                  <w:vMerge w:val="continue"/>
                  <w:tcBorders>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p>
              </w:tc>
              <w:tc>
                <w:tcPr>
                  <w:tcW w:w="96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3260" w:type="pct"/>
                  <w:gridSpan w:val="3"/>
                  <w:tcBorders>
                    <w:top w:val="single" w:color="000000" w:sz="4" w:space="0"/>
                    <w:left w:val="single" w:color="000000" w:sz="12" w:space="0"/>
                    <w:bottom w:val="single" w:color="000000" w:sz="4" w:space="0"/>
                    <w:right w:val="single" w:color="000000" w:sz="4" w:space="0"/>
                  </w:tcBorders>
                  <w:shd w:val="clear" w:color="auto" w:fill="FFFFFF"/>
                  <w:vAlign w:val="center"/>
                </w:tcPr>
                <w:p>
                  <w:pPr>
                    <w:pStyle w:val="266"/>
                    <w:spacing w:line="240" w:lineRule="auto"/>
                    <w:jc w:val="center"/>
                    <w:rPr>
                      <w:rFonts w:hint="default" w:ascii="Times New Roman" w:hAnsi="Times New Roman" w:eastAsia="宋体" w:cs="Times New Roman"/>
                      <w:color w:val="000000"/>
                      <w:sz w:val="21"/>
                      <w:szCs w:val="21"/>
                      <w:u w:val="single"/>
                    </w:rPr>
                  </w:pPr>
                  <w:r>
                    <w:rPr>
                      <w:rFonts w:hint="default" w:ascii="Times New Roman" w:hAnsi="Times New Roman" w:eastAsia="宋体" w:cs="Times New Roman"/>
                      <w:color w:val="000000"/>
                      <w:spacing w:val="-14"/>
                      <w:sz w:val="21"/>
                      <w:szCs w:val="21"/>
                      <w:u w:val="single"/>
                    </w:rPr>
                    <w:t>总计</w:t>
                  </w:r>
                </w:p>
              </w:tc>
              <w:tc>
                <w:tcPr>
                  <w:tcW w:w="1739" w:type="pct"/>
                  <w:gridSpan w:val="2"/>
                  <w:tcBorders>
                    <w:top w:val="single" w:color="000000" w:sz="4" w:space="0"/>
                    <w:left w:val="single" w:color="000000" w:sz="4" w:space="0"/>
                    <w:bottom w:val="single" w:color="000000" w:sz="4" w:space="0"/>
                    <w:right w:val="single" w:color="000000" w:sz="12" w:space="0"/>
                  </w:tcBorders>
                  <w:shd w:val="clear" w:color="auto" w:fill="FFFFFF"/>
                  <w:vAlign w:val="center"/>
                </w:tcPr>
                <w:p>
                  <w:pPr>
                    <w:spacing w:line="240" w:lineRule="auto"/>
                    <w:jc w:val="center"/>
                    <w:rPr>
                      <w:rFonts w:hint="default" w:ascii="Times New Roman" w:hAnsi="Times New Roman" w:eastAsia="宋体" w:cs="Times New Roman"/>
                      <w:color w:val="000000"/>
                      <w:sz w:val="21"/>
                      <w:szCs w:val="21"/>
                      <w:u w:val="single"/>
                      <w:lang w:val="en-US" w:eastAsia="zh-CN"/>
                    </w:rPr>
                  </w:pPr>
                  <w:r>
                    <w:rPr>
                      <w:rFonts w:hint="eastAsia" w:cs="Times New Roman"/>
                      <w:color w:val="000000"/>
                      <w:sz w:val="21"/>
                      <w:szCs w:val="21"/>
                      <w:u w:val="single"/>
                      <w:lang w:val="en-US" w:eastAsia="zh-CN"/>
                    </w:rPr>
                    <w:t>40</w:t>
                  </w:r>
                  <w:r>
                    <w:rPr>
                      <w:rFonts w:hint="eastAsia" w:ascii="Times New Roman" w:hAnsi="Times New Roman" w:eastAsia="宋体" w:cs="Times New Roman"/>
                      <w:color w:val="000000"/>
                      <w:sz w:val="21"/>
                      <w:szCs w:val="21"/>
                      <w:u w:val="single"/>
                      <w:lang w:val="en-US" w:eastAsia="zh-CN"/>
                    </w:rPr>
                    <w:t>.5</w:t>
                  </w:r>
                </w:p>
              </w:tc>
            </w:tr>
          </w:tbl>
          <w:p>
            <w:pPr>
              <w:widowControl/>
              <w:ind w:firstLine="480"/>
            </w:pPr>
          </w:p>
        </w:tc>
      </w:tr>
      <w:bookmarkEnd w:id="34"/>
      <w:bookmarkEnd w:id="35"/>
      <w:bookmarkEnd w:id="36"/>
      <w:bookmarkEnd w:id="37"/>
      <w:bookmarkEnd w:id="38"/>
      <w:bookmarkEnd w:id="39"/>
      <w:bookmarkEnd w:id="40"/>
    </w:tbl>
    <w:p>
      <w:pPr>
        <w:pStyle w:val="40"/>
        <w:spacing w:before="0" w:beforeAutospacing="0" w:after="0" w:afterAutospacing="0"/>
        <w:ind w:firstLine="600"/>
        <w:jc w:val="center"/>
        <w:outlineLvl w:val="0"/>
        <w:rPr>
          <w:rFonts w:ascii="黑体" w:hAnsi="黑体" w:eastAsia="黑体"/>
          <w:snapToGrid w:val="0"/>
          <w:sz w:val="30"/>
          <w:szCs w:val="30"/>
        </w:rPr>
        <w:sectPr>
          <w:pgSz w:w="11905" w:h="16838"/>
          <w:pgMar w:top="1440" w:right="1803" w:bottom="1440" w:left="1803" w:header="851" w:footer="992" w:gutter="0"/>
          <w:cols w:space="720" w:num="1"/>
          <w:docGrid w:type="lines" w:linePitch="312" w:charSpace="0"/>
        </w:sectPr>
      </w:pPr>
      <w:bookmarkStart w:id="47" w:name="_Toc68011914"/>
      <w:bookmarkStart w:id="48" w:name="_Toc25796"/>
      <w:bookmarkStart w:id="49" w:name="_Toc29015"/>
      <w:bookmarkStart w:id="50" w:name="_Toc17200"/>
      <w:bookmarkStart w:id="51" w:name="_Toc20819"/>
      <w:bookmarkStart w:id="52" w:name="_Toc9094"/>
      <w:bookmarkStart w:id="53" w:name="_Toc26992"/>
    </w:p>
    <w:p>
      <w:pPr>
        <w:pStyle w:val="2"/>
        <w:ind w:firstLine="602"/>
        <w:jc w:val="center"/>
      </w:pPr>
      <w:bookmarkStart w:id="54" w:name="_Toc159582694"/>
      <w:bookmarkStart w:id="55" w:name="_Toc7947"/>
      <w:r>
        <w:rPr>
          <w:rFonts w:hint="eastAsia"/>
        </w:rPr>
        <w:t>五、环境保护措施监督检查清单</w:t>
      </w:r>
      <w:bookmarkEnd w:id="47"/>
      <w:bookmarkEnd w:id="54"/>
      <w:bookmarkEnd w:id="55"/>
    </w:p>
    <w:tbl>
      <w:tblPr>
        <w:tblStyle w:val="42"/>
        <w:tblW w:w="89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80"/>
        <w:gridCol w:w="1572"/>
        <w:gridCol w:w="1323"/>
        <w:gridCol w:w="2252"/>
        <w:gridCol w:w="22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0" w:type="dxa"/>
            <w:tcBorders>
              <w:tl2br w:val="single" w:color="auto" w:sz="4" w:space="0"/>
            </w:tcBorders>
          </w:tcPr>
          <w:p>
            <w:pPr>
              <w:spacing w:line="240" w:lineRule="auto"/>
              <w:jc w:val="right"/>
              <w:rPr>
                <w:b/>
                <w:bCs/>
                <w:sz w:val="21"/>
              </w:rPr>
            </w:pPr>
            <w:r>
              <w:rPr>
                <w:rFonts w:hint="eastAsia"/>
                <w:b/>
                <w:bCs/>
                <w:sz w:val="21"/>
              </w:rPr>
              <w:t>内容</w:t>
            </w:r>
          </w:p>
          <w:p>
            <w:pPr>
              <w:spacing w:line="240" w:lineRule="auto"/>
              <w:jc w:val="left"/>
              <w:rPr>
                <w:b/>
                <w:bCs/>
                <w:sz w:val="21"/>
              </w:rPr>
            </w:pPr>
            <w:r>
              <w:rPr>
                <w:rFonts w:hint="eastAsia"/>
                <w:b/>
                <w:bCs/>
                <w:sz w:val="21"/>
              </w:rPr>
              <w:t>要素</w:t>
            </w:r>
          </w:p>
        </w:tc>
        <w:tc>
          <w:tcPr>
            <w:tcW w:w="1572" w:type="dxa"/>
            <w:vAlign w:val="center"/>
          </w:tcPr>
          <w:p>
            <w:pPr>
              <w:spacing w:line="240" w:lineRule="auto"/>
              <w:jc w:val="center"/>
              <w:rPr>
                <w:b/>
                <w:bCs/>
                <w:sz w:val="21"/>
              </w:rPr>
            </w:pPr>
            <w:r>
              <w:rPr>
                <w:rFonts w:hint="eastAsia"/>
                <w:b/>
                <w:bCs/>
                <w:sz w:val="21"/>
              </w:rPr>
              <w:t>排放口（编号、</w:t>
            </w:r>
          </w:p>
          <w:p>
            <w:pPr>
              <w:spacing w:line="240" w:lineRule="auto"/>
              <w:jc w:val="center"/>
              <w:rPr>
                <w:b/>
                <w:bCs/>
                <w:sz w:val="21"/>
              </w:rPr>
            </w:pPr>
            <w:r>
              <w:rPr>
                <w:rFonts w:hint="eastAsia"/>
                <w:b/>
                <w:bCs/>
                <w:sz w:val="21"/>
              </w:rPr>
              <w:t>名称）</w:t>
            </w:r>
            <w:r>
              <w:rPr>
                <w:b/>
                <w:bCs/>
                <w:sz w:val="21"/>
              </w:rPr>
              <w:t>/</w:t>
            </w:r>
            <w:r>
              <w:rPr>
                <w:rFonts w:hint="eastAsia"/>
                <w:b/>
                <w:bCs/>
                <w:sz w:val="21"/>
              </w:rPr>
              <w:t>污染源</w:t>
            </w:r>
          </w:p>
        </w:tc>
        <w:tc>
          <w:tcPr>
            <w:tcW w:w="1323" w:type="dxa"/>
            <w:vAlign w:val="center"/>
          </w:tcPr>
          <w:p>
            <w:pPr>
              <w:spacing w:line="240" w:lineRule="auto"/>
              <w:jc w:val="center"/>
              <w:rPr>
                <w:b/>
                <w:bCs/>
                <w:sz w:val="21"/>
              </w:rPr>
            </w:pPr>
            <w:r>
              <w:rPr>
                <w:rFonts w:hint="eastAsia"/>
                <w:b/>
                <w:bCs/>
                <w:sz w:val="21"/>
              </w:rPr>
              <w:t>污染物项目</w:t>
            </w:r>
          </w:p>
        </w:tc>
        <w:tc>
          <w:tcPr>
            <w:tcW w:w="2252" w:type="dxa"/>
            <w:vAlign w:val="center"/>
          </w:tcPr>
          <w:p>
            <w:pPr>
              <w:spacing w:line="240" w:lineRule="auto"/>
              <w:jc w:val="center"/>
              <w:rPr>
                <w:b/>
                <w:bCs/>
                <w:sz w:val="21"/>
              </w:rPr>
            </w:pPr>
            <w:r>
              <w:rPr>
                <w:rFonts w:hint="eastAsia"/>
                <w:b/>
                <w:bCs/>
                <w:sz w:val="21"/>
              </w:rPr>
              <w:t>环境保护</w:t>
            </w:r>
          </w:p>
          <w:p>
            <w:pPr>
              <w:spacing w:line="240" w:lineRule="auto"/>
              <w:jc w:val="center"/>
              <w:rPr>
                <w:b/>
                <w:bCs/>
                <w:sz w:val="21"/>
              </w:rPr>
            </w:pPr>
            <w:r>
              <w:rPr>
                <w:rFonts w:hint="eastAsia"/>
                <w:b/>
                <w:bCs/>
                <w:sz w:val="21"/>
              </w:rPr>
              <w:t>措施</w:t>
            </w:r>
          </w:p>
        </w:tc>
        <w:tc>
          <w:tcPr>
            <w:tcW w:w="2287" w:type="dxa"/>
            <w:vAlign w:val="center"/>
          </w:tcPr>
          <w:p>
            <w:pPr>
              <w:spacing w:line="240" w:lineRule="auto"/>
              <w:jc w:val="center"/>
              <w:rPr>
                <w:b/>
                <w:bCs/>
                <w:sz w:val="21"/>
              </w:rPr>
            </w:pPr>
            <w:r>
              <w:rPr>
                <w:rFonts w:hint="eastAsia"/>
                <w:b/>
                <w:bCs/>
                <w:sz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480" w:type="dxa"/>
            <w:vAlign w:val="center"/>
          </w:tcPr>
          <w:p>
            <w:pPr>
              <w:spacing w:line="240" w:lineRule="auto"/>
              <w:jc w:val="center"/>
              <w:rPr>
                <w:sz w:val="21"/>
              </w:rPr>
            </w:pPr>
            <w:r>
              <w:rPr>
                <w:rFonts w:hint="eastAsia"/>
                <w:sz w:val="21"/>
              </w:rPr>
              <w:t>大气环境</w:t>
            </w:r>
          </w:p>
        </w:tc>
        <w:tc>
          <w:tcPr>
            <w:tcW w:w="1572" w:type="dxa"/>
            <w:vAlign w:val="center"/>
          </w:tcPr>
          <w:p>
            <w:pPr>
              <w:spacing w:line="240" w:lineRule="auto"/>
              <w:jc w:val="center"/>
              <w:rPr>
                <w:sz w:val="21"/>
              </w:rPr>
            </w:pPr>
            <w:r>
              <w:rPr>
                <w:rFonts w:hint="eastAsia"/>
                <w:sz w:val="21"/>
              </w:rPr>
              <w:t>/</w:t>
            </w:r>
          </w:p>
        </w:tc>
        <w:tc>
          <w:tcPr>
            <w:tcW w:w="1323" w:type="dxa"/>
            <w:tcBorders>
              <w:bottom w:val="single" w:color="auto" w:sz="4" w:space="0"/>
            </w:tcBorders>
            <w:vAlign w:val="center"/>
          </w:tcPr>
          <w:p>
            <w:pPr>
              <w:spacing w:line="240" w:lineRule="auto"/>
              <w:jc w:val="center"/>
              <w:rPr>
                <w:sz w:val="21"/>
              </w:rPr>
            </w:pPr>
            <w:r>
              <w:rPr>
                <w:rFonts w:hint="eastAsia"/>
                <w:sz w:val="21"/>
              </w:rPr>
              <w:t>恶臭</w:t>
            </w:r>
          </w:p>
        </w:tc>
        <w:tc>
          <w:tcPr>
            <w:tcW w:w="2252" w:type="dxa"/>
            <w:tcBorders>
              <w:top w:val="single" w:color="000000" w:sz="4" w:space="0"/>
            </w:tcBorders>
            <w:vAlign w:val="center"/>
          </w:tcPr>
          <w:p>
            <w:pPr>
              <w:spacing w:line="240" w:lineRule="auto"/>
              <w:jc w:val="center"/>
              <w:rPr>
                <w:sz w:val="21"/>
              </w:rPr>
            </w:pPr>
            <w:r>
              <w:rPr>
                <w:rFonts w:hint="eastAsia"/>
                <w:sz w:val="21"/>
              </w:rPr>
              <w:t>在进行养殖时通过池内水体保持流动状态，发现死蛙立即清捞；进行清掏时，加快清掏速度，且清掏后的</w:t>
            </w:r>
            <w:r>
              <w:rPr>
                <w:rFonts w:hint="eastAsia"/>
                <w:sz w:val="21"/>
                <w:lang w:val="en-US" w:eastAsia="zh-CN"/>
              </w:rPr>
              <w:t>污水处理污泥</w:t>
            </w:r>
            <w:r>
              <w:rPr>
                <w:rFonts w:hint="eastAsia"/>
                <w:sz w:val="21"/>
              </w:rPr>
              <w:t>不在厂内暂存，及时清运至附近林地</w:t>
            </w:r>
          </w:p>
        </w:tc>
        <w:tc>
          <w:tcPr>
            <w:tcW w:w="2287" w:type="dxa"/>
            <w:tcBorders>
              <w:top w:val="single" w:color="000000" w:sz="4" w:space="0"/>
              <w:bottom w:val="single" w:color="auto" w:sz="4" w:space="0"/>
            </w:tcBorders>
            <w:vAlign w:val="center"/>
          </w:tcPr>
          <w:p>
            <w:pPr>
              <w:spacing w:line="240" w:lineRule="auto"/>
              <w:jc w:val="center"/>
              <w:rPr>
                <w:rFonts w:hint="default" w:eastAsia="宋体"/>
                <w:sz w:val="21"/>
                <w:lang w:val="en-US" w:eastAsia="zh-CN"/>
              </w:rPr>
            </w:pPr>
            <w:r>
              <w:rPr>
                <w:rFonts w:hint="eastAsia"/>
                <w:spacing w:val="-2"/>
                <w:sz w:val="21"/>
                <w:szCs w:val="21"/>
              </w:rPr>
              <w:t>《恶臭污染物排放标准》（GB14554-93）</w:t>
            </w:r>
            <w:r>
              <w:rPr>
                <w:rFonts w:hint="eastAsia"/>
                <w:spacing w:val="-2"/>
                <w:sz w:val="21"/>
                <w:szCs w:val="21"/>
                <w:lang w:val="en-US" w:eastAsia="zh-CN"/>
              </w:rPr>
              <w:t>无组织排放控制标准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480" w:type="dxa"/>
            <w:vAlign w:val="center"/>
          </w:tcPr>
          <w:p>
            <w:pPr>
              <w:spacing w:line="240" w:lineRule="auto"/>
              <w:jc w:val="center"/>
              <w:rPr>
                <w:sz w:val="21"/>
              </w:rPr>
            </w:pPr>
            <w:r>
              <w:rPr>
                <w:sz w:val="21"/>
              </w:rPr>
              <w:t>水环境</w:t>
            </w:r>
          </w:p>
        </w:tc>
        <w:tc>
          <w:tcPr>
            <w:tcW w:w="1572" w:type="dxa"/>
            <w:vAlign w:val="center"/>
          </w:tcPr>
          <w:p>
            <w:pPr>
              <w:spacing w:line="240" w:lineRule="auto"/>
              <w:jc w:val="center"/>
              <w:rPr>
                <w:sz w:val="21"/>
              </w:rPr>
            </w:pPr>
            <w:r>
              <w:rPr>
                <w:rFonts w:hint="eastAsia"/>
                <w:sz w:val="21"/>
              </w:rPr>
              <w:t>/</w:t>
            </w:r>
          </w:p>
        </w:tc>
        <w:tc>
          <w:tcPr>
            <w:tcW w:w="1323" w:type="dxa"/>
            <w:tcBorders>
              <w:bottom w:val="single" w:color="auto" w:sz="4" w:space="0"/>
            </w:tcBorders>
            <w:vAlign w:val="center"/>
          </w:tcPr>
          <w:p>
            <w:pPr>
              <w:widowControl/>
              <w:adjustRightInd w:val="0"/>
              <w:snapToGrid w:val="0"/>
              <w:spacing w:line="240" w:lineRule="auto"/>
              <w:jc w:val="center"/>
              <w:rPr>
                <w:sz w:val="21"/>
              </w:rPr>
            </w:pPr>
            <w:r>
              <w:rPr>
                <w:rFonts w:hint="eastAsia"/>
                <w:sz w:val="21"/>
              </w:rPr>
              <w:t>养殖废水</w:t>
            </w:r>
          </w:p>
        </w:tc>
        <w:tc>
          <w:tcPr>
            <w:tcW w:w="2252" w:type="dxa"/>
            <w:tcBorders>
              <w:top w:val="single" w:color="000000" w:sz="4" w:space="0"/>
              <w:bottom w:val="single" w:color="auto" w:sz="4" w:space="0"/>
            </w:tcBorders>
            <w:vAlign w:val="center"/>
          </w:tcPr>
          <w:p>
            <w:pPr>
              <w:spacing w:line="240" w:lineRule="auto"/>
              <w:jc w:val="center"/>
              <w:rPr>
                <w:rFonts w:hint="eastAsia" w:eastAsia="宋体"/>
                <w:sz w:val="21"/>
                <w:lang w:val="en-US" w:eastAsia="zh-CN"/>
              </w:rPr>
            </w:pPr>
            <w:r>
              <w:rPr>
                <w:rFonts w:hint="eastAsia"/>
                <w:color w:val="000000"/>
                <w:spacing w:val="-3"/>
                <w:sz w:val="21"/>
                <w:szCs w:val="21"/>
              </w:rPr>
              <w:t>三</w:t>
            </w:r>
            <w:r>
              <w:rPr>
                <w:color w:val="000000"/>
                <w:spacing w:val="-3"/>
                <w:sz w:val="21"/>
                <w:szCs w:val="21"/>
              </w:rPr>
              <w:t>级</w:t>
            </w:r>
            <w:r>
              <w:rPr>
                <w:rFonts w:hint="eastAsia"/>
                <w:color w:val="000000"/>
                <w:spacing w:val="-3"/>
                <w:sz w:val="21"/>
                <w:szCs w:val="21"/>
              </w:rPr>
              <w:t>过滤沉淀</w:t>
            </w:r>
            <w:r>
              <w:rPr>
                <w:color w:val="000000"/>
                <w:spacing w:val="-3"/>
                <w:sz w:val="21"/>
                <w:szCs w:val="21"/>
              </w:rPr>
              <w:t>池</w:t>
            </w:r>
            <w:r>
              <w:rPr>
                <w:rFonts w:hint="eastAsia"/>
                <w:color w:val="000000"/>
                <w:spacing w:val="-3"/>
                <w:sz w:val="21"/>
                <w:szCs w:val="21"/>
              </w:rPr>
              <w:t>+污水处理一体化设备</w:t>
            </w:r>
            <w:r>
              <w:rPr>
                <w:rFonts w:hint="eastAsia"/>
                <w:color w:val="000000"/>
                <w:spacing w:val="-3"/>
                <w:sz w:val="21"/>
                <w:szCs w:val="21"/>
                <w:lang w:val="en-US" w:eastAsia="zh-CN"/>
              </w:rPr>
              <w:t>+</w:t>
            </w:r>
            <w:r>
              <w:rPr>
                <w:rFonts w:hint="eastAsia"/>
                <w:sz w:val="21"/>
              </w:rPr>
              <w:t>果园灌溉</w:t>
            </w:r>
          </w:p>
        </w:tc>
        <w:tc>
          <w:tcPr>
            <w:tcW w:w="2287" w:type="dxa"/>
            <w:tcBorders>
              <w:top w:val="single" w:color="000000" w:sz="4" w:space="0"/>
            </w:tcBorders>
            <w:vAlign w:val="center"/>
          </w:tcPr>
          <w:p>
            <w:pPr>
              <w:spacing w:line="240" w:lineRule="auto"/>
              <w:jc w:val="center"/>
              <w:rPr>
                <w:sz w:val="21"/>
              </w:rPr>
            </w:pPr>
            <w:r>
              <w:rPr>
                <w:rFonts w:hint="eastAsia"/>
                <w:sz w:val="21"/>
              </w:rPr>
              <w:t>达到《湖南省水产养殖尾水综合排放标准》（DB43/1752-2020）二级标准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480" w:type="dxa"/>
            <w:vAlign w:val="center"/>
          </w:tcPr>
          <w:p>
            <w:pPr>
              <w:spacing w:line="240" w:lineRule="auto"/>
              <w:jc w:val="center"/>
              <w:rPr>
                <w:sz w:val="21"/>
              </w:rPr>
            </w:pPr>
            <w:r>
              <w:rPr>
                <w:sz w:val="21"/>
              </w:rPr>
              <w:t>声环境</w:t>
            </w:r>
          </w:p>
        </w:tc>
        <w:tc>
          <w:tcPr>
            <w:tcW w:w="1572" w:type="dxa"/>
            <w:vAlign w:val="center"/>
          </w:tcPr>
          <w:p>
            <w:pPr>
              <w:spacing w:line="240" w:lineRule="auto"/>
              <w:jc w:val="center"/>
              <w:rPr>
                <w:sz w:val="21"/>
              </w:rPr>
            </w:pPr>
            <w:r>
              <w:rPr>
                <w:rFonts w:hint="eastAsia"/>
                <w:sz w:val="21"/>
              </w:rPr>
              <w:t>牛蛙叫声</w:t>
            </w:r>
            <w:r>
              <w:rPr>
                <w:sz w:val="21"/>
              </w:rPr>
              <w:t>、</w:t>
            </w:r>
            <w:r>
              <w:rPr>
                <w:rFonts w:hint="eastAsia"/>
                <w:sz w:val="21"/>
              </w:rPr>
              <w:t>水泵</w:t>
            </w:r>
          </w:p>
        </w:tc>
        <w:tc>
          <w:tcPr>
            <w:tcW w:w="1323" w:type="dxa"/>
            <w:tcBorders>
              <w:bottom w:val="single" w:color="auto" w:sz="4" w:space="0"/>
            </w:tcBorders>
            <w:vAlign w:val="center"/>
          </w:tcPr>
          <w:p>
            <w:pPr>
              <w:spacing w:line="240" w:lineRule="auto"/>
              <w:jc w:val="center"/>
              <w:rPr>
                <w:sz w:val="21"/>
              </w:rPr>
            </w:pPr>
            <w:r>
              <w:rPr>
                <w:sz w:val="21"/>
              </w:rPr>
              <w:t>等效连续A声级</w:t>
            </w:r>
          </w:p>
        </w:tc>
        <w:tc>
          <w:tcPr>
            <w:tcW w:w="2252" w:type="dxa"/>
            <w:tcBorders>
              <w:top w:val="single" w:color="000000" w:sz="4" w:space="0"/>
              <w:bottom w:val="single" w:color="auto" w:sz="4" w:space="0"/>
            </w:tcBorders>
            <w:vAlign w:val="center"/>
          </w:tcPr>
          <w:p>
            <w:pPr>
              <w:spacing w:line="240" w:lineRule="auto"/>
              <w:jc w:val="center"/>
              <w:rPr>
                <w:sz w:val="21"/>
              </w:rPr>
            </w:pPr>
            <w:r>
              <w:rPr>
                <w:color w:val="000000"/>
                <w:spacing w:val="-3"/>
                <w:sz w:val="21"/>
                <w:szCs w:val="21"/>
              </w:rPr>
              <w:t>减振</w:t>
            </w:r>
          </w:p>
        </w:tc>
        <w:tc>
          <w:tcPr>
            <w:tcW w:w="2287" w:type="dxa"/>
            <w:tcBorders>
              <w:top w:val="single" w:color="000000" w:sz="4" w:space="0"/>
              <w:bottom w:val="single" w:color="auto" w:sz="4" w:space="0"/>
            </w:tcBorders>
            <w:vAlign w:val="center"/>
          </w:tcPr>
          <w:p>
            <w:pPr>
              <w:spacing w:line="240" w:lineRule="auto"/>
              <w:rPr>
                <w:sz w:val="21"/>
              </w:rPr>
            </w:pPr>
            <w:r>
              <w:rPr>
                <w:sz w:val="21"/>
              </w:rPr>
              <w:t>《工业企业厂界环境噪声排放标准》</w:t>
            </w:r>
            <w:r>
              <w:rPr>
                <w:rFonts w:hint="eastAsia"/>
                <w:sz w:val="21"/>
                <w:lang w:val="en-US" w:eastAsia="zh-CN"/>
              </w:rPr>
              <w:t>2</w:t>
            </w:r>
            <w:r>
              <w:rPr>
                <w:sz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480" w:type="dxa"/>
            <w:vMerge w:val="restart"/>
            <w:vAlign w:val="center"/>
          </w:tcPr>
          <w:p>
            <w:pPr>
              <w:widowControl/>
              <w:adjustRightInd w:val="0"/>
              <w:snapToGrid w:val="0"/>
              <w:spacing w:line="240" w:lineRule="auto"/>
              <w:jc w:val="center"/>
              <w:rPr>
                <w:sz w:val="21"/>
              </w:rPr>
            </w:pPr>
            <w:r>
              <w:rPr>
                <w:rFonts w:hint="eastAsia"/>
                <w:sz w:val="21"/>
              </w:rPr>
              <w:t>固体废物</w:t>
            </w:r>
          </w:p>
        </w:tc>
        <w:tc>
          <w:tcPr>
            <w:tcW w:w="1572" w:type="dxa"/>
            <w:vAlign w:val="center"/>
          </w:tcPr>
          <w:p>
            <w:pPr>
              <w:widowControl/>
              <w:spacing w:line="240" w:lineRule="auto"/>
              <w:jc w:val="left"/>
              <w:rPr>
                <w:color w:val="000000"/>
                <w:sz w:val="21"/>
                <w:szCs w:val="21"/>
              </w:rPr>
            </w:pPr>
            <w:r>
              <w:rPr>
                <w:color w:val="000000"/>
                <w:spacing w:val="-5"/>
                <w:sz w:val="21"/>
                <w:szCs w:val="21"/>
              </w:rPr>
              <w:t>废弃编织</w:t>
            </w:r>
            <w:r>
              <w:rPr>
                <w:color w:val="000000"/>
                <w:sz w:val="21"/>
                <w:szCs w:val="21"/>
              </w:rPr>
              <w:t>袋</w:t>
            </w:r>
          </w:p>
        </w:tc>
        <w:tc>
          <w:tcPr>
            <w:tcW w:w="3575" w:type="dxa"/>
            <w:gridSpan w:val="2"/>
            <w:vAlign w:val="center"/>
          </w:tcPr>
          <w:p>
            <w:pPr>
              <w:pStyle w:val="266"/>
              <w:spacing w:line="240" w:lineRule="auto"/>
              <w:jc w:val="center"/>
              <w:rPr>
                <w:color w:val="000000"/>
                <w:sz w:val="21"/>
                <w:szCs w:val="21"/>
              </w:rPr>
            </w:pPr>
            <w:r>
              <w:rPr>
                <w:rFonts w:ascii="Times New Roman" w:hAnsi="Times New Roman" w:cs="Times New Roman"/>
                <w:color w:val="000000"/>
                <w:spacing w:val="-3"/>
                <w:sz w:val="21"/>
                <w:szCs w:val="21"/>
              </w:rPr>
              <w:t>外售至废品收购站</w:t>
            </w:r>
          </w:p>
        </w:tc>
        <w:tc>
          <w:tcPr>
            <w:tcW w:w="2287" w:type="dxa"/>
            <w:vMerge w:val="restart"/>
            <w:vAlign w:val="center"/>
          </w:tcPr>
          <w:p>
            <w:pPr>
              <w:widowControl/>
              <w:spacing w:line="240" w:lineRule="auto"/>
              <w:jc w:val="center"/>
              <w:rPr>
                <w:color w:val="000000"/>
                <w:sz w:val="21"/>
                <w:szCs w:val="21"/>
              </w:rPr>
            </w:pPr>
            <w:r>
              <w:rPr>
                <w:rFonts w:hint="eastAsia"/>
                <w:color w:val="00000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480" w:type="dxa"/>
            <w:vMerge w:val="continue"/>
            <w:vAlign w:val="center"/>
          </w:tcPr>
          <w:p>
            <w:pPr>
              <w:widowControl/>
              <w:spacing w:line="240" w:lineRule="auto"/>
              <w:jc w:val="left"/>
            </w:pPr>
          </w:p>
        </w:tc>
        <w:tc>
          <w:tcPr>
            <w:tcW w:w="1572" w:type="dxa"/>
            <w:vAlign w:val="center"/>
          </w:tcPr>
          <w:p>
            <w:pPr>
              <w:widowControl/>
              <w:spacing w:line="240" w:lineRule="auto"/>
              <w:jc w:val="left"/>
            </w:pPr>
            <w:r>
              <w:rPr>
                <w:rFonts w:hint="eastAsia" w:ascii="Times New Roman" w:hAnsi="Times New Roman" w:eastAsia="宋体" w:cs="Times New Roman"/>
                <w:color w:val="000000"/>
                <w:spacing w:val="-6"/>
                <w:sz w:val="21"/>
                <w:szCs w:val="21"/>
                <w:lang w:val="en-US" w:eastAsia="zh-CN"/>
              </w:rPr>
              <w:t>非病疫</w:t>
            </w:r>
            <w:r>
              <w:rPr>
                <w:rFonts w:hint="default" w:ascii="Times New Roman" w:hAnsi="Times New Roman" w:eastAsia="宋体" w:cs="Times New Roman"/>
                <w:color w:val="000000"/>
                <w:spacing w:val="-6"/>
                <w:sz w:val="21"/>
                <w:szCs w:val="21"/>
              </w:rPr>
              <w:t>死蛙</w:t>
            </w:r>
          </w:p>
        </w:tc>
        <w:tc>
          <w:tcPr>
            <w:tcW w:w="3575" w:type="dxa"/>
            <w:gridSpan w:val="2"/>
            <w:vAlign w:val="center"/>
          </w:tcPr>
          <w:p>
            <w:pPr>
              <w:pStyle w:val="266"/>
              <w:spacing w:line="240" w:lineRule="auto"/>
              <w:jc w:val="both"/>
              <w:rPr>
                <w:lang w:eastAsia="zh-CN"/>
              </w:rPr>
            </w:pPr>
            <w:r>
              <w:rPr>
                <w:rFonts w:hint="eastAsia" w:ascii="Times New Roman" w:hAnsi="Times New Roman" w:cs="Times New Roman"/>
                <w:color w:val="000000"/>
                <w:sz w:val="21"/>
                <w:szCs w:val="21"/>
                <w:lang w:eastAsia="zh-CN"/>
              </w:rPr>
              <w:t>日常用作周边鱼塘饲料；如出现病死蛙过多时，送至项目化尸桶内处置，并在表面覆盖2-5cm生石灰</w:t>
            </w:r>
          </w:p>
        </w:tc>
        <w:tc>
          <w:tcPr>
            <w:tcW w:w="2287" w:type="dxa"/>
            <w:vMerge w:val="continue"/>
            <w:vAlign w:val="center"/>
          </w:tcPr>
          <w:p>
            <w:pPr>
              <w:widowControl/>
              <w:spacing w:line="240" w:lineRule="auto"/>
              <w:jc w:val="left"/>
              <w:rPr>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1480" w:type="dxa"/>
            <w:vMerge w:val="continue"/>
            <w:vAlign w:val="center"/>
          </w:tcPr>
          <w:p>
            <w:pPr>
              <w:widowControl/>
              <w:spacing w:line="240" w:lineRule="auto"/>
              <w:jc w:val="left"/>
              <w:rPr>
                <w:color w:val="000000"/>
                <w:sz w:val="21"/>
                <w:szCs w:val="21"/>
              </w:rPr>
            </w:pPr>
          </w:p>
        </w:tc>
        <w:tc>
          <w:tcPr>
            <w:tcW w:w="1572" w:type="dxa"/>
            <w:vAlign w:val="center"/>
          </w:tcPr>
          <w:p>
            <w:pPr>
              <w:widowControl/>
              <w:spacing w:line="240" w:lineRule="auto"/>
              <w:jc w:val="left"/>
              <w:rPr>
                <w:color w:val="000000"/>
                <w:sz w:val="21"/>
                <w:szCs w:val="21"/>
              </w:rPr>
            </w:pPr>
            <w:r>
              <w:rPr>
                <w:rFonts w:hint="eastAsia"/>
                <w:color w:val="000000"/>
                <w:spacing w:val="-10"/>
                <w:sz w:val="21"/>
                <w:szCs w:val="21"/>
                <w:lang w:val="en-US" w:eastAsia="zh-CN"/>
              </w:rPr>
              <w:t>污水处理污</w:t>
            </w:r>
            <w:r>
              <w:rPr>
                <w:color w:val="000000"/>
                <w:spacing w:val="-10"/>
                <w:sz w:val="21"/>
                <w:szCs w:val="21"/>
              </w:rPr>
              <w:t>泥</w:t>
            </w:r>
          </w:p>
        </w:tc>
        <w:tc>
          <w:tcPr>
            <w:tcW w:w="3575" w:type="dxa"/>
            <w:gridSpan w:val="2"/>
            <w:vAlign w:val="center"/>
          </w:tcPr>
          <w:p>
            <w:pPr>
              <w:pStyle w:val="266"/>
              <w:spacing w:line="240" w:lineRule="auto"/>
              <w:jc w:val="center"/>
              <w:rPr>
                <w:color w:val="000000"/>
                <w:sz w:val="21"/>
                <w:szCs w:val="21"/>
                <w:lang w:eastAsia="zh-CN"/>
              </w:rPr>
            </w:pPr>
            <w:r>
              <w:rPr>
                <w:rFonts w:ascii="Times New Roman" w:hAnsi="Times New Roman" w:cs="Times New Roman"/>
                <w:color w:val="000000"/>
                <w:spacing w:val="-8"/>
                <w:sz w:val="21"/>
                <w:szCs w:val="21"/>
                <w:lang w:eastAsia="zh-CN"/>
              </w:rPr>
              <w:t>不在场区暂存，</w:t>
            </w:r>
            <w:r>
              <w:rPr>
                <w:rFonts w:hint="eastAsia" w:ascii="Times New Roman" w:hAnsi="Times New Roman" w:cs="Times New Roman"/>
                <w:color w:val="000000"/>
                <w:spacing w:val="-8"/>
                <w:sz w:val="21"/>
                <w:szCs w:val="21"/>
                <w:lang w:eastAsia="zh-CN"/>
              </w:rPr>
              <w:t>1次/年，</w:t>
            </w:r>
            <w:r>
              <w:rPr>
                <w:rFonts w:ascii="Times New Roman" w:hAnsi="Times New Roman" w:cs="Times New Roman"/>
                <w:color w:val="000000"/>
                <w:spacing w:val="-8"/>
                <w:sz w:val="21"/>
                <w:szCs w:val="21"/>
                <w:lang w:eastAsia="zh-CN"/>
              </w:rPr>
              <w:t>及时外</w:t>
            </w:r>
            <w:r>
              <w:rPr>
                <w:rFonts w:ascii="Times New Roman" w:hAnsi="Times New Roman" w:cs="Times New Roman"/>
                <w:color w:val="000000"/>
                <w:spacing w:val="-4"/>
                <w:sz w:val="21"/>
                <w:szCs w:val="21"/>
                <w:lang w:eastAsia="zh-CN"/>
              </w:rPr>
              <w:t>运作农用肥</w:t>
            </w:r>
          </w:p>
        </w:tc>
        <w:tc>
          <w:tcPr>
            <w:tcW w:w="2287" w:type="dxa"/>
            <w:vMerge w:val="continue"/>
            <w:vAlign w:val="center"/>
          </w:tcPr>
          <w:p>
            <w:pPr>
              <w:widowControl/>
              <w:spacing w:line="240" w:lineRule="auto"/>
              <w:jc w:val="left"/>
              <w:rPr>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1480" w:type="dxa"/>
            <w:vAlign w:val="center"/>
          </w:tcPr>
          <w:p>
            <w:pPr>
              <w:spacing w:line="240" w:lineRule="auto"/>
              <w:rPr>
                <w:sz w:val="21"/>
              </w:rPr>
            </w:pPr>
            <w:r>
              <w:rPr>
                <w:rFonts w:hint="eastAsia"/>
                <w:sz w:val="21"/>
              </w:rPr>
              <w:t>土壤及地下水</w:t>
            </w:r>
          </w:p>
          <w:p>
            <w:pPr>
              <w:spacing w:line="240" w:lineRule="auto"/>
              <w:rPr>
                <w:sz w:val="21"/>
              </w:rPr>
            </w:pPr>
            <w:r>
              <w:rPr>
                <w:rFonts w:hint="eastAsia"/>
                <w:sz w:val="21"/>
              </w:rPr>
              <w:t>污染防治措施</w:t>
            </w:r>
          </w:p>
        </w:tc>
        <w:tc>
          <w:tcPr>
            <w:tcW w:w="7434" w:type="dxa"/>
            <w:gridSpan w:val="4"/>
            <w:vAlign w:val="center"/>
          </w:tcPr>
          <w:p>
            <w:pPr>
              <w:spacing w:line="240" w:lineRule="auto"/>
              <w:jc w:val="center"/>
              <w:rPr>
                <w:sz w:val="21"/>
              </w:rPr>
            </w:pPr>
            <w:r>
              <w:rPr>
                <w:rFonts w:hint="eastAsia"/>
                <w:sz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5" w:hRule="exact"/>
          <w:jc w:val="center"/>
        </w:trPr>
        <w:tc>
          <w:tcPr>
            <w:tcW w:w="1480" w:type="dxa"/>
            <w:vAlign w:val="center"/>
          </w:tcPr>
          <w:p>
            <w:pPr>
              <w:spacing w:line="240" w:lineRule="auto"/>
              <w:rPr>
                <w:sz w:val="21"/>
              </w:rPr>
            </w:pPr>
            <w:r>
              <w:rPr>
                <w:rFonts w:hint="eastAsia"/>
                <w:sz w:val="21"/>
              </w:rPr>
              <w:t>生态保护措施</w:t>
            </w:r>
          </w:p>
        </w:tc>
        <w:tc>
          <w:tcPr>
            <w:tcW w:w="7434" w:type="dxa"/>
            <w:gridSpan w:val="4"/>
            <w:vAlign w:val="center"/>
          </w:tcPr>
          <w:p>
            <w:pPr>
              <w:spacing w:line="240" w:lineRule="auto"/>
              <w:jc w:val="center"/>
              <w:rPr>
                <w:sz w:val="21"/>
              </w:rPr>
            </w:pPr>
            <w:r>
              <w:rPr>
                <w:rFonts w:hint="eastAsia"/>
                <w:sz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480" w:type="dxa"/>
            <w:vAlign w:val="center"/>
          </w:tcPr>
          <w:p>
            <w:pPr>
              <w:spacing w:line="240" w:lineRule="auto"/>
              <w:rPr>
                <w:sz w:val="21"/>
              </w:rPr>
            </w:pPr>
            <w:r>
              <w:rPr>
                <w:rFonts w:hint="eastAsia"/>
                <w:sz w:val="21"/>
              </w:rPr>
              <w:t>环境风险</w:t>
            </w:r>
          </w:p>
          <w:p>
            <w:pPr>
              <w:spacing w:line="240" w:lineRule="auto"/>
              <w:rPr>
                <w:sz w:val="21"/>
              </w:rPr>
            </w:pPr>
            <w:r>
              <w:rPr>
                <w:rFonts w:hint="eastAsia"/>
                <w:sz w:val="21"/>
              </w:rPr>
              <w:t>防范措施</w:t>
            </w:r>
          </w:p>
        </w:tc>
        <w:tc>
          <w:tcPr>
            <w:tcW w:w="7434" w:type="dxa"/>
            <w:gridSpan w:val="4"/>
            <w:vAlign w:val="center"/>
          </w:tcPr>
          <w:p>
            <w:pPr>
              <w:pStyle w:val="6"/>
              <w:spacing w:before="0" w:beforeAutospacing="0" w:after="0" w:afterAutospacing="0" w:line="240" w:lineRule="auto"/>
              <w:ind w:right="0"/>
              <w:rPr>
                <w:rFonts w:hint="eastAsia"/>
                <w:sz w:val="21"/>
                <w:szCs w:val="21"/>
              </w:rPr>
            </w:pPr>
            <w:r>
              <w:rPr>
                <w:rFonts w:hint="eastAsia"/>
                <w:sz w:val="21"/>
                <w:szCs w:val="21"/>
              </w:rPr>
              <w:t>（1）动物疾病疫情防范措施</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①病死蛙尸体要严格按照防疫条例进行处置；</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②引进的水要求清洁无污染，定期对蛙池、净化池采取消毒措施，尽快对项目废水进行处理；</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③定期进行从业人员的体检。从业人员上岗必须穿戴规定的服饰并做到定期清洗和消毒。加强从业人员的职业卫生教育，严格操作的规章制度，从而减少人为的影响产品卫生的因素；</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④使用正规饲料加工厂的产品，严防不合格或者受污染的产品在项目内使用；</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⑤病死牛蛙应采用安全填埋方式处理。如果养殖场发生疫情，应立即对养殖场进行隔离，并采取消毒措施，同时对染病的牛蛙进行安全处置，并同步报告相关部门，以便采取进一步的措施，防治疫情的扩散。</w:t>
            </w:r>
          </w:p>
          <w:p>
            <w:pPr>
              <w:pStyle w:val="6"/>
              <w:spacing w:before="0" w:beforeAutospacing="0" w:after="0" w:afterAutospacing="0" w:line="240" w:lineRule="auto"/>
              <w:ind w:right="0" w:firstLine="0" w:firstLineChars="0"/>
              <w:rPr>
                <w:rFonts w:hint="eastAsia"/>
                <w:sz w:val="21"/>
                <w:szCs w:val="21"/>
              </w:rPr>
            </w:pPr>
            <w:r>
              <w:rPr>
                <w:rFonts w:hint="eastAsia"/>
                <w:sz w:val="21"/>
                <w:szCs w:val="21"/>
              </w:rPr>
              <w:t>（2）废水故事排放风险防范措施</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 xml:space="preserve">①加强对废水处理设施的日常维护工作，确保废水处理设备的正常运行；  </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②集水沟、沉淀池和净化池地面及内部必须作硬化和防渗处理，防止废水由地面渗入地下而污染地下水，同时避免废水在处理过程中外渗至场外水沟进而排入</w:t>
            </w:r>
            <w:r>
              <w:rPr>
                <w:rFonts w:hint="eastAsia"/>
                <w:sz w:val="21"/>
                <w:szCs w:val="21"/>
                <w:lang w:val="en-US" w:eastAsia="zh-CN"/>
              </w:rPr>
              <w:t>新田河</w:t>
            </w:r>
            <w:r>
              <w:rPr>
                <w:rFonts w:hint="eastAsia"/>
                <w:sz w:val="21"/>
                <w:szCs w:val="21"/>
              </w:rPr>
              <w:t>影响水质。</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③当</w:t>
            </w:r>
            <w:r>
              <w:rPr>
                <w:rFonts w:hint="eastAsia"/>
                <w:sz w:val="21"/>
                <w:szCs w:val="21"/>
                <w:lang w:val="en-US" w:eastAsia="zh-CN"/>
              </w:rPr>
              <w:t>处理设备</w:t>
            </w:r>
            <w:r>
              <w:rPr>
                <w:rFonts w:hint="eastAsia"/>
                <w:sz w:val="21"/>
                <w:szCs w:val="21"/>
              </w:rPr>
              <w:t>发生故障停运时，因项目</w:t>
            </w:r>
            <w:r>
              <w:rPr>
                <w:rFonts w:hint="eastAsia"/>
                <w:sz w:val="21"/>
                <w:szCs w:val="21"/>
                <w:lang w:val="en-US" w:eastAsia="zh-CN"/>
              </w:rPr>
              <w:t>过滤沉淀池</w:t>
            </w:r>
            <w:r>
              <w:rPr>
                <w:rFonts w:hint="eastAsia"/>
                <w:sz w:val="21"/>
                <w:szCs w:val="21"/>
              </w:rPr>
              <w:t>容积足够大，</w:t>
            </w:r>
            <w:r>
              <w:rPr>
                <w:rFonts w:hint="eastAsia"/>
                <w:sz w:val="21"/>
                <w:szCs w:val="21"/>
                <w:lang w:val="en-US" w:eastAsia="zh-CN"/>
              </w:rPr>
              <w:t>过滤沉淀池</w:t>
            </w:r>
            <w:r>
              <w:rPr>
                <w:rFonts w:hint="eastAsia"/>
                <w:sz w:val="21"/>
                <w:szCs w:val="21"/>
              </w:rPr>
              <w:t>可做应急使用，故将废水导入</w:t>
            </w:r>
            <w:r>
              <w:rPr>
                <w:rFonts w:hint="eastAsia"/>
                <w:sz w:val="21"/>
                <w:szCs w:val="21"/>
                <w:lang w:val="en-US" w:eastAsia="zh-CN"/>
              </w:rPr>
              <w:t>过滤沉淀池</w:t>
            </w:r>
            <w:r>
              <w:rPr>
                <w:rFonts w:hint="eastAsia"/>
                <w:sz w:val="21"/>
                <w:szCs w:val="21"/>
              </w:rPr>
              <w:t>中，并及时对发生故障的废水处理设施进行检修。待废水处理设施运行正常后，废水分批导入</w:t>
            </w:r>
            <w:r>
              <w:rPr>
                <w:rFonts w:hint="eastAsia"/>
                <w:sz w:val="21"/>
                <w:szCs w:val="21"/>
                <w:lang w:val="en-US" w:eastAsia="zh-CN"/>
              </w:rPr>
              <w:t>三级过滤沉淀池</w:t>
            </w:r>
            <w:r>
              <w:rPr>
                <w:rFonts w:hint="eastAsia"/>
                <w:sz w:val="21"/>
                <w:szCs w:val="21"/>
              </w:rPr>
              <w:t>重新从头逐级处理达标后排放。</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④发生暴雨等恶劣条件下，派专人对废水处理系统进行巡查，发生险情及时汇报，并随时做好将项目未经处理的养殖废水排入</w:t>
            </w:r>
            <w:r>
              <w:rPr>
                <w:rFonts w:hint="eastAsia"/>
                <w:sz w:val="21"/>
                <w:szCs w:val="21"/>
                <w:lang w:val="en-US" w:eastAsia="zh-CN"/>
              </w:rPr>
              <w:t>过滤沉淀池</w:t>
            </w:r>
            <w:r>
              <w:rPr>
                <w:rFonts w:hint="eastAsia"/>
                <w:sz w:val="21"/>
                <w:szCs w:val="21"/>
              </w:rPr>
              <w:t>的启动工作；</w:t>
            </w:r>
          </w:p>
          <w:p>
            <w:pPr>
              <w:pStyle w:val="6"/>
              <w:spacing w:before="0" w:beforeAutospacing="0" w:after="0" w:afterAutospacing="0" w:line="240" w:lineRule="auto"/>
              <w:ind w:right="0" w:firstLine="420" w:firstLineChars="200"/>
              <w:rPr>
                <w:rFonts w:hint="eastAsia"/>
                <w:sz w:val="21"/>
                <w:szCs w:val="21"/>
              </w:rPr>
            </w:pPr>
            <w:r>
              <w:rPr>
                <w:rFonts w:hint="eastAsia"/>
                <w:sz w:val="21"/>
                <w:szCs w:val="21"/>
              </w:rPr>
              <w:t>⑤为防止汛期雨水对水池造成水土流失，项目应设置护坡或挡土墙，以保护池体及固定排水管位置。</w:t>
            </w:r>
          </w:p>
          <w:p>
            <w:pPr>
              <w:spacing w:line="240" w:lineRule="auto"/>
              <w:jc w:val="center"/>
              <w:rPr>
                <w:sz w:val="21"/>
              </w:rPr>
            </w:pPr>
            <w:r>
              <w:rPr>
                <w:rFonts w:hint="default" w:ascii="Times New Roman" w:hAnsi="Times New Roman" w:cs="Times New Roman"/>
                <w:sz w:val="21"/>
                <w:szCs w:val="21"/>
                <w:lang w:val="en-US" w:eastAsia="zh-CN"/>
              </w:rPr>
              <w:t>⑥加强污水输送管道的日常运维管理，避免污水输送过程的跑冒滴漏</w:t>
            </w:r>
            <w:r>
              <w:rPr>
                <w:rFonts w:hint="default" w:ascii="Times New Roman" w:hAnsi="Times New Roman" w:cs="Times New Roman"/>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480" w:type="dxa"/>
            <w:vAlign w:val="center"/>
          </w:tcPr>
          <w:p>
            <w:pPr>
              <w:spacing w:line="240" w:lineRule="auto"/>
              <w:rPr>
                <w:sz w:val="21"/>
              </w:rPr>
            </w:pPr>
            <w:r>
              <w:rPr>
                <w:rFonts w:hint="eastAsia"/>
                <w:sz w:val="21"/>
              </w:rPr>
              <w:t>其他环境</w:t>
            </w:r>
          </w:p>
          <w:p>
            <w:pPr>
              <w:spacing w:line="240" w:lineRule="auto"/>
              <w:rPr>
                <w:sz w:val="21"/>
              </w:rPr>
            </w:pPr>
            <w:r>
              <w:rPr>
                <w:rFonts w:hint="eastAsia"/>
                <w:sz w:val="21"/>
              </w:rPr>
              <w:t>管理要求</w:t>
            </w:r>
          </w:p>
        </w:tc>
        <w:tc>
          <w:tcPr>
            <w:tcW w:w="7434" w:type="dxa"/>
            <w:gridSpan w:val="4"/>
            <w:vAlign w:val="center"/>
          </w:tcPr>
          <w:p>
            <w:pPr>
              <w:widowControl/>
              <w:spacing w:line="240" w:lineRule="auto"/>
              <w:rPr>
                <w:sz w:val="21"/>
                <w:szCs w:val="21"/>
              </w:rPr>
            </w:pPr>
            <w:r>
              <w:rPr>
                <w:rFonts w:hint="eastAsia"/>
                <w:sz w:val="21"/>
                <w:szCs w:val="21"/>
              </w:rPr>
              <w:t>（1）环境管理要求</w:t>
            </w:r>
          </w:p>
          <w:p>
            <w:pPr>
              <w:widowControl/>
              <w:spacing w:line="240" w:lineRule="auto"/>
              <w:ind w:firstLine="420" w:firstLineChars="200"/>
              <w:rPr>
                <w:sz w:val="21"/>
                <w:szCs w:val="21"/>
              </w:rPr>
            </w:pPr>
            <w:r>
              <w:rPr>
                <w:rFonts w:hint="eastAsia"/>
                <w:sz w:val="21"/>
                <w:szCs w:val="21"/>
              </w:rPr>
              <w:t>建设单位应按照本报告提出的污染源监控计划定期进行污染源监测。在项目经营期间，企业应委托有专业资质设计单位进行本项目的规划和设计，并履行环保、安全、消防“三同时”手续。</w:t>
            </w:r>
          </w:p>
          <w:p>
            <w:pPr>
              <w:widowControl/>
              <w:spacing w:line="240" w:lineRule="auto"/>
              <w:rPr>
                <w:sz w:val="21"/>
                <w:szCs w:val="21"/>
              </w:rPr>
            </w:pPr>
            <w:r>
              <w:rPr>
                <w:rFonts w:hint="eastAsia"/>
                <w:sz w:val="21"/>
                <w:szCs w:val="21"/>
              </w:rPr>
              <w:t>（2）排污许可证申请</w:t>
            </w:r>
          </w:p>
          <w:p>
            <w:pPr>
              <w:widowControl/>
              <w:spacing w:line="240" w:lineRule="auto"/>
              <w:ind w:firstLine="420" w:firstLineChars="200"/>
              <w:rPr>
                <w:rFonts w:hint="eastAsia"/>
                <w:sz w:val="21"/>
                <w:szCs w:val="21"/>
              </w:rPr>
            </w:pPr>
            <w:r>
              <w:rPr>
                <w:rFonts w:hint="eastAsia"/>
                <w:sz w:val="21"/>
                <w:szCs w:val="21"/>
              </w:rPr>
              <w:t>根据《排污许可证管理暂行规定》，排放工业废气或者国家规定的有毒害大污染物的企业事业单位，应当实行排污许可管理。根据《固定污染源排污许可分类管理名录》（</w:t>
            </w:r>
            <w:r>
              <w:rPr>
                <w:sz w:val="21"/>
                <w:szCs w:val="21"/>
              </w:rPr>
              <w:t>2019</w:t>
            </w:r>
            <w:r>
              <w:rPr>
                <w:rFonts w:hint="eastAsia"/>
                <w:sz w:val="21"/>
                <w:szCs w:val="21"/>
              </w:rPr>
              <w:t>年版），本项目属于“一 畜牧业03—2 其他畜牧业039—设有污水排放口的养殖场、养殖小区</w:t>
            </w:r>
            <w:r>
              <w:rPr>
                <w:sz w:val="21"/>
                <w:szCs w:val="21"/>
              </w:rPr>
              <w:t>，属于“登记管理”项目</w:t>
            </w:r>
            <w:r>
              <w:rPr>
                <w:rFonts w:hint="eastAsia"/>
                <w:sz w:val="21"/>
                <w:szCs w:val="21"/>
              </w:rPr>
              <w:t>。</w:t>
            </w:r>
          </w:p>
          <w:p>
            <w:pPr>
              <w:pStyle w:val="39"/>
              <w:numPr>
                <w:ilvl w:val="0"/>
                <w:numId w:val="0"/>
              </w:numPr>
              <w:spacing w:line="240" w:lineRule="auto"/>
              <w:rPr>
                <w:rFonts w:hint="eastAsia" w:ascii="宋体" w:hAnsi="宋体" w:cs="宋体"/>
                <w:color w:val="000000"/>
                <w:kern w:val="0"/>
                <w:sz w:val="21"/>
                <w:szCs w:val="21"/>
              </w:rPr>
            </w:pPr>
            <w:r>
              <w:rPr>
                <w:rFonts w:hint="default" w:ascii="Times New Roman" w:hAnsi="Times New Roman" w:eastAsia="宋体" w:cs="Times New Roman"/>
                <w:color w:val="000000"/>
                <w:kern w:val="0"/>
                <w:sz w:val="21"/>
                <w:szCs w:val="21"/>
                <w:lang w:val="en-US" w:eastAsia="zh-CN" w:bidi="ar-SA"/>
              </w:rPr>
              <w:t>（3）</w:t>
            </w:r>
            <w:r>
              <w:rPr>
                <w:rFonts w:hint="eastAsia" w:ascii="宋体" w:hAnsi="宋体" w:cs="宋体"/>
                <w:color w:val="000000"/>
                <w:kern w:val="0"/>
                <w:sz w:val="21"/>
                <w:szCs w:val="21"/>
              </w:rPr>
              <w:t>自行监测计划</w:t>
            </w:r>
          </w:p>
          <w:p>
            <w:pPr>
              <w:spacing w:line="240" w:lineRule="auto"/>
              <w:ind w:firstLine="420" w:firstLineChars="200"/>
              <w:rPr>
                <w:sz w:val="21"/>
                <w:szCs w:val="21"/>
              </w:rPr>
            </w:pPr>
            <w:r>
              <w:rPr>
                <w:sz w:val="21"/>
                <w:szCs w:val="21"/>
              </w:rPr>
              <w:t>环境监测是企业搞好环境管理，促进污染治理设施正常运行的主要保障。通过定期的环境监测，可以了解项目所在地的环境质量状况，及时发现问题、解决问题，从而有利于监督各项环境保护措施切实有效地落实，并根据监测结果适时调整环境保护计划。当发生污染事故时，应根据具体情况相应增加监测项目及监测频率，并进行跟踪监测，监测可以委托有资质的第三方检测机构定期进行。</w:t>
            </w: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sz w:val="21"/>
                <w:szCs w:val="21"/>
              </w:rPr>
            </w:pPr>
          </w:p>
          <w:p>
            <w:pPr>
              <w:spacing w:line="240" w:lineRule="auto"/>
              <w:ind w:firstLine="420" w:firstLineChars="200"/>
              <w:rPr>
                <w:rFonts w:hint="eastAsia" w:eastAsia="宋体"/>
                <w:sz w:val="21"/>
                <w:lang w:eastAsia="zh-CN"/>
              </w:rPr>
            </w:pPr>
          </w:p>
        </w:tc>
      </w:tr>
      <w:bookmarkEnd w:id="48"/>
      <w:bookmarkEnd w:id="49"/>
      <w:bookmarkEnd w:id="50"/>
      <w:bookmarkEnd w:id="51"/>
      <w:bookmarkEnd w:id="52"/>
      <w:bookmarkEnd w:id="53"/>
    </w:tbl>
    <w:p>
      <w:pPr>
        <w:pStyle w:val="2"/>
        <w:ind w:firstLine="602"/>
        <w:jc w:val="center"/>
        <w:rPr>
          <w:rFonts w:ascii="宋体" w:hAnsi="宋体" w:cs="宋体"/>
          <w:bCs w:val="0"/>
          <w:sz w:val="32"/>
          <w:szCs w:val="32"/>
        </w:rPr>
      </w:pPr>
      <w:r>
        <w:rPr>
          <w:snapToGrid w:val="0"/>
        </w:rPr>
        <w:br w:type="page"/>
      </w:r>
      <w:bookmarkStart w:id="56" w:name="_Toc10059"/>
      <w:bookmarkStart w:id="57" w:name="_Toc12709"/>
      <w:bookmarkStart w:id="58" w:name="_Toc9362"/>
      <w:bookmarkStart w:id="59" w:name="_Toc159582695"/>
      <w:bookmarkStart w:id="60" w:name="_Toc4851"/>
      <w:bookmarkStart w:id="61" w:name="_Toc9304"/>
      <w:bookmarkStart w:id="62" w:name="_Toc19359"/>
      <w:bookmarkStart w:id="63" w:name="_Toc29040"/>
      <w:r>
        <w:rPr>
          <w:rFonts w:hint="eastAsia" w:ascii="宋体" w:hAnsi="宋体" w:cs="宋体"/>
          <w:bCs w:val="0"/>
          <w:sz w:val="32"/>
          <w:szCs w:val="32"/>
        </w:rPr>
        <w:t>六、结论</w:t>
      </w:r>
      <w:bookmarkEnd w:id="56"/>
      <w:bookmarkEnd w:id="57"/>
      <w:bookmarkEnd w:id="58"/>
      <w:bookmarkEnd w:id="59"/>
      <w:bookmarkEnd w:id="60"/>
      <w:bookmarkEnd w:id="61"/>
      <w:bookmarkEnd w:id="62"/>
      <w:bookmarkEnd w:id="63"/>
    </w:p>
    <w:tbl>
      <w:tblPr>
        <w:tblStyle w:val="4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ind w:firstLine="480"/>
              <w:rPr>
                <w:rFonts w:ascii="宋体" w:cs="宋体"/>
                <w:szCs w:val="21"/>
              </w:rPr>
            </w:pPr>
            <w:r>
              <w:rPr>
                <w:rFonts w:hint="eastAsia"/>
                <w:szCs w:val="21"/>
              </w:rPr>
              <w:t>本项目符合国家相关产业政策，符合新田县大坪塘镇</w:t>
            </w:r>
            <w:r>
              <w:rPr>
                <w:rFonts w:hint="eastAsia"/>
                <w:szCs w:val="21"/>
                <w:lang w:val="en-US" w:eastAsia="zh-CN"/>
              </w:rPr>
              <w:t>龙溪村用地规划</w:t>
            </w:r>
            <w:r>
              <w:rPr>
                <w:rFonts w:hint="eastAsia"/>
                <w:szCs w:val="21"/>
              </w:rPr>
              <w:t>，选址合理，总平面布置合理可行，项目对废气、废水、噪声和固体废物等污染物采取妥善的处理处置措施，在落实各项规定的污染防治措施后，各污染物能达标排放，对周围的环境影响可控制在允许的范围内，周围环境质量能满足功能区划要求。在全面落实各项污染防范措施、搞好“三同时”制度、保证安全生产的前提下，项目的建设整体上符合环境保护和社会可持续发展的要求，因此，从环境角度分析，项目建设是可行的。</w:t>
            </w:r>
          </w:p>
        </w:tc>
      </w:tr>
    </w:tbl>
    <w:p>
      <w:pPr>
        <w:ind w:firstLine="480"/>
        <w:rPr>
          <w:rFonts w:ascii="宋体"/>
        </w:rPr>
        <w:sectPr>
          <w:pgSz w:w="11905" w:h="16838"/>
          <w:pgMar w:top="1440" w:right="1803" w:bottom="1440" w:left="1803" w:header="851" w:footer="992" w:gutter="0"/>
          <w:cols w:space="720" w:num="1"/>
          <w:docGrid w:type="lines" w:linePitch="312" w:charSpace="0"/>
        </w:sectPr>
      </w:pPr>
    </w:p>
    <w:p>
      <w:pPr>
        <w:pStyle w:val="4"/>
        <w:keepNext w:val="0"/>
        <w:keepLines w:val="0"/>
        <w:numPr>
          <w:ilvl w:val="1"/>
          <w:numId w:val="0"/>
        </w:numPr>
        <w:tabs>
          <w:tab w:val="left" w:pos="360"/>
          <w:tab w:val="left" w:pos="432"/>
        </w:tabs>
        <w:spacing w:beforeLines="0" w:afterLines="0"/>
        <w:rPr>
          <w:rFonts w:ascii="宋体" w:hAnsi="宋体" w:cs="宋体"/>
          <w:kern w:val="13"/>
          <w:sz w:val="32"/>
        </w:rPr>
      </w:pPr>
      <w:bookmarkStart w:id="64" w:name="_Toc1966"/>
      <w:bookmarkStart w:id="65" w:name="_Toc29484"/>
      <w:bookmarkStart w:id="66" w:name="_Toc2552"/>
      <w:bookmarkStart w:id="67" w:name="_Toc5221"/>
      <w:bookmarkStart w:id="68" w:name="_Toc25547"/>
      <w:bookmarkStart w:id="69" w:name="_Toc3688"/>
      <w:bookmarkStart w:id="70" w:name="_Toc15594"/>
      <w:bookmarkStart w:id="71" w:name="_Toc17095"/>
      <w:bookmarkStart w:id="72" w:name="_Toc31998"/>
      <w:bookmarkStart w:id="73" w:name="_Toc6253"/>
      <w:bookmarkStart w:id="74" w:name="_Toc12905"/>
      <w:bookmarkStart w:id="75" w:name="_Toc19388"/>
      <w:bookmarkStart w:id="76" w:name="_Toc11817"/>
      <w:r>
        <w:rPr>
          <w:rFonts w:hint="eastAsia" w:ascii="宋体" w:hAnsi="宋体" w:cs="宋体"/>
          <w:kern w:val="13"/>
          <w:sz w:val="32"/>
        </w:rPr>
        <w:t>附表</w:t>
      </w:r>
      <w:bookmarkEnd w:id="64"/>
      <w:bookmarkEnd w:id="65"/>
    </w:p>
    <w:p>
      <w:pPr>
        <w:pStyle w:val="4"/>
        <w:keepNext w:val="0"/>
        <w:keepLines w:val="0"/>
        <w:numPr>
          <w:ilvl w:val="1"/>
          <w:numId w:val="0"/>
        </w:numPr>
        <w:tabs>
          <w:tab w:val="left" w:pos="360"/>
          <w:tab w:val="left" w:pos="432"/>
        </w:tabs>
        <w:spacing w:beforeLines="0" w:afterLines="0"/>
        <w:jc w:val="center"/>
        <w:rPr>
          <w:rFonts w:ascii="宋体" w:hAnsi="宋体" w:cs="宋体"/>
          <w:kern w:val="13"/>
          <w:sz w:val="32"/>
          <w:u w:val="single"/>
        </w:rPr>
      </w:pPr>
      <w:bookmarkStart w:id="77" w:name="_Toc30222"/>
      <w:r>
        <w:rPr>
          <w:rFonts w:hint="eastAsia" w:ascii="宋体" w:hAnsi="宋体" w:cs="宋体"/>
          <w:kern w:val="13"/>
          <w:sz w:val="32"/>
          <w:u w:val="single"/>
        </w:rPr>
        <w:t>建设项目污染物排放量汇总表</w:t>
      </w:r>
      <w:bookmarkEnd w:id="77"/>
    </w:p>
    <w:tbl>
      <w:tblPr>
        <w:tblStyle w:val="42"/>
        <w:tblW w:w="1427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69"/>
        <w:gridCol w:w="1549"/>
        <w:gridCol w:w="1276"/>
        <w:gridCol w:w="1701"/>
        <w:gridCol w:w="1559"/>
        <w:gridCol w:w="1761"/>
        <w:gridCol w:w="1855"/>
        <w:gridCol w:w="14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tcBorders>
              <w:tl2br w:val="single" w:color="auto" w:sz="4" w:space="0"/>
            </w:tcBorders>
            <w:tcMar>
              <w:left w:w="28" w:type="dxa"/>
              <w:right w:w="28" w:type="dxa"/>
            </w:tcMar>
            <w:vAlign w:val="center"/>
          </w:tcPr>
          <w:p>
            <w:pPr>
              <w:pStyle w:val="84"/>
              <w:widowControl w:val="0"/>
              <w:spacing w:beforeLines="0" w:afterLines="0" w:line="240" w:lineRule="auto"/>
              <w:ind w:firstLine="0"/>
              <w:jc w:val="right"/>
              <w:rPr>
                <w:rFonts w:ascii="Times New Roman" w:cs="宋体"/>
                <w:b/>
                <w:snapToGrid w:val="0"/>
                <w:color w:val="000000"/>
                <w:spacing w:val="-6"/>
                <w:kern w:val="21"/>
                <w:szCs w:val="21"/>
              </w:rPr>
            </w:pPr>
            <w:r>
              <w:rPr>
                <w:rFonts w:hint="eastAsia" w:ascii="Times New Roman" w:cs="宋体"/>
                <w:b/>
                <w:snapToGrid w:val="0"/>
                <w:color w:val="000000"/>
                <w:spacing w:val="-6"/>
                <w:kern w:val="21"/>
                <w:szCs w:val="21"/>
              </w:rPr>
              <w:t>项目</w:t>
            </w:r>
          </w:p>
          <w:p>
            <w:pPr>
              <w:pStyle w:val="84"/>
              <w:widowControl w:val="0"/>
              <w:spacing w:beforeLines="0" w:afterLines="0" w:line="240" w:lineRule="auto"/>
              <w:ind w:firstLine="0"/>
              <w:jc w:val="left"/>
              <w:rPr>
                <w:rFonts w:ascii="Times New Roman" w:cs="宋体"/>
                <w:b/>
                <w:snapToGrid w:val="0"/>
                <w:color w:val="000000"/>
                <w:spacing w:val="-6"/>
                <w:kern w:val="21"/>
                <w:szCs w:val="21"/>
              </w:rPr>
            </w:pPr>
            <w:r>
              <w:rPr>
                <w:rFonts w:hint="eastAsia" w:ascii="Times New Roman" w:cs="宋体"/>
                <w:b/>
                <w:snapToGrid w:val="0"/>
                <w:color w:val="000000"/>
                <w:spacing w:val="-6"/>
                <w:kern w:val="21"/>
                <w:szCs w:val="21"/>
              </w:rPr>
              <w:t>分类</w:t>
            </w:r>
          </w:p>
        </w:tc>
        <w:tc>
          <w:tcPr>
            <w:tcW w:w="1569" w:type="dxa"/>
            <w:tcMar>
              <w:left w:w="28" w:type="dxa"/>
              <w:right w:w="28" w:type="dxa"/>
            </w:tcMar>
            <w:vAlign w:val="center"/>
          </w:tcPr>
          <w:p>
            <w:pPr>
              <w:pStyle w:val="84"/>
              <w:widowControl w:val="0"/>
              <w:spacing w:beforeLines="0" w:afterLines="0" w:line="240" w:lineRule="auto"/>
              <w:ind w:firstLine="0"/>
              <w:rPr>
                <w:rFonts w:ascii="Times New Roman" w:cs="宋体"/>
                <w:b/>
                <w:snapToGrid w:val="0"/>
                <w:color w:val="000000"/>
                <w:spacing w:val="-6"/>
                <w:kern w:val="21"/>
                <w:szCs w:val="21"/>
              </w:rPr>
            </w:pPr>
            <w:r>
              <w:rPr>
                <w:rFonts w:hint="eastAsia" w:ascii="Times New Roman" w:cs="宋体"/>
                <w:b/>
                <w:snapToGrid w:val="0"/>
                <w:color w:val="000000"/>
                <w:spacing w:val="-6"/>
                <w:kern w:val="21"/>
                <w:szCs w:val="21"/>
              </w:rPr>
              <w:t>污染物名称</w:t>
            </w:r>
          </w:p>
        </w:tc>
        <w:tc>
          <w:tcPr>
            <w:tcW w:w="1549"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现有工程</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排放量（固</w:t>
            </w:r>
            <w:r>
              <w:rPr>
                <w:rFonts w:hint="eastAsia" w:ascii="Times New Roman"/>
                <w:b/>
                <w:snapToGrid w:val="0"/>
                <w:color w:val="000000"/>
                <w:spacing w:val="-6"/>
                <w:kern w:val="21"/>
                <w:szCs w:val="21"/>
              </w:rPr>
              <w:t>体</w:t>
            </w:r>
            <w:r>
              <w:rPr>
                <w:rFonts w:ascii="Times New Roman"/>
                <w:b/>
                <w:snapToGrid w:val="0"/>
                <w:color w:val="000000"/>
                <w:spacing w:val="-6"/>
                <w:kern w:val="21"/>
                <w:szCs w:val="21"/>
              </w:rPr>
              <w:t>废</w:t>
            </w:r>
            <w:r>
              <w:rPr>
                <w:rFonts w:hint="eastAsia" w:ascii="Times New Roman"/>
                <w:b/>
                <w:snapToGrid w:val="0"/>
                <w:color w:val="000000"/>
                <w:spacing w:val="-6"/>
                <w:kern w:val="21"/>
                <w:szCs w:val="21"/>
              </w:rPr>
              <w:t>物</w:t>
            </w:r>
            <w:r>
              <w:rPr>
                <w:rFonts w:ascii="Times New Roman"/>
                <w:b/>
                <w:snapToGrid w:val="0"/>
                <w:color w:val="000000"/>
                <w:spacing w:val="-6"/>
                <w:kern w:val="21"/>
                <w:szCs w:val="21"/>
              </w:rPr>
              <w:t>产生量）</w:t>
            </w:r>
            <w:r>
              <w:rPr>
                <w:rFonts w:ascii="Times New Roman"/>
                <w:b/>
                <w:snapToGrid w:val="0"/>
                <w:color w:val="000000"/>
                <w:spacing w:val="-6"/>
                <w:kern w:val="21"/>
                <w:szCs w:val="21"/>
              </w:rPr>
              <w:fldChar w:fldCharType="begin"/>
            </w:r>
            <w:r>
              <w:rPr>
                <w:rFonts w:ascii="Times New Roman"/>
                <w:b/>
                <w:snapToGrid w:val="0"/>
                <w:color w:val="000000"/>
                <w:spacing w:val="-6"/>
                <w:kern w:val="21"/>
                <w:szCs w:val="21"/>
              </w:rPr>
              <w:instrText xml:space="preserve"> = 1 \* GB3 \* MERGEFORMAT </w:instrText>
            </w:r>
            <w:r>
              <w:rPr>
                <w:rFonts w:ascii="Times New Roman"/>
                <w:b/>
                <w:snapToGrid w:val="0"/>
                <w:color w:val="000000"/>
                <w:spacing w:val="-6"/>
                <w:kern w:val="21"/>
                <w:szCs w:val="21"/>
              </w:rPr>
              <w:fldChar w:fldCharType="separate"/>
            </w:r>
            <w:r>
              <w:rPr>
                <w:rFonts w:hint="eastAsia" w:ascii="Times New Roman" w:cs="宋体"/>
                <w:b/>
                <w:kern w:val="2"/>
                <w:szCs w:val="21"/>
              </w:rPr>
              <w:t>①</w:t>
            </w:r>
            <w:r>
              <w:rPr>
                <w:rFonts w:ascii="Times New Roman"/>
                <w:b/>
                <w:snapToGrid w:val="0"/>
                <w:color w:val="000000"/>
                <w:spacing w:val="-6"/>
                <w:kern w:val="21"/>
                <w:szCs w:val="21"/>
              </w:rPr>
              <w:fldChar w:fldCharType="end"/>
            </w:r>
          </w:p>
        </w:tc>
        <w:tc>
          <w:tcPr>
            <w:tcW w:w="1276"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现有工程</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许可排放量</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fldChar w:fldCharType="begin"/>
            </w:r>
            <w:r>
              <w:rPr>
                <w:rFonts w:ascii="Times New Roman"/>
                <w:b/>
                <w:snapToGrid w:val="0"/>
                <w:color w:val="000000"/>
                <w:spacing w:val="-6"/>
                <w:kern w:val="21"/>
                <w:szCs w:val="21"/>
              </w:rPr>
              <w:instrText xml:space="preserve"> = 2 \* GB3 \* MERGEFORMAT </w:instrText>
            </w:r>
            <w:r>
              <w:rPr>
                <w:rFonts w:ascii="Times New Roman"/>
                <w:b/>
                <w:snapToGrid w:val="0"/>
                <w:color w:val="000000"/>
                <w:spacing w:val="-6"/>
                <w:kern w:val="21"/>
                <w:szCs w:val="21"/>
              </w:rPr>
              <w:fldChar w:fldCharType="separate"/>
            </w:r>
            <w:r>
              <w:rPr>
                <w:rFonts w:hint="eastAsia" w:ascii="Times New Roman" w:cs="宋体"/>
                <w:b/>
                <w:snapToGrid w:val="0"/>
                <w:color w:val="000000"/>
                <w:spacing w:val="-6"/>
                <w:kern w:val="21"/>
                <w:szCs w:val="21"/>
              </w:rPr>
              <w:t>②</w:t>
            </w:r>
            <w:r>
              <w:rPr>
                <w:rFonts w:ascii="Times New Roman"/>
                <w:b/>
                <w:snapToGrid w:val="0"/>
                <w:color w:val="000000"/>
                <w:spacing w:val="-6"/>
                <w:kern w:val="21"/>
                <w:szCs w:val="21"/>
              </w:rPr>
              <w:fldChar w:fldCharType="end"/>
            </w:r>
          </w:p>
        </w:tc>
        <w:tc>
          <w:tcPr>
            <w:tcW w:w="1701"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在建工程</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排放量（固</w:t>
            </w:r>
            <w:r>
              <w:rPr>
                <w:rFonts w:hint="eastAsia" w:ascii="Times New Roman"/>
                <w:b/>
                <w:snapToGrid w:val="0"/>
                <w:color w:val="000000"/>
                <w:spacing w:val="-6"/>
                <w:kern w:val="21"/>
                <w:szCs w:val="21"/>
              </w:rPr>
              <w:t>体</w:t>
            </w:r>
            <w:r>
              <w:rPr>
                <w:rFonts w:ascii="Times New Roman"/>
                <w:b/>
                <w:snapToGrid w:val="0"/>
                <w:color w:val="000000"/>
                <w:spacing w:val="-6"/>
                <w:kern w:val="21"/>
                <w:szCs w:val="21"/>
              </w:rPr>
              <w:t>废</w:t>
            </w:r>
            <w:r>
              <w:rPr>
                <w:rFonts w:hint="eastAsia" w:ascii="Times New Roman"/>
                <w:b/>
                <w:snapToGrid w:val="0"/>
                <w:color w:val="000000"/>
                <w:spacing w:val="-6"/>
                <w:kern w:val="21"/>
                <w:szCs w:val="21"/>
              </w:rPr>
              <w:t>物</w:t>
            </w:r>
            <w:r>
              <w:rPr>
                <w:rFonts w:ascii="Times New Roman"/>
                <w:b/>
                <w:snapToGrid w:val="0"/>
                <w:color w:val="000000"/>
                <w:spacing w:val="-6"/>
                <w:kern w:val="21"/>
                <w:szCs w:val="21"/>
              </w:rPr>
              <w:t>产生量）</w:t>
            </w:r>
            <w:r>
              <w:rPr>
                <w:rFonts w:ascii="Times New Roman"/>
                <w:b/>
                <w:snapToGrid w:val="0"/>
                <w:color w:val="000000"/>
                <w:spacing w:val="-6"/>
                <w:kern w:val="21"/>
                <w:szCs w:val="21"/>
              </w:rPr>
              <w:fldChar w:fldCharType="begin"/>
            </w:r>
            <w:r>
              <w:rPr>
                <w:rFonts w:ascii="Times New Roman"/>
                <w:b/>
                <w:snapToGrid w:val="0"/>
                <w:color w:val="000000"/>
                <w:spacing w:val="-6"/>
                <w:kern w:val="21"/>
                <w:szCs w:val="21"/>
              </w:rPr>
              <w:instrText xml:space="preserve"> = 3 \* GB3 \* MERGEFORMAT </w:instrText>
            </w:r>
            <w:r>
              <w:rPr>
                <w:rFonts w:ascii="Times New Roman"/>
                <w:b/>
                <w:snapToGrid w:val="0"/>
                <w:color w:val="000000"/>
                <w:spacing w:val="-6"/>
                <w:kern w:val="21"/>
                <w:szCs w:val="21"/>
              </w:rPr>
              <w:fldChar w:fldCharType="separate"/>
            </w:r>
            <w:r>
              <w:rPr>
                <w:rFonts w:hint="eastAsia" w:ascii="Times New Roman" w:cs="宋体"/>
                <w:b/>
                <w:kern w:val="2"/>
                <w:szCs w:val="21"/>
              </w:rPr>
              <w:t>③</w:t>
            </w:r>
            <w:r>
              <w:rPr>
                <w:rFonts w:ascii="Times New Roman"/>
                <w:b/>
                <w:snapToGrid w:val="0"/>
                <w:color w:val="000000"/>
                <w:spacing w:val="-6"/>
                <w:kern w:val="21"/>
                <w:szCs w:val="21"/>
              </w:rPr>
              <w:fldChar w:fldCharType="end"/>
            </w:r>
          </w:p>
        </w:tc>
        <w:tc>
          <w:tcPr>
            <w:tcW w:w="1559"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本项目</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排放量（固</w:t>
            </w:r>
            <w:r>
              <w:rPr>
                <w:rFonts w:hint="eastAsia" w:ascii="Times New Roman"/>
                <w:b/>
                <w:snapToGrid w:val="0"/>
                <w:color w:val="000000"/>
                <w:spacing w:val="-6"/>
                <w:kern w:val="21"/>
                <w:szCs w:val="21"/>
              </w:rPr>
              <w:t>体</w:t>
            </w:r>
            <w:r>
              <w:rPr>
                <w:rFonts w:ascii="Times New Roman"/>
                <w:b/>
                <w:snapToGrid w:val="0"/>
                <w:color w:val="000000"/>
                <w:spacing w:val="-6"/>
                <w:kern w:val="21"/>
                <w:szCs w:val="21"/>
              </w:rPr>
              <w:t>废</w:t>
            </w:r>
            <w:r>
              <w:rPr>
                <w:rFonts w:hint="eastAsia" w:ascii="Times New Roman"/>
                <w:b/>
                <w:snapToGrid w:val="0"/>
                <w:color w:val="000000"/>
                <w:spacing w:val="-6"/>
                <w:kern w:val="21"/>
                <w:szCs w:val="21"/>
              </w:rPr>
              <w:t>物</w:t>
            </w:r>
            <w:r>
              <w:rPr>
                <w:rFonts w:ascii="Times New Roman"/>
                <w:b/>
                <w:snapToGrid w:val="0"/>
                <w:color w:val="000000"/>
                <w:spacing w:val="-6"/>
                <w:kern w:val="21"/>
                <w:szCs w:val="21"/>
              </w:rPr>
              <w:t>产生量）</w:t>
            </w:r>
            <w:r>
              <w:rPr>
                <w:rFonts w:ascii="Times New Roman"/>
                <w:b/>
                <w:snapToGrid w:val="0"/>
                <w:color w:val="000000"/>
                <w:spacing w:val="-6"/>
                <w:kern w:val="21"/>
                <w:szCs w:val="21"/>
              </w:rPr>
              <w:fldChar w:fldCharType="begin"/>
            </w:r>
            <w:r>
              <w:rPr>
                <w:rFonts w:ascii="Times New Roman"/>
                <w:b/>
                <w:snapToGrid w:val="0"/>
                <w:color w:val="000000"/>
                <w:spacing w:val="-6"/>
                <w:kern w:val="21"/>
                <w:szCs w:val="21"/>
              </w:rPr>
              <w:instrText xml:space="preserve"> = 4 \* GB3 \* MERGEFORMAT </w:instrText>
            </w:r>
            <w:r>
              <w:rPr>
                <w:rFonts w:ascii="Times New Roman"/>
                <w:b/>
                <w:snapToGrid w:val="0"/>
                <w:color w:val="000000"/>
                <w:spacing w:val="-6"/>
                <w:kern w:val="21"/>
                <w:szCs w:val="21"/>
              </w:rPr>
              <w:fldChar w:fldCharType="separate"/>
            </w:r>
            <w:r>
              <w:rPr>
                <w:rFonts w:hint="eastAsia" w:ascii="Times New Roman" w:cs="宋体"/>
                <w:b/>
                <w:kern w:val="2"/>
                <w:szCs w:val="21"/>
              </w:rPr>
              <w:t>④</w:t>
            </w:r>
            <w:r>
              <w:rPr>
                <w:rFonts w:ascii="Times New Roman"/>
                <w:b/>
                <w:snapToGrid w:val="0"/>
                <w:color w:val="000000"/>
                <w:spacing w:val="-6"/>
                <w:kern w:val="21"/>
                <w:szCs w:val="21"/>
              </w:rPr>
              <w:fldChar w:fldCharType="end"/>
            </w:r>
          </w:p>
        </w:tc>
        <w:tc>
          <w:tcPr>
            <w:tcW w:w="1761"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16"/>
                <w:kern w:val="21"/>
                <w:szCs w:val="21"/>
              </w:rPr>
            </w:pPr>
            <w:r>
              <w:rPr>
                <w:rFonts w:ascii="Times New Roman"/>
                <w:b/>
                <w:snapToGrid w:val="0"/>
                <w:color w:val="000000"/>
                <w:spacing w:val="-16"/>
                <w:kern w:val="21"/>
                <w:szCs w:val="21"/>
              </w:rPr>
              <w:t>以新带老削减量</w:t>
            </w:r>
          </w:p>
          <w:p>
            <w:pPr>
              <w:pStyle w:val="84"/>
              <w:widowControl w:val="0"/>
              <w:spacing w:beforeLines="0" w:afterLines="0" w:line="240" w:lineRule="auto"/>
              <w:ind w:firstLine="0"/>
              <w:rPr>
                <w:rFonts w:ascii="Times New Roman"/>
                <w:b/>
                <w:snapToGrid w:val="0"/>
                <w:color w:val="000000"/>
                <w:spacing w:val="-16"/>
                <w:kern w:val="21"/>
                <w:szCs w:val="21"/>
              </w:rPr>
            </w:pPr>
            <w:r>
              <w:rPr>
                <w:rFonts w:ascii="Times New Roman"/>
                <w:b/>
                <w:snapToGrid w:val="0"/>
                <w:color w:val="000000"/>
                <w:spacing w:val="-16"/>
                <w:kern w:val="21"/>
                <w:szCs w:val="21"/>
              </w:rPr>
              <w:t>（新建项目不填）</w:t>
            </w:r>
            <w:r>
              <w:rPr>
                <w:rFonts w:ascii="Times New Roman"/>
                <w:b/>
                <w:snapToGrid w:val="0"/>
                <w:color w:val="000000"/>
                <w:spacing w:val="-16"/>
                <w:kern w:val="21"/>
                <w:szCs w:val="21"/>
              </w:rPr>
              <w:fldChar w:fldCharType="begin"/>
            </w:r>
            <w:r>
              <w:rPr>
                <w:rFonts w:ascii="Times New Roman"/>
                <w:b/>
                <w:snapToGrid w:val="0"/>
                <w:color w:val="000000"/>
                <w:spacing w:val="-16"/>
                <w:kern w:val="21"/>
                <w:szCs w:val="21"/>
              </w:rPr>
              <w:instrText xml:space="preserve"> = 5 \* GB3 \* MERGEFORMAT </w:instrText>
            </w:r>
            <w:r>
              <w:rPr>
                <w:rFonts w:ascii="Times New Roman"/>
                <w:b/>
                <w:snapToGrid w:val="0"/>
                <w:color w:val="000000"/>
                <w:spacing w:val="-16"/>
                <w:kern w:val="21"/>
                <w:szCs w:val="21"/>
              </w:rPr>
              <w:fldChar w:fldCharType="separate"/>
            </w:r>
            <w:r>
              <w:rPr>
                <w:rFonts w:hint="eastAsia" w:ascii="Times New Roman" w:cs="宋体"/>
                <w:b/>
                <w:kern w:val="2"/>
                <w:szCs w:val="21"/>
              </w:rPr>
              <w:t>⑤</w:t>
            </w:r>
            <w:r>
              <w:rPr>
                <w:rFonts w:ascii="Times New Roman"/>
                <w:b/>
                <w:snapToGrid w:val="0"/>
                <w:color w:val="000000"/>
                <w:spacing w:val="-16"/>
                <w:kern w:val="21"/>
                <w:szCs w:val="21"/>
              </w:rPr>
              <w:fldChar w:fldCharType="end"/>
            </w:r>
          </w:p>
        </w:tc>
        <w:tc>
          <w:tcPr>
            <w:tcW w:w="1855"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16"/>
                <w:kern w:val="21"/>
                <w:szCs w:val="21"/>
              </w:rPr>
            </w:pPr>
            <w:r>
              <w:rPr>
                <w:rFonts w:ascii="Times New Roman"/>
                <w:b/>
                <w:snapToGrid w:val="0"/>
                <w:color w:val="000000"/>
                <w:spacing w:val="-16"/>
                <w:kern w:val="21"/>
                <w:szCs w:val="21"/>
              </w:rPr>
              <w:t>本项目建成后</w:t>
            </w:r>
          </w:p>
          <w:p>
            <w:pPr>
              <w:pStyle w:val="84"/>
              <w:widowControl w:val="0"/>
              <w:spacing w:beforeLines="0" w:afterLines="0" w:line="240" w:lineRule="auto"/>
              <w:ind w:firstLine="0"/>
              <w:rPr>
                <w:rFonts w:ascii="Times New Roman"/>
                <w:b/>
                <w:snapToGrid w:val="0"/>
                <w:color w:val="000000"/>
                <w:spacing w:val="-16"/>
                <w:kern w:val="21"/>
                <w:szCs w:val="21"/>
              </w:rPr>
            </w:pPr>
            <w:r>
              <w:rPr>
                <w:rFonts w:hint="eastAsia" w:ascii="Times New Roman"/>
                <w:b/>
                <w:snapToGrid w:val="0"/>
                <w:color w:val="000000"/>
                <w:spacing w:val="-16"/>
                <w:kern w:val="21"/>
                <w:szCs w:val="21"/>
              </w:rPr>
              <w:t>全厂</w:t>
            </w:r>
            <w:r>
              <w:rPr>
                <w:rFonts w:ascii="Times New Roman"/>
                <w:b/>
                <w:snapToGrid w:val="0"/>
                <w:color w:val="000000"/>
                <w:spacing w:val="-16"/>
                <w:kern w:val="21"/>
                <w:szCs w:val="21"/>
              </w:rPr>
              <w:t>排放量（固</w:t>
            </w:r>
            <w:r>
              <w:rPr>
                <w:rFonts w:hint="eastAsia" w:ascii="Times New Roman"/>
                <w:b/>
                <w:snapToGrid w:val="0"/>
                <w:color w:val="000000"/>
                <w:spacing w:val="-16"/>
                <w:kern w:val="21"/>
                <w:szCs w:val="21"/>
              </w:rPr>
              <w:t>体</w:t>
            </w:r>
            <w:r>
              <w:rPr>
                <w:rFonts w:ascii="Times New Roman"/>
                <w:b/>
                <w:snapToGrid w:val="0"/>
                <w:color w:val="000000"/>
                <w:spacing w:val="-16"/>
                <w:kern w:val="21"/>
                <w:szCs w:val="21"/>
              </w:rPr>
              <w:t>废</w:t>
            </w:r>
            <w:r>
              <w:rPr>
                <w:rFonts w:hint="eastAsia" w:ascii="Times New Roman"/>
                <w:b/>
                <w:snapToGrid w:val="0"/>
                <w:color w:val="000000"/>
                <w:spacing w:val="-16"/>
                <w:kern w:val="21"/>
                <w:szCs w:val="21"/>
              </w:rPr>
              <w:t>物</w:t>
            </w:r>
            <w:r>
              <w:rPr>
                <w:rFonts w:ascii="Times New Roman"/>
                <w:b/>
                <w:snapToGrid w:val="0"/>
                <w:color w:val="000000"/>
                <w:spacing w:val="-16"/>
                <w:kern w:val="21"/>
                <w:szCs w:val="21"/>
              </w:rPr>
              <w:t>产生量）</w:t>
            </w:r>
            <w:r>
              <w:rPr>
                <w:rFonts w:ascii="Times New Roman"/>
                <w:b/>
                <w:snapToGrid w:val="0"/>
                <w:color w:val="000000"/>
                <w:spacing w:val="-16"/>
                <w:kern w:val="21"/>
                <w:szCs w:val="21"/>
              </w:rPr>
              <w:fldChar w:fldCharType="begin"/>
            </w:r>
            <w:r>
              <w:rPr>
                <w:rFonts w:ascii="Times New Roman"/>
                <w:b/>
                <w:snapToGrid w:val="0"/>
                <w:color w:val="000000"/>
                <w:spacing w:val="-16"/>
                <w:kern w:val="21"/>
                <w:szCs w:val="21"/>
              </w:rPr>
              <w:instrText xml:space="preserve"> = 6 \* GB3 \* MERGEFORMAT </w:instrText>
            </w:r>
            <w:r>
              <w:rPr>
                <w:rFonts w:ascii="Times New Roman"/>
                <w:b/>
                <w:snapToGrid w:val="0"/>
                <w:color w:val="000000"/>
                <w:spacing w:val="-16"/>
                <w:kern w:val="21"/>
                <w:szCs w:val="21"/>
              </w:rPr>
              <w:fldChar w:fldCharType="separate"/>
            </w:r>
            <w:r>
              <w:rPr>
                <w:rFonts w:hint="eastAsia" w:ascii="Times New Roman" w:cs="宋体"/>
                <w:b/>
                <w:kern w:val="2"/>
                <w:szCs w:val="21"/>
              </w:rPr>
              <w:t>⑥</w:t>
            </w:r>
            <w:r>
              <w:rPr>
                <w:rFonts w:ascii="Times New Roman"/>
                <w:b/>
                <w:snapToGrid w:val="0"/>
                <w:color w:val="000000"/>
                <w:spacing w:val="-16"/>
                <w:kern w:val="21"/>
                <w:szCs w:val="21"/>
              </w:rPr>
              <w:fldChar w:fldCharType="end"/>
            </w:r>
          </w:p>
        </w:tc>
        <w:tc>
          <w:tcPr>
            <w:tcW w:w="1419" w:type="dxa"/>
            <w:tcMar>
              <w:left w:w="28" w:type="dxa"/>
              <w:right w:w="28" w:type="dxa"/>
            </w:tcMar>
            <w:vAlign w:val="center"/>
          </w:tcPr>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t>变化量</w:t>
            </w:r>
          </w:p>
          <w:p>
            <w:pPr>
              <w:pStyle w:val="84"/>
              <w:widowControl w:val="0"/>
              <w:spacing w:beforeLines="0" w:afterLines="0" w:line="240" w:lineRule="auto"/>
              <w:ind w:firstLine="0"/>
              <w:rPr>
                <w:rFonts w:ascii="Times New Roman"/>
                <w:b/>
                <w:snapToGrid w:val="0"/>
                <w:color w:val="000000"/>
                <w:spacing w:val="-6"/>
                <w:kern w:val="21"/>
                <w:szCs w:val="21"/>
              </w:rPr>
            </w:pPr>
            <w:r>
              <w:rPr>
                <w:rFonts w:ascii="Times New Roman"/>
                <w:b/>
                <w:snapToGrid w:val="0"/>
                <w:color w:val="000000"/>
                <w:spacing w:val="-6"/>
                <w:kern w:val="21"/>
                <w:szCs w:val="21"/>
              </w:rPr>
              <w:fldChar w:fldCharType="begin"/>
            </w:r>
            <w:r>
              <w:rPr>
                <w:rFonts w:ascii="Times New Roman"/>
                <w:b/>
                <w:snapToGrid w:val="0"/>
                <w:color w:val="000000"/>
                <w:spacing w:val="-6"/>
                <w:kern w:val="21"/>
                <w:szCs w:val="21"/>
              </w:rPr>
              <w:instrText xml:space="preserve"> = 7 \* GB3 \* MERGEFORMAT </w:instrText>
            </w:r>
            <w:r>
              <w:rPr>
                <w:rFonts w:ascii="Times New Roman"/>
                <w:b/>
                <w:snapToGrid w:val="0"/>
                <w:color w:val="000000"/>
                <w:spacing w:val="-6"/>
                <w:kern w:val="21"/>
                <w:szCs w:val="21"/>
              </w:rPr>
              <w:fldChar w:fldCharType="separate"/>
            </w:r>
            <w:r>
              <w:rPr>
                <w:rFonts w:hint="eastAsia" w:ascii="Times New Roman" w:cs="宋体"/>
                <w:b/>
                <w:kern w:val="2"/>
                <w:szCs w:val="21"/>
              </w:rPr>
              <w:t>⑦</w:t>
            </w:r>
            <w:r>
              <w:rPr>
                <w:rFonts w:ascii="Times New Roman"/>
                <w:b/>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Align w:val="center"/>
          </w:tcPr>
          <w:p>
            <w:pPr>
              <w:pStyle w:val="84"/>
              <w:widowControl w:val="0"/>
              <w:spacing w:beforeLines="0" w:afterLines="0" w:line="240" w:lineRule="auto"/>
              <w:ind w:firstLine="0"/>
              <w:rPr>
                <w:rFonts w:ascii="Times New Roman" w:cs="宋体"/>
                <w:bCs/>
                <w:snapToGrid w:val="0"/>
                <w:color w:val="000000"/>
                <w:kern w:val="21"/>
                <w:szCs w:val="21"/>
              </w:rPr>
            </w:pPr>
            <w:r>
              <w:rPr>
                <w:rFonts w:hint="eastAsia" w:ascii="Times New Roman" w:cs="宋体"/>
                <w:bCs/>
                <w:snapToGrid w:val="0"/>
                <w:color w:val="000000"/>
                <w:kern w:val="21"/>
                <w:szCs w:val="21"/>
              </w:rPr>
              <w:t>废气</w:t>
            </w:r>
          </w:p>
        </w:tc>
        <w:tc>
          <w:tcPr>
            <w:tcW w:w="1569" w:type="dxa"/>
            <w:vAlign w:val="center"/>
          </w:tcPr>
          <w:p>
            <w:pPr>
              <w:spacing w:line="240" w:lineRule="auto"/>
              <w:jc w:val="center"/>
              <w:rPr>
                <w:snapToGrid w:val="0"/>
                <w:sz w:val="21"/>
              </w:rPr>
            </w:pPr>
            <w:r>
              <w:rPr>
                <w:rFonts w:hint="eastAsia"/>
                <w:snapToGrid w:val="0"/>
                <w:sz w:val="21"/>
              </w:rPr>
              <w:t>恶臭</w:t>
            </w:r>
          </w:p>
        </w:tc>
        <w:tc>
          <w:tcPr>
            <w:tcW w:w="1549" w:type="dxa"/>
            <w:vAlign w:val="center"/>
          </w:tcPr>
          <w:p>
            <w:pPr>
              <w:snapToGrid w:val="0"/>
              <w:spacing w:line="240" w:lineRule="auto"/>
              <w:jc w:val="center"/>
              <w:rPr>
                <w:sz w:val="21"/>
                <w:szCs w:val="21"/>
              </w:rPr>
            </w:pPr>
            <w:r>
              <w:rPr>
                <w:rFonts w:hint="eastAsia"/>
                <w:sz w:val="21"/>
                <w:szCs w:val="21"/>
              </w:rPr>
              <w:t>/</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w:t>
            </w:r>
          </w:p>
        </w:tc>
        <w:tc>
          <w:tcPr>
            <w:tcW w:w="1559" w:type="dxa"/>
            <w:vAlign w:val="center"/>
          </w:tcPr>
          <w:p>
            <w:pPr>
              <w:spacing w:line="240" w:lineRule="auto"/>
              <w:jc w:val="center"/>
              <w:rPr>
                <w:sz w:val="21"/>
                <w:szCs w:val="21"/>
              </w:rPr>
            </w:pPr>
            <w:r>
              <w:rPr>
                <w:rFonts w:hint="eastAsia"/>
                <w:sz w:val="21"/>
                <w:szCs w:val="21"/>
              </w:rPr>
              <w:t>/</w:t>
            </w:r>
          </w:p>
        </w:tc>
        <w:tc>
          <w:tcPr>
            <w:tcW w:w="1761" w:type="dxa"/>
            <w:vAlign w:val="center"/>
          </w:tcPr>
          <w:p>
            <w:pPr>
              <w:spacing w:line="240" w:lineRule="auto"/>
              <w:jc w:val="center"/>
              <w:rPr>
                <w:sz w:val="21"/>
                <w:szCs w:val="21"/>
              </w:rPr>
            </w:pPr>
            <w:r>
              <w:rPr>
                <w:rFonts w:hint="eastAsia"/>
                <w:sz w:val="21"/>
                <w:szCs w:val="21"/>
              </w:rPr>
              <w:t>/</w:t>
            </w:r>
          </w:p>
        </w:tc>
        <w:tc>
          <w:tcPr>
            <w:tcW w:w="1855"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w:t>
            </w:r>
          </w:p>
        </w:tc>
        <w:tc>
          <w:tcPr>
            <w:tcW w:w="1419" w:type="dxa"/>
            <w:vAlign w:val="center"/>
          </w:tcPr>
          <w:p>
            <w:pPr>
              <w:snapToGrid w:val="0"/>
              <w:spacing w:line="240" w:lineRule="auto"/>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84"/>
              <w:widowControl w:val="0"/>
              <w:spacing w:beforeLines="0" w:afterLines="0" w:line="240" w:lineRule="auto"/>
              <w:ind w:firstLine="0"/>
              <w:rPr>
                <w:rFonts w:ascii="Times New Roman" w:cs="宋体"/>
                <w:bCs/>
                <w:snapToGrid w:val="0"/>
                <w:color w:val="000000"/>
                <w:kern w:val="21"/>
                <w:szCs w:val="21"/>
              </w:rPr>
            </w:pPr>
            <w:r>
              <w:rPr>
                <w:rFonts w:hint="eastAsia" w:ascii="Times New Roman" w:cs="宋体"/>
                <w:bCs/>
                <w:snapToGrid w:val="0"/>
                <w:color w:val="000000"/>
                <w:kern w:val="21"/>
                <w:szCs w:val="21"/>
              </w:rPr>
              <w:t>废水</w:t>
            </w:r>
          </w:p>
        </w:tc>
        <w:tc>
          <w:tcPr>
            <w:tcW w:w="1569" w:type="dxa"/>
            <w:vAlign w:val="center"/>
          </w:tcPr>
          <w:p>
            <w:pPr>
              <w:spacing w:line="240" w:lineRule="auto"/>
              <w:jc w:val="center"/>
              <w:rPr>
                <w:sz w:val="21"/>
                <w:szCs w:val="21"/>
              </w:rPr>
            </w:pPr>
            <w:r>
              <w:rPr>
                <w:rFonts w:hint="eastAsia"/>
                <w:sz w:val="21"/>
                <w:szCs w:val="21"/>
              </w:rPr>
              <w:t>废水量</w:t>
            </w:r>
          </w:p>
        </w:tc>
        <w:tc>
          <w:tcPr>
            <w:tcW w:w="1549" w:type="dxa"/>
            <w:vAlign w:val="center"/>
          </w:tcPr>
          <w:p>
            <w:pPr>
              <w:spacing w:line="240" w:lineRule="auto"/>
              <w:jc w:val="center"/>
              <w:rPr>
                <w:sz w:val="21"/>
                <w:szCs w:val="21"/>
              </w:rPr>
            </w:pPr>
            <w:r>
              <w:rPr>
                <w:rFonts w:hint="eastAsia"/>
                <w:sz w:val="21"/>
                <w:szCs w:val="21"/>
              </w:rPr>
              <w:t>6038.4t/a</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vAlign w:val="center"/>
          </w:tcPr>
          <w:p>
            <w:pPr>
              <w:spacing w:line="240" w:lineRule="auto"/>
              <w:jc w:val="center"/>
              <w:rPr>
                <w:sz w:val="21"/>
                <w:szCs w:val="21"/>
              </w:rPr>
            </w:pPr>
            <w:r>
              <w:rPr>
                <w:sz w:val="21"/>
                <w:szCs w:val="21"/>
              </w:rPr>
              <w:t>COD</w:t>
            </w:r>
          </w:p>
        </w:tc>
        <w:tc>
          <w:tcPr>
            <w:tcW w:w="1549" w:type="dxa"/>
            <w:vAlign w:val="center"/>
          </w:tcPr>
          <w:p>
            <w:pPr>
              <w:spacing w:line="240" w:lineRule="auto"/>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vAlign w:val="center"/>
          </w:tcPr>
          <w:p>
            <w:pPr>
              <w:spacing w:line="240" w:lineRule="auto"/>
              <w:jc w:val="center"/>
              <w:rPr>
                <w:sz w:val="21"/>
                <w:szCs w:val="21"/>
              </w:rPr>
            </w:pPr>
            <w:r>
              <w:rPr>
                <w:snapToGrid w:val="0"/>
                <w:sz w:val="21"/>
                <w:szCs w:val="21"/>
              </w:rPr>
              <w:t>SS</w:t>
            </w:r>
          </w:p>
        </w:tc>
        <w:tc>
          <w:tcPr>
            <w:tcW w:w="1549" w:type="dxa"/>
            <w:vAlign w:val="center"/>
          </w:tcPr>
          <w:p>
            <w:pPr>
              <w:spacing w:line="240" w:lineRule="auto"/>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vAlign w:val="center"/>
          </w:tcPr>
          <w:p>
            <w:pPr>
              <w:spacing w:line="240" w:lineRule="auto"/>
              <w:jc w:val="center"/>
              <w:rPr>
                <w:sz w:val="21"/>
                <w:szCs w:val="21"/>
              </w:rPr>
            </w:pPr>
            <w:r>
              <w:rPr>
                <w:snapToGrid w:val="0"/>
                <w:sz w:val="21"/>
                <w:szCs w:val="21"/>
              </w:rPr>
              <w:t>NH</w:t>
            </w:r>
            <w:r>
              <w:rPr>
                <w:snapToGrid w:val="0"/>
                <w:sz w:val="21"/>
                <w:szCs w:val="21"/>
                <w:vertAlign w:val="subscript"/>
              </w:rPr>
              <w:t>3</w:t>
            </w:r>
            <w:r>
              <w:rPr>
                <w:snapToGrid w:val="0"/>
                <w:sz w:val="21"/>
                <w:szCs w:val="21"/>
              </w:rPr>
              <w:t>-N</w:t>
            </w:r>
          </w:p>
        </w:tc>
        <w:tc>
          <w:tcPr>
            <w:tcW w:w="1549" w:type="dxa"/>
            <w:vAlign w:val="center"/>
          </w:tcPr>
          <w:p>
            <w:pPr>
              <w:spacing w:line="240" w:lineRule="auto"/>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vAlign w:val="center"/>
          </w:tcPr>
          <w:p>
            <w:pPr>
              <w:spacing w:line="240" w:lineRule="auto"/>
              <w:jc w:val="center"/>
              <w:rPr>
                <w:snapToGrid w:val="0"/>
                <w:sz w:val="21"/>
                <w:szCs w:val="21"/>
              </w:rPr>
            </w:pPr>
            <w:r>
              <w:rPr>
                <w:rFonts w:hint="eastAsia"/>
                <w:snapToGrid w:val="0"/>
                <w:sz w:val="21"/>
                <w:szCs w:val="21"/>
              </w:rPr>
              <w:t>TP</w:t>
            </w:r>
          </w:p>
        </w:tc>
        <w:tc>
          <w:tcPr>
            <w:tcW w:w="1549" w:type="dxa"/>
            <w:vAlign w:val="center"/>
          </w:tcPr>
          <w:p>
            <w:pPr>
              <w:spacing w:line="240" w:lineRule="auto"/>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vAlign w:val="center"/>
          </w:tcPr>
          <w:p>
            <w:pPr>
              <w:spacing w:line="240" w:lineRule="auto"/>
              <w:jc w:val="center"/>
              <w:rPr>
                <w:snapToGrid w:val="0"/>
                <w:sz w:val="21"/>
                <w:szCs w:val="21"/>
              </w:rPr>
            </w:pPr>
            <w:r>
              <w:rPr>
                <w:rFonts w:hint="eastAsia"/>
                <w:snapToGrid w:val="0"/>
                <w:sz w:val="21"/>
                <w:szCs w:val="21"/>
              </w:rPr>
              <w:t>TN</w:t>
            </w:r>
          </w:p>
        </w:tc>
        <w:tc>
          <w:tcPr>
            <w:tcW w:w="1549" w:type="dxa"/>
            <w:vAlign w:val="center"/>
          </w:tcPr>
          <w:p>
            <w:pPr>
              <w:spacing w:line="240" w:lineRule="auto"/>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0</w:t>
            </w:r>
          </w:p>
        </w:tc>
        <w:tc>
          <w:tcPr>
            <w:tcW w:w="1419" w:type="dxa"/>
            <w:vAlign w:val="center"/>
          </w:tcPr>
          <w:p>
            <w:pPr>
              <w:spacing w:line="240" w:lineRule="auto"/>
              <w:jc w:val="center"/>
              <w:rPr>
                <w:kern w:val="0"/>
                <w:sz w:val="21"/>
                <w:szCs w:val="21"/>
              </w:rPr>
            </w:pPr>
            <w:r>
              <w:rPr>
                <w:rFonts w:hint="eastAsia"/>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Align w:val="center"/>
          </w:tcPr>
          <w:p>
            <w:pPr>
              <w:pStyle w:val="84"/>
              <w:widowControl w:val="0"/>
              <w:spacing w:beforeLines="0" w:afterLines="0" w:line="240" w:lineRule="auto"/>
              <w:ind w:firstLine="0"/>
              <w:rPr>
                <w:rFonts w:ascii="Times New Roman" w:cs="宋体"/>
                <w:bCs/>
                <w:snapToGrid w:val="0"/>
                <w:color w:val="000000"/>
                <w:kern w:val="21"/>
                <w:szCs w:val="21"/>
              </w:rPr>
            </w:pPr>
            <w:r>
              <w:rPr>
                <w:rFonts w:hint="eastAsia" w:ascii="Times New Roman" w:cs="宋体"/>
                <w:bCs/>
                <w:snapToGrid w:val="0"/>
                <w:color w:val="000000"/>
                <w:kern w:val="21"/>
                <w:szCs w:val="21"/>
              </w:rPr>
              <w:t>生活垃圾</w:t>
            </w:r>
          </w:p>
        </w:tc>
        <w:tc>
          <w:tcPr>
            <w:tcW w:w="1569" w:type="dxa"/>
            <w:vAlign w:val="center"/>
          </w:tcPr>
          <w:p>
            <w:pPr>
              <w:spacing w:line="240" w:lineRule="auto"/>
              <w:jc w:val="center"/>
              <w:rPr>
                <w:snapToGrid w:val="0"/>
                <w:sz w:val="21"/>
                <w:szCs w:val="21"/>
              </w:rPr>
            </w:pPr>
            <w:r>
              <w:rPr>
                <w:snapToGrid w:val="0"/>
                <w:sz w:val="21"/>
                <w:szCs w:val="21"/>
              </w:rPr>
              <w:t>生活垃圾</w:t>
            </w:r>
          </w:p>
        </w:tc>
        <w:tc>
          <w:tcPr>
            <w:tcW w:w="1549" w:type="dxa"/>
            <w:vAlign w:val="center"/>
          </w:tcPr>
          <w:p>
            <w:pPr>
              <w:spacing w:line="240" w:lineRule="auto"/>
              <w:jc w:val="center"/>
              <w:rPr>
                <w:sz w:val="21"/>
                <w:szCs w:val="21"/>
              </w:rPr>
            </w:pPr>
            <w:r>
              <w:rPr>
                <w:rFonts w:hint="eastAsia"/>
                <w:sz w:val="21"/>
                <w:szCs w:val="21"/>
              </w:rPr>
              <w:t>1.05t/a</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spacing w:line="240" w:lineRule="auto"/>
              <w:jc w:val="center"/>
              <w:rPr>
                <w:sz w:val="21"/>
                <w:szCs w:val="21"/>
              </w:rPr>
            </w:pPr>
            <w:r>
              <w:rPr>
                <w:rFonts w:hint="eastAsia"/>
                <w:sz w:val="21"/>
                <w:szCs w:val="21"/>
              </w:rPr>
              <w:t>1.05t/a</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84"/>
              <w:widowControl w:val="0"/>
              <w:spacing w:beforeLines="0" w:afterLines="0" w:line="240" w:lineRule="auto"/>
              <w:ind w:firstLine="0"/>
              <w:rPr>
                <w:rFonts w:ascii="Times New Roman" w:cs="宋体"/>
                <w:bCs/>
                <w:snapToGrid w:val="0"/>
                <w:color w:val="000000"/>
                <w:kern w:val="21"/>
                <w:szCs w:val="21"/>
              </w:rPr>
            </w:pPr>
            <w:r>
              <w:rPr>
                <w:rFonts w:hint="eastAsia" w:ascii="Times New Roman" w:cs="宋体"/>
                <w:bCs/>
                <w:snapToGrid w:val="0"/>
                <w:color w:val="000000"/>
                <w:kern w:val="21"/>
                <w:szCs w:val="21"/>
              </w:rPr>
              <w:t>一般工业固体废物</w:t>
            </w:r>
          </w:p>
        </w:tc>
        <w:tc>
          <w:tcPr>
            <w:tcW w:w="1569" w:type="dxa"/>
            <w:vAlign w:val="center"/>
          </w:tcPr>
          <w:p>
            <w:pPr>
              <w:spacing w:line="240" w:lineRule="auto"/>
              <w:jc w:val="center"/>
              <w:rPr>
                <w:sz w:val="21"/>
                <w:szCs w:val="21"/>
              </w:rPr>
            </w:pPr>
            <w:r>
              <w:rPr>
                <w:rFonts w:hint="eastAsia"/>
                <w:sz w:val="21"/>
                <w:szCs w:val="21"/>
              </w:rPr>
              <w:t>废编织袋</w:t>
            </w:r>
          </w:p>
        </w:tc>
        <w:tc>
          <w:tcPr>
            <w:tcW w:w="1549" w:type="dxa"/>
            <w:vAlign w:val="center"/>
          </w:tcPr>
          <w:p>
            <w:pPr>
              <w:jc w:val="center"/>
              <w:rPr>
                <w:sz w:val="21"/>
                <w:szCs w:val="21"/>
              </w:rPr>
            </w:pPr>
            <w:r>
              <w:rPr>
                <w:rFonts w:hint="eastAsia"/>
                <w:sz w:val="21"/>
                <w:szCs w:val="21"/>
              </w:rPr>
              <w:t>2.02t/a</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jc w:val="center"/>
              <w:rPr>
                <w:sz w:val="21"/>
                <w:szCs w:val="21"/>
              </w:rPr>
            </w:pPr>
            <w:r>
              <w:rPr>
                <w:rFonts w:hint="eastAsia"/>
                <w:sz w:val="21"/>
                <w:szCs w:val="21"/>
              </w:rPr>
              <w:t>2.02 t/a</w:t>
            </w:r>
          </w:p>
        </w:tc>
        <w:tc>
          <w:tcPr>
            <w:tcW w:w="1419" w:type="dxa"/>
            <w:vAlign w:val="center"/>
          </w:tcPr>
          <w:p>
            <w:pPr>
              <w:spacing w:line="240" w:lineRule="auto"/>
              <w:jc w:val="center"/>
              <w:rPr>
                <w:sz w:val="21"/>
                <w:szCs w:val="21"/>
              </w:rPr>
            </w:pPr>
            <w:r>
              <w:rPr>
                <w:rFonts w:hint="eastAsia"/>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tcBorders>
              <w:bottom w:val="single" w:color="auto" w:sz="4" w:space="0"/>
            </w:tcBorders>
            <w:vAlign w:val="center"/>
          </w:tcPr>
          <w:p>
            <w:pPr>
              <w:spacing w:line="240" w:lineRule="auto"/>
              <w:jc w:val="center"/>
              <w:rPr>
                <w:sz w:val="21"/>
                <w:szCs w:val="21"/>
              </w:rPr>
            </w:pPr>
            <w:r>
              <w:rPr>
                <w:rFonts w:hint="eastAsia"/>
                <w:sz w:val="21"/>
                <w:szCs w:val="21"/>
              </w:rPr>
              <w:t>病死蛙</w:t>
            </w:r>
          </w:p>
        </w:tc>
        <w:tc>
          <w:tcPr>
            <w:tcW w:w="1549" w:type="dxa"/>
            <w:vAlign w:val="center"/>
          </w:tcPr>
          <w:p>
            <w:pPr>
              <w:jc w:val="center"/>
              <w:rPr>
                <w:sz w:val="21"/>
                <w:szCs w:val="21"/>
              </w:rPr>
            </w:pPr>
            <w:r>
              <w:rPr>
                <w:rFonts w:hint="eastAsia"/>
                <w:sz w:val="21"/>
                <w:szCs w:val="21"/>
              </w:rPr>
              <w:t>3.5t/a</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jc w:val="center"/>
              <w:rPr>
                <w:sz w:val="21"/>
                <w:szCs w:val="21"/>
              </w:rPr>
            </w:pPr>
            <w:r>
              <w:rPr>
                <w:rFonts w:hint="eastAsia"/>
                <w:sz w:val="21"/>
                <w:szCs w:val="21"/>
                <w:lang w:val="en-US" w:eastAsia="zh-CN"/>
              </w:rPr>
              <w:t>3</w:t>
            </w:r>
            <w:r>
              <w:rPr>
                <w:rFonts w:hint="eastAsia"/>
                <w:sz w:val="21"/>
                <w:szCs w:val="21"/>
              </w:rPr>
              <w:t>.5t/a</w:t>
            </w:r>
          </w:p>
        </w:tc>
        <w:tc>
          <w:tcPr>
            <w:tcW w:w="1419" w:type="dxa"/>
            <w:vAlign w:val="center"/>
          </w:tcPr>
          <w:p>
            <w:pPr>
              <w:spacing w:line="240" w:lineRule="auto"/>
              <w:jc w:val="center"/>
              <w:rPr>
                <w:sz w:val="21"/>
                <w:szCs w:val="21"/>
              </w:rPr>
            </w:pPr>
            <w:r>
              <w:rPr>
                <w:rFonts w:hint="eastAsia"/>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84"/>
              <w:widowControl w:val="0"/>
              <w:spacing w:beforeLines="0" w:afterLines="0" w:line="240" w:lineRule="auto"/>
              <w:ind w:firstLine="0"/>
              <w:rPr>
                <w:rFonts w:ascii="Times New Roman" w:cs="宋体"/>
                <w:bCs/>
                <w:snapToGrid w:val="0"/>
                <w:color w:val="000000"/>
                <w:kern w:val="21"/>
                <w:szCs w:val="21"/>
              </w:rPr>
            </w:pPr>
          </w:p>
        </w:tc>
        <w:tc>
          <w:tcPr>
            <w:tcW w:w="1569" w:type="dxa"/>
            <w:tcBorders>
              <w:bottom w:val="single" w:color="auto" w:sz="4" w:space="0"/>
            </w:tcBorders>
            <w:vAlign w:val="center"/>
          </w:tcPr>
          <w:p>
            <w:pPr>
              <w:spacing w:line="240" w:lineRule="auto"/>
              <w:jc w:val="center"/>
              <w:rPr>
                <w:sz w:val="21"/>
                <w:szCs w:val="21"/>
              </w:rPr>
            </w:pPr>
            <w:r>
              <w:rPr>
                <w:rFonts w:hint="eastAsia"/>
                <w:sz w:val="21"/>
                <w:szCs w:val="21"/>
                <w:lang w:val="en-US" w:eastAsia="zh-CN"/>
              </w:rPr>
              <w:t>污水处理污</w:t>
            </w:r>
            <w:r>
              <w:rPr>
                <w:rFonts w:hint="eastAsia"/>
                <w:sz w:val="21"/>
                <w:szCs w:val="21"/>
              </w:rPr>
              <w:t>泥</w:t>
            </w:r>
          </w:p>
        </w:tc>
        <w:tc>
          <w:tcPr>
            <w:tcW w:w="1549" w:type="dxa"/>
            <w:vAlign w:val="center"/>
          </w:tcPr>
          <w:p>
            <w:pPr>
              <w:jc w:val="center"/>
              <w:rPr>
                <w:sz w:val="21"/>
                <w:szCs w:val="21"/>
              </w:rPr>
            </w:pPr>
            <w:r>
              <w:rPr>
                <w:rFonts w:hint="eastAsia"/>
                <w:sz w:val="21"/>
                <w:szCs w:val="21"/>
              </w:rPr>
              <w:t>100t/a</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jc w:val="center"/>
              <w:rPr>
                <w:sz w:val="21"/>
                <w:szCs w:val="21"/>
              </w:rPr>
            </w:pPr>
            <w:r>
              <w:rPr>
                <w:rFonts w:hint="eastAsia"/>
                <w:sz w:val="21"/>
                <w:szCs w:val="21"/>
              </w:rPr>
              <w:t>100t/a</w:t>
            </w:r>
          </w:p>
        </w:tc>
        <w:tc>
          <w:tcPr>
            <w:tcW w:w="1419" w:type="dxa"/>
            <w:vAlign w:val="center"/>
          </w:tcPr>
          <w:p>
            <w:pPr>
              <w:spacing w:line="240" w:lineRule="auto"/>
              <w:jc w:val="center"/>
              <w:rPr>
                <w:kern w:val="0"/>
                <w:sz w:val="21"/>
                <w:szCs w:val="21"/>
              </w:rPr>
            </w:pPr>
            <w:r>
              <w:rPr>
                <w:rFonts w:hint="eastAsia"/>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Align w:val="center"/>
          </w:tcPr>
          <w:p>
            <w:pPr>
              <w:pStyle w:val="84"/>
              <w:widowControl w:val="0"/>
              <w:spacing w:before="31" w:after="31"/>
              <w:ind w:firstLine="0"/>
              <w:rPr>
                <w:rFonts w:ascii="Times New Roman" w:cs="宋体"/>
                <w:bCs/>
                <w:snapToGrid w:val="0"/>
                <w:color w:val="000000"/>
                <w:kern w:val="21"/>
                <w:szCs w:val="21"/>
              </w:rPr>
            </w:pPr>
            <w:r>
              <w:rPr>
                <w:rFonts w:hint="eastAsia" w:ascii="Times New Roman" w:cs="宋体"/>
                <w:bCs/>
                <w:snapToGrid w:val="0"/>
                <w:color w:val="000000"/>
                <w:kern w:val="21"/>
                <w:szCs w:val="21"/>
              </w:rPr>
              <w:t>危险废物</w:t>
            </w:r>
          </w:p>
        </w:tc>
        <w:tc>
          <w:tcPr>
            <w:tcW w:w="1569" w:type="dxa"/>
            <w:tcBorders>
              <w:top w:val="single" w:color="auto" w:sz="4" w:space="0"/>
            </w:tcBorders>
            <w:vAlign w:val="center"/>
          </w:tcPr>
          <w:p>
            <w:pPr>
              <w:jc w:val="center"/>
              <w:rPr>
                <w:sz w:val="21"/>
                <w:szCs w:val="21"/>
              </w:rPr>
            </w:pPr>
            <w:r>
              <w:rPr>
                <w:rFonts w:hint="eastAsia"/>
                <w:sz w:val="21"/>
                <w:szCs w:val="21"/>
              </w:rPr>
              <w:t>/</w:t>
            </w:r>
          </w:p>
        </w:tc>
        <w:tc>
          <w:tcPr>
            <w:tcW w:w="1549" w:type="dxa"/>
            <w:vAlign w:val="center"/>
          </w:tcPr>
          <w:p>
            <w:pPr>
              <w:jc w:val="center"/>
              <w:rPr>
                <w:sz w:val="21"/>
                <w:szCs w:val="21"/>
              </w:rPr>
            </w:pPr>
            <w:r>
              <w:rPr>
                <w:rFonts w:hint="eastAsia"/>
                <w:sz w:val="21"/>
                <w:szCs w:val="21"/>
              </w:rPr>
              <w:t>0</w:t>
            </w:r>
          </w:p>
        </w:tc>
        <w:tc>
          <w:tcPr>
            <w:tcW w:w="1276"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701" w:type="dxa"/>
            <w:vAlign w:val="center"/>
          </w:tcPr>
          <w:p>
            <w:pPr>
              <w:pStyle w:val="84"/>
              <w:widowControl w:val="0"/>
              <w:spacing w:beforeLines="0" w:afterLines="0" w:line="240" w:lineRule="auto"/>
              <w:ind w:firstLine="0"/>
              <w:rPr>
                <w:rFonts w:ascii="Times New Roman" w:cs="宋体"/>
                <w:snapToGrid w:val="0"/>
                <w:color w:val="000000"/>
                <w:kern w:val="21"/>
                <w:szCs w:val="21"/>
              </w:rPr>
            </w:pPr>
            <w:r>
              <w:rPr>
                <w:rFonts w:hint="eastAsia" w:ascii="Times New Roman" w:cs="宋体"/>
                <w:snapToGrid w:val="0"/>
                <w:color w:val="000000"/>
                <w:kern w:val="21"/>
                <w:szCs w:val="21"/>
              </w:rPr>
              <w:t>0</w:t>
            </w:r>
          </w:p>
        </w:tc>
        <w:tc>
          <w:tcPr>
            <w:tcW w:w="1559" w:type="dxa"/>
            <w:vAlign w:val="center"/>
          </w:tcPr>
          <w:p>
            <w:pPr>
              <w:spacing w:line="240" w:lineRule="auto"/>
              <w:jc w:val="center"/>
              <w:rPr>
                <w:sz w:val="21"/>
                <w:szCs w:val="21"/>
              </w:rPr>
            </w:pPr>
            <w:r>
              <w:rPr>
                <w:rFonts w:hint="eastAsia"/>
                <w:sz w:val="21"/>
                <w:szCs w:val="21"/>
              </w:rPr>
              <w:t>0</w:t>
            </w:r>
          </w:p>
        </w:tc>
        <w:tc>
          <w:tcPr>
            <w:tcW w:w="1761" w:type="dxa"/>
            <w:vAlign w:val="center"/>
          </w:tcPr>
          <w:p>
            <w:pPr>
              <w:spacing w:line="240" w:lineRule="auto"/>
              <w:jc w:val="center"/>
              <w:rPr>
                <w:sz w:val="21"/>
                <w:szCs w:val="21"/>
              </w:rPr>
            </w:pPr>
            <w:r>
              <w:rPr>
                <w:rFonts w:hint="eastAsia"/>
                <w:sz w:val="21"/>
                <w:szCs w:val="21"/>
              </w:rPr>
              <w:t>0</w:t>
            </w:r>
          </w:p>
        </w:tc>
        <w:tc>
          <w:tcPr>
            <w:tcW w:w="1855" w:type="dxa"/>
            <w:vAlign w:val="center"/>
          </w:tcPr>
          <w:p>
            <w:pPr>
              <w:jc w:val="center"/>
              <w:rPr>
                <w:sz w:val="21"/>
                <w:szCs w:val="21"/>
              </w:rPr>
            </w:pPr>
            <w:r>
              <w:rPr>
                <w:rFonts w:hint="eastAsia"/>
                <w:sz w:val="21"/>
                <w:szCs w:val="21"/>
              </w:rPr>
              <w:t>0</w:t>
            </w:r>
          </w:p>
        </w:tc>
        <w:tc>
          <w:tcPr>
            <w:tcW w:w="1419" w:type="dxa"/>
            <w:vAlign w:val="center"/>
          </w:tcPr>
          <w:p>
            <w:pPr>
              <w:spacing w:line="240" w:lineRule="auto"/>
              <w:jc w:val="center"/>
              <w:rPr>
                <w:sz w:val="21"/>
                <w:szCs w:val="21"/>
              </w:rPr>
            </w:pPr>
            <w:r>
              <w:rPr>
                <w:rFonts w:hint="eastAsia"/>
                <w:kern w:val="0"/>
                <w:sz w:val="21"/>
                <w:szCs w:val="21"/>
              </w:rPr>
              <w:t>0</w:t>
            </w:r>
          </w:p>
        </w:tc>
      </w:tr>
    </w:tbl>
    <w:p>
      <w:pPr>
        <w:pStyle w:val="84"/>
        <w:spacing w:beforeLines="30" w:after="31" w:line="260" w:lineRule="auto"/>
        <w:ind w:firstLine="422"/>
        <w:jc w:val="left"/>
        <w:rPr>
          <w:rFonts w:ascii="Times New Roman"/>
          <w:snapToGrid w:val="0"/>
          <w:color w:val="000000"/>
          <w:spacing w:val="-6"/>
          <w:kern w:val="21"/>
          <w:szCs w:val="21"/>
        </w:rPr>
        <w:sectPr>
          <w:headerReference r:id="rId12" w:type="default"/>
          <w:footerReference r:id="rId13" w:type="default"/>
          <w:pgSz w:w="16838" w:h="11906" w:orient="landscape"/>
          <w:pgMar w:top="1587" w:right="1474" w:bottom="1361" w:left="1474" w:header="851" w:footer="992" w:gutter="0"/>
          <w:cols w:space="720" w:num="1"/>
          <w:docGrid w:type="lines" w:linePitch="312" w:charSpace="0"/>
        </w:sectPr>
      </w:pPr>
      <w:r>
        <w:rPr>
          <w:rFonts w:ascii="Times New Roman"/>
          <w:b/>
          <w:bCs/>
          <w:snapToGrid w:val="0"/>
          <w:color w:val="000000"/>
          <w:kern w:val="21"/>
          <w:szCs w:val="21"/>
        </w:rPr>
        <w:t>注：</w:t>
      </w:r>
      <w:r>
        <w:rPr>
          <w:rFonts w:ascii="Times New Roman"/>
          <w:b/>
          <w:bCs/>
          <w:snapToGrid w:val="0"/>
          <w:color w:val="000000"/>
          <w:spacing w:val="-16"/>
          <w:kern w:val="21"/>
          <w:szCs w:val="21"/>
        </w:rPr>
        <w:fldChar w:fldCharType="begin"/>
      </w:r>
      <w:r>
        <w:rPr>
          <w:rFonts w:ascii="Times New Roman"/>
          <w:b/>
          <w:bCs/>
          <w:snapToGrid w:val="0"/>
          <w:color w:val="000000"/>
          <w:spacing w:val="-16"/>
          <w:kern w:val="21"/>
          <w:szCs w:val="21"/>
        </w:rPr>
        <w:instrText xml:space="preserve"> = 6 \* GB3 \* MERGEFORMAT </w:instrText>
      </w:r>
      <w:r>
        <w:rPr>
          <w:rFonts w:ascii="Times New Roman"/>
          <w:b/>
          <w:bCs/>
          <w:snapToGrid w:val="0"/>
          <w:color w:val="000000"/>
          <w:spacing w:val="-16"/>
          <w:kern w:val="21"/>
          <w:szCs w:val="21"/>
        </w:rPr>
        <w:fldChar w:fldCharType="separate"/>
      </w:r>
      <w:r>
        <w:rPr>
          <w:rFonts w:ascii="Times New Roman"/>
          <w:b/>
          <w:bCs/>
          <w:szCs w:val="21"/>
        </w:rPr>
        <w:t>⑥</w:t>
      </w:r>
      <w:r>
        <w:rPr>
          <w:rFonts w:ascii="Times New Roman"/>
          <w:b/>
          <w:bCs/>
          <w:snapToGrid w:val="0"/>
          <w:color w:val="000000"/>
          <w:spacing w:val="-16"/>
          <w:kern w:val="21"/>
          <w:szCs w:val="21"/>
        </w:rPr>
        <w:fldChar w:fldCharType="end"/>
      </w:r>
      <w:r>
        <w:rPr>
          <w:rFonts w:ascii="Times New Roman"/>
          <w:b/>
          <w:bCs/>
          <w:snapToGrid w:val="0"/>
          <w:color w:val="000000"/>
          <w:spacing w:val="-16"/>
          <w:kern w:val="21"/>
          <w:szCs w:val="21"/>
        </w:rPr>
        <w:t>=</w:t>
      </w:r>
      <w:r>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1 \* GB3 \* MERGEFORMAT </w:instrText>
      </w:r>
      <w:r>
        <w:rPr>
          <w:rFonts w:ascii="Times New Roman"/>
          <w:b/>
          <w:bCs/>
          <w:snapToGrid w:val="0"/>
          <w:color w:val="000000"/>
          <w:spacing w:val="-6"/>
          <w:kern w:val="21"/>
          <w:szCs w:val="21"/>
        </w:rPr>
        <w:fldChar w:fldCharType="separate"/>
      </w:r>
      <w:r>
        <w:rPr>
          <w:rFonts w:ascii="Times New Roman"/>
          <w:b/>
          <w:bCs/>
          <w:szCs w:val="21"/>
        </w:rPr>
        <w:t>①</w:t>
      </w:r>
      <w:r>
        <w:rPr>
          <w:rFonts w:ascii="Times New Roman"/>
          <w:b/>
          <w:bCs/>
          <w:snapToGrid w:val="0"/>
          <w:color w:val="000000"/>
          <w:spacing w:val="-6"/>
          <w:kern w:val="21"/>
          <w:szCs w:val="21"/>
        </w:rPr>
        <w:fldChar w:fldCharType="end"/>
      </w:r>
      <w:r>
        <w:rPr>
          <w:rFonts w:ascii="Times New Roman"/>
          <w:b/>
          <w:bCs/>
          <w:snapToGrid w:val="0"/>
          <w:color w:val="000000"/>
          <w:spacing w:val="-6"/>
          <w:kern w:val="21"/>
          <w:szCs w:val="21"/>
        </w:rPr>
        <w:t>+</w:t>
      </w:r>
      <w:r>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3 \* GB3 \* MERGEFORMAT </w:instrText>
      </w:r>
      <w:r>
        <w:rPr>
          <w:rFonts w:ascii="Times New Roman"/>
          <w:b/>
          <w:bCs/>
          <w:snapToGrid w:val="0"/>
          <w:color w:val="000000"/>
          <w:spacing w:val="-6"/>
          <w:kern w:val="21"/>
          <w:szCs w:val="21"/>
        </w:rPr>
        <w:fldChar w:fldCharType="separate"/>
      </w:r>
      <w:r>
        <w:rPr>
          <w:rFonts w:ascii="Times New Roman"/>
          <w:b/>
          <w:bCs/>
          <w:szCs w:val="21"/>
        </w:rPr>
        <w:t>③</w:t>
      </w:r>
      <w:r>
        <w:rPr>
          <w:rFonts w:ascii="Times New Roman"/>
          <w:b/>
          <w:bCs/>
          <w:snapToGrid w:val="0"/>
          <w:color w:val="000000"/>
          <w:spacing w:val="-6"/>
          <w:kern w:val="21"/>
          <w:szCs w:val="21"/>
        </w:rPr>
        <w:fldChar w:fldCharType="end"/>
      </w:r>
      <w:r>
        <w:rPr>
          <w:rFonts w:ascii="Times New Roman"/>
          <w:b/>
          <w:bCs/>
          <w:snapToGrid w:val="0"/>
          <w:color w:val="000000"/>
          <w:spacing w:val="-6"/>
          <w:kern w:val="21"/>
          <w:szCs w:val="21"/>
        </w:rPr>
        <w:t>+</w:t>
      </w:r>
      <w:r>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4 \* GB3 \* MERGEFORMAT </w:instrText>
      </w:r>
      <w:r>
        <w:rPr>
          <w:rFonts w:ascii="Times New Roman"/>
          <w:b/>
          <w:bCs/>
          <w:snapToGrid w:val="0"/>
          <w:color w:val="000000"/>
          <w:spacing w:val="-6"/>
          <w:kern w:val="21"/>
          <w:szCs w:val="21"/>
        </w:rPr>
        <w:fldChar w:fldCharType="separate"/>
      </w:r>
      <w:r>
        <w:rPr>
          <w:rFonts w:ascii="Times New Roman"/>
          <w:b/>
          <w:bCs/>
          <w:szCs w:val="21"/>
        </w:rPr>
        <w:t>④</w:t>
      </w:r>
      <w:r>
        <w:rPr>
          <w:rFonts w:ascii="Times New Roman"/>
          <w:b/>
          <w:bCs/>
          <w:snapToGrid w:val="0"/>
          <w:color w:val="000000"/>
          <w:spacing w:val="-6"/>
          <w:kern w:val="21"/>
          <w:szCs w:val="21"/>
        </w:rPr>
        <w:fldChar w:fldCharType="end"/>
      </w:r>
      <w:r>
        <w:rPr>
          <w:rFonts w:ascii="Times New Roman"/>
          <w:b/>
          <w:bCs/>
          <w:snapToGrid w:val="0"/>
          <w:color w:val="000000"/>
          <w:spacing w:val="-6"/>
          <w:kern w:val="21"/>
          <w:szCs w:val="21"/>
        </w:rPr>
        <w:t>-</w:t>
      </w:r>
      <w:r>
        <w:rPr>
          <w:rFonts w:ascii="Times New Roman"/>
          <w:b/>
          <w:bCs/>
          <w:snapToGrid w:val="0"/>
          <w:color w:val="000000"/>
          <w:spacing w:val="-16"/>
          <w:kern w:val="21"/>
          <w:szCs w:val="21"/>
        </w:rPr>
        <w:fldChar w:fldCharType="begin"/>
      </w:r>
      <w:r>
        <w:rPr>
          <w:rFonts w:ascii="Times New Roman"/>
          <w:b/>
          <w:bCs/>
          <w:snapToGrid w:val="0"/>
          <w:color w:val="000000"/>
          <w:spacing w:val="-16"/>
          <w:kern w:val="21"/>
          <w:szCs w:val="21"/>
        </w:rPr>
        <w:instrText xml:space="preserve"> = 5 \* GB3 \* MERGEFORMAT </w:instrText>
      </w:r>
      <w:r>
        <w:rPr>
          <w:rFonts w:ascii="Times New Roman"/>
          <w:b/>
          <w:bCs/>
          <w:snapToGrid w:val="0"/>
          <w:color w:val="000000"/>
          <w:spacing w:val="-16"/>
          <w:kern w:val="21"/>
          <w:szCs w:val="21"/>
        </w:rPr>
        <w:fldChar w:fldCharType="separate"/>
      </w:r>
      <w:r>
        <w:rPr>
          <w:rFonts w:ascii="Times New Roman"/>
          <w:b/>
          <w:bCs/>
          <w:szCs w:val="21"/>
        </w:rPr>
        <w:t>⑤</w:t>
      </w:r>
      <w:r>
        <w:rPr>
          <w:rFonts w:ascii="Times New Roman"/>
          <w:b/>
          <w:bCs/>
          <w:snapToGrid w:val="0"/>
          <w:color w:val="000000"/>
          <w:spacing w:val="-16"/>
          <w:kern w:val="21"/>
          <w:szCs w:val="21"/>
        </w:rPr>
        <w:fldChar w:fldCharType="end"/>
      </w:r>
      <w:r>
        <w:rPr>
          <w:rFonts w:ascii="Times New Roman"/>
          <w:b/>
          <w:bCs/>
          <w:snapToGrid w:val="0"/>
          <w:color w:val="000000"/>
          <w:spacing w:val="-16"/>
          <w:kern w:val="21"/>
          <w:szCs w:val="21"/>
        </w:rPr>
        <w:t>；</w:t>
      </w:r>
      <w:r>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7 \* GB3 \* MERGEFORMAT </w:instrText>
      </w:r>
      <w:r>
        <w:rPr>
          <w:rFonts w:ascii="Times New Roman"/>
          <w:b/>
          <w:bCs/>
          <w:snapToGrid w:val="0"/>
          <w:color w:val="000000"/>
          <w:spacing w:val="-6"/>
          <w:kern w:val="21"/>
          <w:szCs w:val="21"/>
        </w:rPr>
        <w:fldChar w:fldCharType="separate"/>
      </w:r>
      <w:r>
        <w:rPr>
          <w:rFonts w:ascii="Times New Roman"/>
          <w:b/>
          <w:bCs/>
          <w:szCs w:val="21"/>
        </w:rPr>
        <w:t>⑦</w:t>
      </w:r>
      <w:r>
        <w:rPr>
          <w:rFonts w:ascii="Times New Roman"/>
          <w:b/>
          <w:bCs/>
          <w:snapToGrid w:val="0"/>
          <w:color w:val="000000"/>
          <w:spacing w:val="-6"/>
          <w:kern w:val="21"/>
          <w:szCs w:val="21"/>
        </w:rPr>
        <w:fldChar w:fldCharType="end"/>
      </w:r>
      <w:r>
        <w:rPr>
          <w:rFonts w:ascii="Times New Roman"/>
          <w:b/>
          <w:bCs/>
          <w:snapToGrid w:val="0"/>
          <w:color w:val="000000"/>
          <w:spacing w:val="-6"/>
          <w:kern w:val="21"/>
          <w:szCs w:val="21"/>
        </w:rPr>
        <w:t>=</w:t>
      </w:r>
      <w:r>
        <w:rPr>
          <w:rFonts w:ascii="Times New Roman"/>
          <w:b/>
          <w:bCs/>
          <w:snapToGrid w:val="0"/>
          <w:color w:val="000000"/>
          <w:spacing w:val="-16"/>
          <w:kern w:val="21"/>
          <w:szCs w:val="21"/>
        </w:rPr>
        <w:fldChar w:fldCharType="begin"/>
      </w:r>
      <w:r>
        <w:rPr>
          <w:rFonts w:ascii="Times New Roman"/>
          <w:b/>
          <w:bCs/>
          <w:snapToGrid w:val="0"/>
          <w:color w:val="000000"/>
          <w:spacing w:val="-16"/>
          <w:kern w:val="21"/>
          <w:szCs w:val="21"/>
        </w:rPr>
        <w:instrText xml:space="preserve"> = 6 \* GB3 \* MERGEFORMAT </w:instrText>
      </w:r>
      <w:r>
        <w:rPr>
          <w:rFonts w:ascii="Times New Roman"/>
          <w:b/>
          <w:bCs/>
          <w:snapToGrid w:val="0"/>
          <w:color w:val="000000"/>
          <w:spacing w:val="-16"/>
          <w:kern w:val="21"/>
          <w:szCs w:val="21"/>
        </w:rPr>
        <w:fldChar w:fldCharType="separate"/>
      </w:r>
      <w:r>
        <w:rPr>
          <w:rFonts w:ascii="Times New Roman"/>
          <w:b/>
          <w:bCs/>
          <w:szCs w:val="21"/>
        </w:rPr>
        <w:t>⑥</w:t>
      </w:r>
      <w:r>
        <w:rPr>
          <w:rFonts w:ascii="Times New Roman"/>
          <w:b/>
          <w:bCs/>
          <w:snapToGrid w:val="0"/>
          <w:color w:val="000000"/>
          <w:spacing w:val="-16"/>
          <w:kern w:val="21"/>
          <w:szCs w:val="21"/>
        </w:rPr>
        <w:fldChar w:fldCharType="end"/>
      </w:r>
      <w:r>
        <w:rPr>
          <w:rFonts w:ascii="Times New Roman"/>
          <w:b/>
          <w:bCs/>
          <w:snapToGrid w:val="0"/>
          <w:color w:val="000000"/>
          <w:spacing w:val="-16"/>
          <w:kern w:val="21"/>
          <w:szCs w:val="21"/>
        </w:rPr>
        <w:t>-</w:t>
      </w:r>
      <w:r>
        <w:rPr>
          <w:rFonts w:ascii="Times New Roman"/>
          <w:b/>
          <w:bCs/>
          <w:snapToGrid w:val="0"/>
          <w:color w:val="000000"/>
          <w:spacing w:val="-6"/>
          <w:kern w:val="21"/>
          <w:szCs w:val="21"/>
        </w:rPr>
        <w:fldChar w:fldCharType="begin"/>
      </w:r>
      <w:r>
        <w:rPr>
          <w:rFonts w:ascii="Times New Roman"/>
          <w:b/>
          <w:bCs/>
          <w:snapToGrid w:val="0"/>
          <w:color w:val="000000"/>
          <w:spacing w:val="-6"/>
          <w:kern w:val="21"/>
          <w:szCs w:val="21"/>
        </w:rPr>
        <w:instrText xml:space="preserve"> = 1 \* GB3 \* MERGEFORMAT </w:instrText>
      </w:r>
      <w:r>
        <w:rPr>
          <w:rFonts w:ascii="Times New Roman"/>
          <w:b/>
          <w:bCs/>
          <w:snapToGrid w:val="0"/>
          <w:color w:val="000000"/>
          <w:spacing w:val="-6"/>
          <w:kern w:val="21"/>
          <w:szCs w:val="21"/>
        </w:rPr>
        <w:fldChar w:fldCharType="separate"/>
      </w:r>
      <w:r>
        <w:rPr>
          <w:rFonts w:ascii="Times New Roman"/>
          <w:b/>
          <w:bCs/>
          <w:szCs w:val="21"/>
        </w:rPr>
        <w:t>①</w:t>
      </w:r>
      <w:r>
        <w:rPr>
          <w:rFonts w:ascii="Times New Roman"/>
          <w:b/>
          <w:bCs/>
          <w:snapToGrid w:val="0"/>
          <w:color w:val="000000"/>
          <w:spacing w:val="-6"/>
          <w:kern w:val="21"/>
          <w:szCs w:val="21"/>
        </w:rPr>
        <w:fldChar w:fldCharType="end"/>
      </w:r>
    </w:p>
    <w:p>
      <w:pPr>
        <w:pStyle w:val="4"/>
        <w:keepNext w:val="0"/>
        <w:keepLines w:val="0"/>
        <w:numPr>
          <w:ilvl w:val="1"/>
          <w:numId w:val="0"/>
        </w:numPr>
        <w:tabs>
          <w:tab w:val="left" w:pos="360"/>
          <w:tab w:val="left" w:pos="432"/>
        </w:tabs>
        <w:spacing w:beforeLines="0" w:afterLines="0"/>
        <w:rPr>
          <w:rFonts w:ascii="宋体" w:hAnsi="宋体" w:cs="宋体"/>
          <w:kern w:val="13"/>
          <w:sz w:val="32"/>
        </w:rPr>
      </w:pPr>
      <w:bookmarkStart w:id="78" w:name="_Toc22020"/>
      <w:bookmarkStart w:id="79" w:name="_Toc19328"/>
      <w:r>
        <w:rPr>
          <w:rFonts w:hint="eastAsia" w:ascii="宋体" w:hAnsi="宋体" w:cs="宋体"/>
          <w:kern w:val="13"/>
          <w:sz w:val="32"/>
        </w:rPr>
        <w:t>附件</w:t>
      </w:r>
      <w:bookmarkEnd w:id="78"/>
      <w:bookmarkEnd w:id="79"/>
    </w:p>
    <w:p>
      <w:pPr>
        <w:pStyle w:val="4"/>
        <w:keepNext w:val="0"/>
        <w:keepLines w:val="0"/>
        <w:numPr>
          <w:ilvl w:val="1"/>
          <w:numId w:val="0"/>
        </w:numPr>
        <w:tabs>
          <w:tab w:val="left" w:pos="360"/>
          <w:tab w:val="left" w:pos="432"/>
        </w:tabs>
        <w:spacing w:beforeLines="0" w:afterLines="0"/>
        <w:rPr>
          <w:color w:val="000000"/>
          <w:kern w:val="2"/>
          <w:sz w:val="32"/>
        </w:rPr>
      </w:pPr>
      <w:bookmarkStart w:id="80" w:name="_Toc21802"/>
      <w:bookmarkStart w:id="81" w:name="_Toc31275"/>
      <w:r>
        <w:rPr>
          <w:rFonts w:hint="eastAsia"/>
          <w:color w:val="000000"/>
          <w:kern w:val="2"/>
          <w:sz w:val="32"/>
        </w:rPr>
        <w:t>附件1环评委托书</w:t>
      </w:r>
    </w:p>
    <w:bookmarkEnd w:id="80"/>
    <w:bookmarkEnd w:id="81"/>
    <w:p>
      <w:pPr>
        <w:widowControl/>
        <w:spacing w:line="240" w:lineRule="auto"/>
        <w:jc w:val="left"/>
        <w:rPr>
          <w:rFonts w:hint="eastAsia" w:eastAsia="宋体"/>
          <w:color w:val="000000"/>
          <w:sz w:val="32"/>
          <w:lang w:eastAsia="zh-CN"/>
        </w:rPr>
        <w:sectPr>
          <w:footerReference r:id="rId14" w:type="default"/>
          <w:pgSz w:w="11906" w:h="16838"/>
          <w:pgMar w:top="1701" w:right="1531" w:bottom="1701" w:left="1531" w:header="851" w:footer="851" w:gutter="0"/>
          <w:cols w:space="720" w:num="1"/>
          <w:docGrid w:linePitch="312" w:charSpace="0"/>
        </w:sectPr>
      </w:pPr>
      <w:r>
        <w:rPr>
          <w:rFonts w:hint="eastAsia" w:eastAsia="宋体"/>
          <w:color w:val="000000"/>
          <w:sz w:val="32"/>
          <w:lang w:eastAsia="zh-CN"/>
        </w:rPr>
        <w:drawing>
          <wp:inline distT="0" distB="0" distL="114300" distR="114300">
            <wp:extent cx="5613400" cy="7512050"/>
            <wp:effectExtent l="0" t="0" r="6350" b="12700"/>
            <wp:docPr id="48" name="图片 48" descr="微信图片_2024081609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40816093842"/>
                    <pic:cNvPicPr>
                      <a:picLocks noChangeAspect="1"/>
                    </pic:cNvPicPr>
                  </pic:nvPicPr>
                  <pic:blipFill>
                    <a:blip r:embed="rId28"/>
                    <a:stretch>
                      <a:fillRect/>
                    </a:stretch>
                  </pic:blipFill>
                  <pic:spPr>
                    <a:xfrm>
                      <a:off x="0" y="0"/>
                      <a:ext cx="5613400" cy="751205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附件2营业执照</w:t>
      </w:r>
    </w:p>
    <w:p>
      <w:pPr>
        <w:pStyle w:val="5"/>
      </w:pPr>
      <w:r>
        <w:drawing>
          <wp:inline distT="0" distB="0" distL="114300" distR="114300">
            <wp:extent cx="5611495" cy="7717790"/>
            <wp:effectExtent l="0" t="0" r="8255" b="16510"/>
            <wp:docPr id="61" name="图片 6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8"/>
                    <pic:cNvPicPr>
                      <a:picLocks noChangeAspect="1"/>
                    </pic:cNvPicPr>
                  </pic:nvPicPr>
                  <pic:blipFill>
                    <a:blip r:embed="rId29"/>
                    <a:stretch>
                      <a:fillRect/>
                    </a:stretch>
                  </pic:blipFill>
                  <pic:spPr>
                    <a:xfrm>
                      <a:off x="0" y="0"/>
                      <a:ext cx="5611495" cy="7717790"/>
                    </a:xfrm>
                    <a:prstGeom prst="rect">
                      <a:avLst/>
                    </a:prstGeom>
                  </pic:spPr>
                </pic:pic>
              </a:graphicData>
            </a:graphic>
          </wp:inline>
        </w:drawing>
      </w:r>
    </w:p>
    <w:p>
      <w:pPr>
        <w:pStyle w:val="7"/>
        <w:sectPr>
          <w:pgSz w:w="11906" w:h="16838"/>
          <w:pgMar w:top="1701" w:right="1531" w:bottom="1701" w:left="1531" w:header="851" w:footer="851" w:gutter="0"/>
          <w:cols w:space="720" w:num="1"/>
          <w:docGrid w:linePitch="312" w:charSpace="0"/>
        </w:sectPr>
      </w:pPr>
    </w:p>
    <w:p>
      <w:pPr>
        <w:pStyle w:val="4"/>
        <w:keepNext w:val="0"/>
        <w:keepLines w:val="0"/>
        <w:numPr>
          <w:ilvl w:val="1"/>
          <w:numId w:val="0"/>
        </w:numPr>
        <w:tabs>
          <w:tab w:val="left" w:pos="360"/>
          <w:tab w:val="left" w:pos="432"/>
        </w:tabs>
        <w:spacing w:beforeLines="0" w:afterLines="0"/>
      </w:pPr>
      <w:r>
        <w:rPr>
          <w:rFonts w:hint="eastAsia"/>
          <w:color w:val="000000"/>
          <w:kern w:val="2"/>
          <w:sz w:val="32"/>
        </w:rPr>
        <w:t>附件3项目行政处罚结案审批表及罚款收据</w:t>
      </w:r>
      <w:r>
        <w:drawing>
          <wp:inline distT="0" distB="0" distL="114300" distR="114300">
            <wp:extent cx="5609590" cy="7778750"/>
            <wp:effectExtent l="0" t="0" r="10160" b="12700"/>
            <wp:docPr id="63" name="图片 63" descr="新田县祥忠专业合作社罚款收据和结案.pdf(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新田县祥忠专业合作社罚款收据和结案.pdf(1)_01"/>
                    <pic:cNvPicPr>
                      <a:picLocks noChangeAspect="1"/>
                    </pic:cNvPicPr>
                  </pic:nvPicPr>
                  <pic:blipFill>
                    <a:blip r:embed="rId30"/>
                    <a:stretch>
                      <a:fillRect/>
                    </a:stretch>
                  </pic:blipFill>
                  <pic:spPr>
                    <a:xfrm>
                      <a:off x="0" y="0"/>
                      <a:ext cx="5609590" cy="7778750"/>
                    </a:xfrm>
                    <a:prstGeom prst="rect">
                      <a:avLst/>
                    </a:prstGeom>
                  </pic:spPr>
                </pic:pic>
              </a:graphicData>
            </a:graphic>
          </wp:inline>
        </w:drawing>
      </w:r>
      <w:r>
        <w:drawing>
          <wp:inline distT="0" distB="0" distL="114300" distR="114300">
            <wp:extent cx="5609590" cy="7999095"/>
            <wp:effectExtent l="0" t="0" r="10160" b="1905"/>
            <wp:docPr id="62" name="图片 62" descr="新田县祥忠专业合作社罚款收据和结案.pdf(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新田县祥忠专业合作社罚款收据和结案.pdf(1)_00"/>
                    <pic:cNvPicPr>
                      <a:picLocks noChangeAspect="1"/>
                    </pic:cNvPicPr>
                  </pic:nvPicPr>
                  <pic:blipFill>
                    <a:blip r:embed="rId31"/>
                    <a:stretch>
                      <a:fillRect/>
                    </a:stretch>
                  </pic:blipFill>
                  <pic:spPr>
                    <a:xfrm>
                      <a:off x="0" y="0"/>
                      <a:ext cx="5609590" cy="7999095"/>
                    </a:xfrm>
                    <a:prstGeom prst="rect">
                      <a:avLst/>
                    </a:prstGeom>
                  </pic:spPr>
                </pic:pic>
              </a:graphicData>
            </a:graphic>
          </wp:inline>
        </w:drawing>
      </w:r>
    </w:p>
    <w:p>
      <w:pPr>
        <w:pStyle w:val="5"/>
      </w:pPr>
    </w:p>
    <w:p>
      <w:pPr>
        <w:widowControl/>
        <w:spacing w:line="240" w:lineRule="auto"/>
        <w:jc w:val="left"/>
        <w:rPr>
          <w:rFonts w:ascii="仿宋_GB2312" w:hAnsi="仿宋_GB2312" w:eastAsiaTheme="minorEastAsia"/>
          <w:color w:val="000000"/>
          <w:szCs w:val="22"/>
        </w:rPr>
      </w:pPr>
      <w:r>
        <w:rPr>
          <w:rFonts w:eastAsiaTheme="minorEastAsia"/>
        </w:rPr>
        <w:br w:type="page"/>
      </w:r>
    </w:p>
    <w:p>
      <w:pPr>
        <w:pStyle w:val="4"/>
        <w:keepNext w:val="0"/>
        <w:keepLines w:val="0"/>
        <w:numPr>
          <w:ilvl w:val="1"/>
          <w:numId w:val="0"/>
        </w:numPr>
        <w:tabs>
          <w:tab w:val="left" w:pos="360"/>
          <w:tab w:val="left" w:pos="432"/>
        </w:tabs>
        <w:spacing w:beforeLines="0" w:afterLines="0"/>
        <w:sectPr>
          <w:pgSz w:w="11906" w:h="16838"/>
          <w:pgMar w:top="1701" w:right="1531" w:bottom="1701" w:left="1531" w:header="851" w:footer="851" w:gutter="0"/>
          <w:cols w:space="720" w:num="1"/>
          <w:docGrid w:linePitch="312" w:charSpace="0"/>
        </w:sectPr>
      </w:pPr>
      <w:r>
        <w:rPr>
          <w:rFonts w:hint="eastAsia"/>
          <w:color w:val="000000"/>
          <w:kern w:val="2"/>
          <w:sz w:val="32"/>
        </w:rPr>
        <w:t>附件4项目备案</w:t>
      </w:r>
      <w:r>
        <w:rPr>
          <w:rFonts w:hint="eastAsia"/>
        </w:rPr>
        <w:drawing>
          <wp:inline distT="0" distB="0" distL="114300" distR="114300">
            <wp:extent cx="5611495" cy="7717790"/>
            <wp:effectExtent l="0" t="0" r="8255" b="16510"/>
            <wp:docPr id="65" name="图片 6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6"/>
                    <pic:cNvPicPr>
                      <a:picLocks noChangeAspect="1"/>
                    </pic:cNvPicPr>
                  </pic:nvPicPr>
                  <pic:blipFill>
                    <a:blip r:embed="rId32"/>
                    <a:stretch>
                      <a:fillRect/>
                    </a:stretch>
                  </pic:blipFill>
                  <pic:spPr>
                    <a:xfrm>
                      <a:off x="0" y="0"/>
                      <a:ext cx="5611495" cy="771779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附件5使用林地审批同意书</w:t>
      </w:r>
    </w:p>
    <w:p>
      <w:pPr>
        <w:pStyle w:val="4"/>
        <w:keepNext w:val="0"/>
        <w:keepLines w:val="0"/>
        <w:numPr>
          <w:ilvl w:val="1"/>
          <w:numId w:val="0"/>
        </w:numPr>
        <w:tabs>
          <w:tab w:val="left" w:pos="360"/>
          <w:tab w:val="left" w:pos="432"/>
        </w:tabs>
        <w:spacing w:beforeLines="0" w:afterLines="0"/>
        <w:jc w:val="both"/>
        <w:rPr>
          <w:rFonts w:hint="eastAsia" w:eastAsia="宋体"/>
          <w:lang w:eastAsia="zh-CN"/>
        </w:rPr>
      </w:pPr>
      <w:r>
        <w:rPr>
          <w:rFonts w:hint="eastAsia" w:eastAsia="宋体"/>
          <w:lang w:eastAsia="zh-CN"/>
        </w:rPr>
        <w:drawing>
          <wp:inline distT="0" distB="0" distL="114300" distR="114300">
            <wp:extent cx="5328920" cy="7397115"/>
            <wp:effectExtent l="0" t="0" r="5080" b="13335"/>
            <wp:docPr id="38" name="图片 38" descr="微信图片_202407112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40711200124"/>
                    <pic:cNvPicPr>
                      <a:picLocks noChangeAspect="1"/>
                    </pic:cNvPicPr>
                  </pic:nvPicPr>
                  <pic:blipFill>
                    <a:blip r:embed="rId33"/>
                    <a:stretch>
                      <a:fillRect/>
                    </a:stretch>
                  </pic:blipFill>
                  <pic:spPr>
                    <a:xfrm>
                      <a:off x="0" y="0"/>
                      <a:ext cx="5328920" cy="7397115"/>
                    </a:xfrm>
                    <a:prstGeom prst="rect">
                      <a:avLst/>
                    </a:prstGeom>
                  </pic:spPr>
                </pic:pic>
              </a:graphicData>
            </a:graphic>
          </wp:inline>
        </w:drawing>
      </w:r>
    </w:p>
    <w:p>
      <w:pPr>
        <w:pStyle w:val="5"/>
        <w:sectPr>
          <w:pgSz w:w="11906" w:h="16838"/>
          <w:pgMar w:top="1701" w:right="1531" w:bottom="1701" w:left="1531" w:header="851" w:footer="851" w:gutter="0"/>
          <w:cols w:space="720" w:num="1"/>
          <w:docGrid w:linePitch="312" w:charSpace="0"/>
        </w:sectPr>
      </w:pPr>
    </w:p>
    <w:p>
      <w:pPr>
        <w:pStyle w:val="8"/>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inline distT="0" distB="0" distL="114300" distR="114300">
            <wp:extent cx="5606415" cy="7994650"/>
            <wp:effectExtent l="0" t="0" r="13335" b="6350"/>
            <wp:docPr id="39" name="图片 39" descr="微信图片_202407112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40711200130"/>
                    <pic:cNvPicPr>
                      <a:picLocks noChangeAspect="1"/>
                    </pic:cNvPicPr>
                  </pic:nvPicPr>
                  <pic:blipFill>
                    <a:blip r:embed="rId34"/>
                    <a:stretch>
                      <a:fillRect/>
                    </a:stretch>
                  </pic:blipFill>
                  <pic:spPr>
                    <a:xfrm>
                      <a:off x="0" y="0"/>
                      <a:ext cx="5606415" cy="799465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附件6项目符合规划说明</w:t>
      </w:r>
    </w:p>
    <w:p>
      <w:pPr>
        <w:pStyle w:val="5"/>
      </w:pPr>
      <w:r>
        <w:drawing>
          <wp:inline distT="0" distB="0" distL="114300" distR="114300">
            <wp:extent cx="5611495" cy="7717790"/>
            <wp:effectExtent l="0" t="0" r="8255" b="16510"/>
            <wp:docPr id="70" name="图片 70"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7"/>
                    <pic:cNvPicPr>
                      <a:picLocks noChangeAspect="1"/>
                    </pic:cNvPicPr>
                  </pic:nvPicPr>
                  <pic:blipFill>
                    <a:blip r:embed="rId35"/>
                    <a:stretch>
                      <a:fillRect/>
                    </a:stretch>
                  </pic:blipFill>
                  <pic:spPr>
                    <a:xfrm>
                      <a:off x="0" y="0"/>
                      <a:ext cx="5611495" cy="7717790"/>
                    </a:xfrm>
                    <a:prstGeom prst="rect">
                      <a:avLst/>
                    </a:prstGeom>
                  </pic:spPr>
                </pic:pic>
              </a:graphicData>
            </a:graphic>
          </wp:inline>
        </w:drawing>
      </w:r>
    </w:p>
    <w:p>
      <w:pPr>
        <w:pStyle w:val="8"/>
        <w:sectPr>
          <w:pgSz w:w="11906" w:h="16838"/>
          <w:pgMar w:top="1701" w:right="1531" w:bottom="1701" w:left="1531" w:header="851" w:footer="851" w:gutter="0"/>
          <w:cols w:space="720" w:num="1"/>
          <w:docGrid w:linePitch="312" w:charSpace="0"/>
        </w:sectPr>
      </w:pPr>
    </w:p>
    <w:p>
      <w:pPr>
        <w:pStyle w:val="4"/>
        <w:keepNext w:val="0"/>
        <w:keepLines w:val="0"/>
        <w:numPr>
          <w:ilvl w:val="1"/>
          <w:numId w:val="0"/>
        </w:numPr>
        <w:tabs>
          <w:tab w:val="left" w:pos="360"/>
          <w:tab w:val="left" w:pos="432"/>
        </w:tabs>
        <w:spacing w:beforeLines="0" w:afterLines="0"/>
      </w:pPr>
      <w:r>
        <w:rPr>
          <w:rFonts w:hint="eastAsia"/>
          <w:color w:val="000000"/>
          <w:kern w:val="2"/>
          <w:sz w:val="32"/>
        </w:rPr>
        <w:t>附件7项目租赁协议</w:t>
      </w:r>
    </w:p>
    <w:p>
      <w:pPr>
        <w:pStyle w:val="8"/>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inline distT="0" distB="0" distL="114300" distR="114300">
            <wp:extent cx="5513705" cy="7673975"/>
            <wp:effectExtent l="0" t="0" r="10795" b="3175"/>
            <wp:docPr id="7" name="图片 7" descr="微信图片_2024070811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40708111132"/>
                    <pic:cNvPicPr>
                      <a:picLocks noChangeAspect="1"/>
                    </pic:cNvPicPr>
                  </pic:nvPicPr>
                  <pic:blipFill>
                    <a:blip r:embed="rId36"/>
                    <a:stretch>
                      <a:fillRect/>
                    </a:stretch>
                  </pic:blipFill>
                  <pic:spPr>
                    <a:xfrm>
                      <a:off x="0" y="0"/>
                      <a:ext cx="5513705" cy="7673975"/>
                    </a:xfrm>
                    <a:prstGeom prst="rect">
                      <a:avLst/>
                    </a:prstGeom>
                  </pic:spPr>
                </pic:pic>
              </a:graphicData>
            </a:graphic>
          </wp:inline>
        </w:drawing>
      </w:r>
    </w:p>
    <w:p>
      <w:pPr>
        <w:rPr>
          <w:rFonts w:hint="eastAsia"/>
          <w:lang w:eastAsia="zh-CN"/>
        </w:rPr>
        <w:sectPr>
          <w:pgSz w:w="11906" w:h="16838"/>
          <w:pgMar w:top="1701" w:right="1531" w:bottom="1701" w:left="1531" w:header="851" w:footer="851" w:gutter="0"/>
          <w:cols w:space="720" w:num="1"/>
          <w:docGrid w:linePitch="312" w:charSpace="0"/>
        </w:sectPr>
      </w:pPr>
      <w:r>
        <w:rPr>
          <w:rFonts w:hint="eastAsia"/>
          <w:lang w:eastAsia="zh-CN"/>
        </w:rPr>
        <w:drawing>
          <wp:inline distT="0" distB="0" distL="114300" distR="114300">
            <wp:extent cx="5462270" cy="8522335"/>
            <wp:effectExtent l="0" t="0" r="5080" b="12065"/>
            <wp:docPr id="37" name="图片 37" descr="微信图片_202407081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240708111136"/>
                    <pic:cNvPicPr>
                      <a:picLocks noChangeAspect="1"/>
                    </pic:cNvPicPr>
                  </pic:nvPicPr>
                  <pic:blipFill>
                    <a:blip r:embed="rId37"/>
                    <a:stretch>
                      <a:fillRect/>
                    </a:stretch>
                  </pic:blipFill>
                  <pic:spPr>
                    <a:xfrm>
                      <a:off x="0" y="0"/>
                      <a:ext cx="5462270" cy="8522335"/>
                    </a:xfrm>
                    <a:prstGeom prst="rect">
                      <a:avLst/>
                    </a:prstGeom>
                  </pic:spPr>
                </pic:pic>
              </a:graphicData>
            </a:graphic>
          </wp:inline>
        </w:drawing>
      </w:r>
      <w:r>
        <w:rPr>
          <w:rFonts w:hint="eastAsia"/>
          <w:lang w:eastAsia="zh-CN"/>
        </w:rPr>
        <w:drawing>
          <wp:inline distT="0" distB="0" distL="114300" distR="114300">
            <wp:extent cx="5189220" cy="8522335"/>
            <wp:effectExtent l="0" t="0" r="11430" b="12065"/>
            <wp:docPr id="36" name="图片 36" descr="微信图片_202407081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40708111140"/>
                    <pic:cNvPicPr>
                      <a:picLocks noChangeAspect="1"/>
                    </pic:cNvPicPr>
                  </pic:nvPicPr>
                  <pic:blipFill>
                    <a:blip r:embed="rId38"/>
                    <a:stretch>
                      <a:fillRect/>
                    </a:stretch>
                  </pic:blipFill>
                  <pic:spPr>
                    <a:xfrm>
                      <a:off x="0" y="0"/>
                      <a:ext cx="5189220" cy="8522335"/>
                    </a:xfrm>
                    <a:prstGeom prst="rect">
                      <a:avLst/>
                    </a:prstGeom>
                  </pic:spPr>
                </pic:pic>
              </a:graphicData>
            </a:graphic>
          </wp:inline>
        </w:drawing>
      </w:r>
      <w:r>
        <w:rPr>
          <w:rFonts w:hint="eastAsia"/>
          <w:lang w:eastAsia="zh-CN"/>
        </w:rPr>
        <w:drawing>
          <wp:inline distT="0" distB="0" distL="114300" distR="114300">
            <wp:extent cx="5299710" cy="8518525"/>
            <wp:effectExtent l="0" t="0" r="15240" b="15875"/>
            <wp:docPr id="35" name="图片 35" descr="微信图片_2024070811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40708111144"/>
                    <pic:cNvPicPr>
                      <a:picLocks noChangeAspect="1"/>
                    </pic:cNvPicPr>
                  </pic:nvPicPr>
                  <pic:blipFill>
                    <a:blip r:embed="rId39"/>
                    <a:stretch>
                      <a:fillRect/>
                    </a:stretch>
                  </pic:blipFill>
                  <pic:spPr>
                    <a:xfrm>
                      <a:off x="0" y="0"/>
                      <a:ext cx="5299710" cy="8518525"/>
                    </a:xfrm>
                    <a:prstGeom prst="rect">
                      <a:avLst/>
                    </a:prstGeom>
                  </pic:spPr>
                </pic:pic>
              </a:graphicData>
            </a:graphic>
          </wp:inline>
        </w:drawing>
      </w:r>
      <w:r>
        <w:rPr>
          <w:rFonts w:hint="eastAsia"/>
          <w:lang w:eastAsia="zh-CN"/>
        </w:rPr>
        <w:drawing>
          <wp:inline distT="0" distB="0" distL="114300" distR="114300">
            <wp:extent cx="5366385" cy="8522335"/>
            <wp:effectExtent l="0" t="0" r="5715" b="12065"/>
            <wp:docPr id="30" name="图片 30" descr="微信图片_2024070811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40708111200"/>
                    <pic:cNvPicPr>
                      <a:picLocks noChangeAspect="1"/>
                    </pic:cNvPicPr>
                  </pic:nvPicPr>
                  <pic:blipFill>
                    <a:blip r:embed="rId40"/>
                    <a:stretch>
                      <a:fillRect/>
                    </a:stretch>
                  </pic:blipFill>
                  <pic:spPr>
                    <a:xfrm>
                      <a:off x="0" y="0"/>
                      <a:ext cx="5366385" cy="8522335"/>
                    </a:xfrm>
                    <a:prstGeom prst="rect">
                      <a:avLst/>
                    </a:prstGeom>
                  </pic:spPr>
                </pic:pic>
              </a:graphicData>
            </a:graphic>
          </wp:inline>
        </w:drawing>
      </w:r>
      <w:r>
        <w:rPr>
          <w:rFonts w:hint="eastAsia"/>
          <w:lang w:eastAsia="zh-CN"/>
        </w:rPr>
        <w:drawing>
          <wp:inline distT="0" distB="0" distL="114300" distR="114300">
            <wp:extent cx="5292725" cy="8518525"/>
            <wp:effectExtent l="0" t="0" r="3175" b="15875"/>
            <wp:docPr id="29" name="图片 29" descr="微信图片_2024070811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40708111204"/>
                    <pic:cNvPicPr>
                      <a:picLocks noChangeAspect="1"/>
                    </pic:cNvPicPr>
                  </pic:nvPicPr>
                  <pic:blipFill>
                    <a:blip r:embed="rId41"/>
                    <a:stretch>
                      <a:fillRect/>
                    </a:stretch>
                  </pic:blipFill>
                  <pic:spPr>
                    <a:xfrm>
                      <a:off x="0" y="0"/>
                      <a:ext cx="5292725" cy="8518525"/>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附件8项目灌溉协议</w:t>
      </w:r>
    </w:p>
    <w:p>
      <w:pPr>
        <w:rPr>
          <w:rFonts w:hint="eastAsia"/>
        </w:rPr>
        <w:sectPr>
          <w:pgSz w:w="11906" w:h="16838"/>
          <w:pgMar w:top="1701" w:right="1531" w:bottom="1701" w:left="1531" w:header="851" w:footer="851" w:gutter="0"/>
          <w:cols w:space="720" w:num="1"/>
          <w:docGrid w:linePitch="312" w:charSpace="0"/>
        </w:sectPr>
      </w:pPr>
      <w:r>
        <w:rPr>
          <w:rFonts w:hint="eastAsia"/>
        </w:rPr>
        <w:drawing>
          <wp:inline distT="0" distB="0" distL="114300" distR="114300">
            <wp:extent cx="4793615" cy="7768590"/>
            <wp:effectExtent l="0" t="0" r="6985" b="3810"/>
            <wp:docPr id="31" name="图片 31" descr="微信图片_2024071120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40711204136"/>
                    <pic:cNvPicPr>
                      <a:picLocks noChangeAspect="1"/>
                    </pic:cNvPicPr>
                  </pic:nvPicPr>
                  <pic:blipFill>
                    <a:blip r:embed="rId42"/>
                    <a:stretch>
                      <a:fillRect/>
                    </a:stretch>
                  </pic:blipFill>
                  <pic:spPr>
                    <a:xfrm>
                      <a:off x="0" y="0"/>
                      <a:ext cx="4793615" cy="7768590"/>
                    </a:xfrm>
                    <a:prstGeom prst="rect">
                      <a:avLst/>
                    </a:prstGeom>
                  </pic:spPr>
                </pic:pic>
              </a:graphicData>
            </a:graphic>
          </wp:inline>
        </w:drawing>
      </w:r>
      <w:r>
        <w:rPr>
          <w:rFonts w:hint="eastAsia"/>
        </w:rPr>
        <w:drawing>
          <wp:inline distT="0" distB="0" distL="114300" distR="114300">
            <wp:extent cx="4793615" cy="8522335"/>
            <wp:effectExtent l="0" t="0" r="6985" b="12065"/>
            <wp:docPr id="32" name="图片 32" descr="微信图片_2024071120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40711204146"/>
                    <pic:cNvPicPr>
                      <a:picLocks noChangeAspect="1"/>
                    </pic:cNvPicPr>
                  </pic:nvPicPr>
                  <pic:blipFill>
                    <a:blip r:embed="rId43"/>
                    <a:stretch>
                      <a:fillRect/>
                    </a:stretch>
                  </pic:blipFill>
                  <pic:spPr>
                    <a:xfrm>
                      <a:off x="0" y="0"/>
                      <a:ext cx="4793615" cy="8522335"/>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rFonts w:hint="default" w:eastAsia="宋体"/>
          <w:lang w:val="en-US" w:eastAsia="zh-CN"/>
        </w:rPr>
      </w:pPr>
      <w:r>
        <w:rPr>
          <w:rFonts w:hint="eastAsia"/>
          <w:color w:val="000000"/>
          <w:kern w:val="2"/>
          <w:sz w:val="32"/>
        </w:rPr>
        <w:t>附件</w:t>
      </w:r>
      <w:r>
        <w:rPr>
          <w:rFonts w:hint="eastAsia"/>
          <w:color w:val="000000"/>
          <w:kern w:val="2"/>
          <w:sz w:val="32"/>
          <w:lang w:val="en-US" w:eastAsia="zh-CN"/>
        </w:rPr>
        <w:t>9专家意见</w:t>
      </w:r>
    </w:p>
    <w:p>
      <w:pPr>
        <w:rPr>
          <w:rFonts w:hint="eastAsia" w:eastAsia="宋体"/>
          <w:lang w:eastAsia="zh-CN"/>
        </w:rPr>
        <w:sectPr>
          <w:pgSz w:w="11906" w:h="16838"/>
          <w:pgMar w:top="1701" w:right="1531" w:bottom="1701" w:left="1531" w:header="851" w:footer="851" w:gutter="0"/>
          <w:cols w:space="720" w:num="1"/>
          <w:docGrid w:linePitch="312" w:charSpace="0"/>
        </w:sectPr>
      </w:pPr>
      <w:r>
        <w:rPr>
          <w:rFonts w:hint="eastAsia" w:eastAsia="宋体"/>
          <w:lang w:eastAsia="zh-CN"/>
        </w:rPr>
        <w:drawing>
          <wp:inline distT="0" distB="0" distL="114300" distR="114300">
            <wp:extent cx="5608955" cy="7924165"/>
            <wp:effectExtent l="0" t="0" r="10795" b="635"/>
            <wp:docPr id="42" name="图片 42" descr="专家意见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专家意见稿_00"/>
                    <pic:cNvPicPr>
                      <a:picLocks noChangeAspect="1"/>
                    </pic:cNvPicPr>
                  </pic:nvPicPr>
                  <pic:blipFill>
                    <a:blip r:embed="rId44"/>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41" name="图片 41" descr="专家意见稿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专家意见稿_01"/>
                    <pic:cNvPicPr>
                      <a:picLocks noChangeAspect="1"/>
                    </pic:cNvPicPr>
                  </pic:nvPicPr>
                  <pic:blipFill>
                    <a:blip r:embed="rId45"/>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40" name="图片 40" descr="专家意见稿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专家意见稿_02"/>
                    <pic:cNvPicPr>
                      <a:picLocks noChangeAspect="1"/>
                    </pic:cNvPicPr>
                  </pic:nvPicPr>
                  <pic:blipFill>
                    <a:blip r:embed="rId46"/>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23" name="图片 23" descr="专家意见稿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专家意见稿_03"/>
                    <pic:cNvPicPr>
                      <a:picLocks noChangeAspect="1"/>
                    </pic:cNvPicPr>
                  </pic:nvPicPr>
                  <pic:blipFill>
                    <a:blip r:embed="rId47"/>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22" name="图片 22" descr="专家意见稿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专家意见稿_04"/>
                    <pic:cNvPicPr>
                      <a:picLocks noChangeAspect="1"/>
                    </pic:cNvPicPr>
                  </pic:nvPicPr>
                  <pic:blipFill>
                    <a:blip r:embed="rId48"/>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20" name="图片 20" descr="专家意见稿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专家意见稿_05"/>
                    <pic:cNvPicPr>
                      <a:picLocks noChangeAspect="1"/>
                    </pic:cNvPicPr>
                  </pic:nvPicPr>
                  <pic:blipFill>
                    <a:blip r:embed="rId49"/>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19" name="图片 19" descr="专家意见稿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专家意见稿_06"/>
                    <pic:cNvPicPr>
                      <a:picLocks noChangeAspect="1"/>
                    </pic:cNvPicPr>
                  </pic:nvPicPr>
                  <pic:blipFill>
                    <a:blip r:embed="rId50"/>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16" name="图片 16" descr="专家意见稿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专家意见稿_07"/>
                    <pic:cNvPicPr>
                      <a:picLocks noChangeAspect="1"/>
                    </pic:cNvPicPr>
                  </pic:nvPicPr>
                  <pic:blipFill>
                    <a:blip r:embed="rId51"/>
                    <a:stretch>
                      <a:fillRect/>
                    </a:stretch>
                  </pic:blipFill>
                  <pic:spPr>
                    <a:xfrm>
                      <a:off x="0" y="0"/>
                      <a:ext cx="5608955" cy="7924165"/>
                    </a:xfrm>
                    <a:prstGeom prst="rect">
                      <a:avLst/>
                    </a:prstGeom>
                  </pic:spPr>
                </pic:pic>
              </a:graphicData>
            </a:graphic>
          </wp:inline>
        </w:drawing>
      </w:r>
      <w:r>
        <w:rPr>
          <w:rFonts w:hint="eastAsia" w:eastAsia="宋体"/>
          <w:lang w:eastAsia="zh-CN"/>
        </w:rPr>
        <w:drawing>
          <wp:inline distT="0" distB="0" distL="114300" distR="114300">
            <wp:extent cx="5608955" cy="7924165"/>
            <wp:effectExtent l="0" t="0" r="10795" b="635"/>
            <wp:docPr id="6" name="图片 6" descr="专家意见稿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专家意见稿_08"/>
                    <pic:cNvPicPr>
                      <a:picLocks noChangeAspect="1"/>
                    </pic:cNvPicPr>
                  </pic:nvPicPr>
                  <pic:blipFill>
                    <a:blip r:embed="rId52"/>
                    <a:stretch>
                      <a:fillRect/>
                    </a:stretch>
                  </pic:blipFill>
                  <pic:spPr>
                    <a:xfrm>
                      <a:off x="0" y="0"/>
                      <a:ext cx="5608955" cy="7924165"/>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pPr>
      <w:r>
        <w:rPr>
          <w:rFonts w:hint="eastAsia"/>
          <w:color w:val="000000"/>
          <w:kern w:val="2"/>
          <w:sz w:val="32"/>
        </w:rPr>
        <w:t>附件</w:t>
      </w:r>
      <w:r>
        <w:rPr>
          <w:rFonts w:hint="eastAsia"/>
          <w:color w:val="000000"/>
          <w:kern w:val="2"/>
          <w:sz w:val="32"/>
          <w:lang w:val="en-US" w:eastAsia="zh-CN"/>
        </w:rPr>
        <w:t>10</w:t>
      </w:r>
      <w:r>
        <w:rPr>
          <w:rFonts w:hint="eastAsia"/>
          <w:color w:val="000000"/>
          <w:kern w:val="2"/>
          <w:sz w:val="32"/>
        </w:rPr>
        <w:t>项目公示</w:t>
      </w:r>
    </w:p>
    <w:p>
      <w:pPr>
        <w:rPr>
          <w:rFonts w:hint="eastAsia"/>
        </w:rPr>
      </w:pPr>
      <w:r>
        <w:rPr>
          <w:rFonts w:hint="eastAsia"/>
        </w:rPr>
        <w:fldChar w:fldCharType="begin"/>
      </w:r>
      <w:r>
        <w:rPr>
          <w:rFonts w:hint="eastAsia"/>
        </w:rPr>
        <w:instrText xml:space="preserve"> HYPERLINK "https://gongshi.qsyhbgj.com/h5public-detail?id=406335" </w:instrText>
      </w:r>
      <w:r>
        <w:rPr>
          <w:rFonts w:hint="eastAsia"/>
        </w:rPr>
        <w:fldChar w:fldCharType="separate"/>
      </w:r>
      <w:r>
        <w:rPr>
          <w:rStyle w:val="49"/>
          <w:rFonts w:hint="eastAsia"/>
        </w:rPr>
        <w:t>https://gongshi.qsyhbgj.com/h5public-detail?id=406335</w:t>
      </w:r>
      <w:r>
        <w:rPr>
          <w:rFonts w:hint="eastAsia"/>
        </w:rPr>
        <w:fldChar w:fldCharType="end"/>
      </w:r>
    </w:p>
    <w:p>
      <w:pPr>
        <w:rPr>
          <w:rFonts w:hint="eastAsia" w:eastAsia="宋体"/>
          <w:lang w:eastAsia="zh-CN"/>
        </w:rPr>
        <w:sectPr>
          <w:pgSz w:w="16838" w:h="11906" w:orient="landscape"/>
          <w:pgMar w:top="1531" w:right="1701" w:bottom="1531" w:left="1701" w:header="851" w:footer="851" w:gutter="0"/>
          <w:cols w:space="720" w:num="1"/>
          <w:docGrid w:linePitch="312" w:charSpace="0"/>
        </w:sectPr>
      </w:pPr>
      <w:r>
        <w:rPr>
          <w:rFonts w:hint="eastAsia" w:eastAsia="宋体"/>
          <w:lang w:eastAsia="zh-CN"/>
        </w:rPr>
        <w:drawing>
          <wp:inline distT="0" distB="0" distL="114300" distR="114300">
            <wp:extent cx="8523605" cy="4189095"/>
            <wp:effectExtent l="0" t="0" r="10795" b="1905"/>
            <wp:docPr id="12" name="图片 12" descr="微信图片_2024072411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40724111846"/>
                    <pic:cNvPicPr>
                      <a:picLocks noChangeAspect="1"/>
                    </pic:cNvPicPr>
                  </pic:nvPicPr>
                  <pic:blipFill>
                    <a:blip r:embed="rId53"/>
                    <a:stretch>
                      <a:fillRect/>
                    </a:stretch>
                  </pic:blipFill>
                  <pic:spPr>
                    <a:xfrm>
                      <a:off x="0" y="0"/>
                      <a:ext cx="8523605" cy="4189095"/>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rFonts w:ascii="宋体" w:hAnsi="宋体" w:cs="宋体"/>
          <w:kern w:val="13"/>
          <w:sz w:val="32"/>
        </w:rPr>
      </w:pPr>
      <w:bookmarkStart w:id="82" w:name="_Toc26369"/>
      <w:bookmarkStart w:id="83" w:name="_Toc11519"/>
      <w:r>
        <w:rPr>
          <w:rFonts w:hint="eastAsia" w:ascii="宋体" w:hAnsi="宋体" w:cs="宋体"/>
          <w:kern w:val="13"/>
          <w:sz w:val="32"/>
        </w:rPr>
        <w:t>附图</w:t>
      </w:r>
      <w:bookmarkEnd w:id="82"/>
      <w:bookmarkEnd w:id="83"/>
    </w:p>
    <w:p>
      <w:pPr>
        <w:pStyle w:val="4"/>
        <w:keepNext w:val="0"/>
        <w:keepLines w:val="0"/>
        <w:numPr>
          <w:ilvl w:val="1"/>
          <w:numId w:val="0"/>
        </w:numPr>
        <w:tabs>
          <w:tab w:val="left" w:pos="360"/>
          <w:tab w:val="left" w:pos="432"/>
        </w:tabs>
        <w:spacing w:beforeLines="0" w:afterLines="0"/>
        <w:rPr>
          <w:color w:val="000000"/>
          <w:kern w:val="2"/>
          <w:sz w:val="32"/>
        </w:rPr>
      </w:pPr>
      <w:bookmarkStart w:id="84" w:name="_Toc15217"/>
      <w:bookmarkStart w:id="85" w:name="_Toc15817"/>
      <w:r>
        <w:rPr>
          <w:rFonts w:hint="eastAsia"/>
          <w:color w:val="000000"/>
          <w:kern w:val="2"/>
          <w:sz w:val="32"/>
        </w:rPr>
        <w:t>附图1项目地理位置图</w:t>
      </w:r>
      <w:bookmarkEnd w:id="84"/>
      <w:bookmarkEnd w:id="85"/>
    </w:p>
    <w:p>
      <w:pPr>
        <w:ind w:firstLine="480"/>
      </w:pPr>
      <w:r>
        <w:pict>
          <v:shape id="_x0000_s2062" o:spid="_x0000_s2062" o:spt="202" type="#_x0000_t202" style="position:absolute;left:0pt;margin-left:326.55pt;margin-top:288.6pt;height:21.5pt;width:55.05pt;z-index:251676672;mso-width-relative:page;mso-height-relative:page;" filled="f" stroked="f" coordsize="21600,21600" o:gfxdata="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&#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G+VV9wAAAALAQAADwAAAAAAAAABACAAAAAiAAAA&#10;ZHJzL2Rvd25yZXYueG1sUEsBAhQAFAAAAAgAh07iQDGwy0k8AgAAZwQAAA4AAAAAAAAAAQAgAAAA&#10;KwEAAGRycy9lMm9Eb2MueG1sUEsFBgAAAAAGAAYAWQEAANkFAAAAAA==&#10;">
            <v:path/>
            <v:fill on="f" focussize="0,0"/>
            <v:stroke on="f" weight="0.5pt" joinstyle="miter"/>
            <v:imagedata o:title=""/>
            <o:lock v:ext="edit"/>
            <v:textbox>
              <w:txbxContent>
                <w:p>
                  <w:pPr>
                    <w:spacing w:line="240" w:lineRule="auto"/>
                  </w:pPr>
                  <w:r>
                    <w:rPr>
                      <w:rFonts w:hint="eastAsia"/>
                    </w:rPr>
                    <w:t>本项目</w:t>
                  </w:r>
                </w:p>
              </w:txbxContent>
            </v:textbox>
          </v:shape>
        </w:pict>
      </w:r>
      <w:r>
        <w:pict>
          <v:shape id="_x0000_s2061" o:spid="_x0000_s2061" o:spt="3" type="#_x0000_t3" style="position:absolute;left:0pt;margin-left:341.75pt;margin-top:317.35pt;height:5.95pt;width:5.95pt;z-index:251675648;v-text-anchor:middle;mso-width-relative:page;mso-height-relative:page;" fillcolor="#FF0000" filled="t" stroked="t" coordsize="21600,21600" o:gfxdata="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MCNn42AAAAAsBAAAPAAAAAAAAAAEAIAAAACIAAABkcnMvZG93bnJldi54&#10;bWxQSwECFAAUAAAACACHTuJAIvBj2GwCAADrBAAADgAAAAAAAAABACAAAAAnAQAAZHJzL2Uyb0Rv&#10;Yy54bWxQSwUGAAAAAAYABgBZAQAABQYAAAAA&#10;">
            <v:path/>
            <v:fill on="t" focussize="0,0"/>
            <v:stroke weight="2pt" color="#FF0000"/>
            <v:imagedata o:title=""/>
            <o:lock v:ext="edit"/>
          </v:shape>
        </w:pict>
      </w:r>
      <w:r>
        <w:drawing>
          <wp:anchor distT="0" distB="0" distL="114300" distR="114300" simplePos="0" relativeHeight="251662336" behindDoc="0" locked="0" layoutInCell="1" allowOverlap="1">
            <wp:simplePos x="0" y="0"/>
            <wp:positionH relativeFrom="column">
              <wp:posOffset>4436745</wp:posOffset>
            </wp:positionH>
            <wp:positionV relativeFrom="paragraph">
              <wp:posOffset>554990</wp:posOffset>
            </wp:positionV>
            <wp:extent cx="831850" cy="927100"/>
            <wp:effectExtent l="19050" t="0" r="6350" b="0"/>
            <wp:wrapNone/>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noChangeArrowheads="1"/>
                    </pic:cNvPicPr>
                  </pic:nvPicPr>
                  <pic:blipFill>
                    <a:blip r:embed="rId54" cstate="print"/>
                    <a:srcRect/>
                    <a:stretch>
                      <a:fillRect/>
                    </a:stretch>
                  </pic:blipFill>
                  <pic:spPr>
                    <a:xfrm>
                      <a:off x="0" y="0"/>
                      <a:ext cx="831850" cy="927100"/>
                    </a:xfrm>
                    <a:prstGeom prst="rect">
                      <a:avLst/>
                    </a:prstGeom>
                    <a:noFill/>
                    <a:ln w="9525">
                      <a:noFill/>
                      <a:miter lim="800000"/>
                      <a:headEnd/>
                      <a:tailEnd/>
                    </a:ln>
                  </pic:spPr>
                </pic:pic>
              </a:graphicData>
            </a:graphic>
          </wp:anchor>
        </w:drawing>
      </w:r>
      <w:r>
        <w:rPr>
          <w:rFonts w:hint="eastAsia"/>
        </w:rPr>
        <w:drawing>
          <wp:inline distT="0" distB="0" distL="114300" distR="114300">
            <wp:extent cx="5130800" cy="6985000"/>
            <wp:effectExtent l="0" t="0" r="12700" b="6350"/>
            <wp:docPr id="18" name="图片 18" descr="f9198618367adab431c6a7a081d4b31c8701e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9198618367adab431c6a7a081d4b31c8701e43b"/>
                    <pic:cNvPicPr>
                      <a:picLocks noChangeAspect="1"/>
                    </pic:cNvPicPr>
                  </pic:nvPicPr>
                  <pic:blipFill>
                    <a:blip r:embed="rId55"/>
                    <a:stretch>
                      <a:fillRect/>
                    </a:stretch>
                  </pic:blipFill>
                  <pic:spPr>
                    <a:xfrm>
                      <a:off x="0" y="0"/>
                      <a:ext cx="5130800" cy="698500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sectPr>
          <w:pgSz w:w="11906" w:h="16838"/>
          <w:pgMar w:top="1474" w:right="1361" w:bottom="1474" w:left="1587" w:header="851" w:footer="992" w:gutter="0"/>
          <w:cols w:space="720" w:num="1"/>
          <w:docGrid w:type="lines" w:linePitch="312" w:charSpace="0"/>
        </w:sectPr>
      </w:pPr>
      <w:bookmarkStart w:id="86" w:name="_Toc1231"/>
      <w:bookmarkStart w:id="87" w:name="_Toc17189"/>
    </w:p>
    <w:p>
      <w:pPr>
        <w:pStyle w:val="4"/>
        <w:keepNext w:val="0"/>
        <w:keepLines w:val="0"/>
        <w:numPr>
          <w:ilvl w:val="1"/>
          <w:numId w:val="0"/>
        </w:numPr>
        <w:tabs>
          <w:tab w:val="left" w:pos="360"/>
          <w:tab w:val="left" w:pos="432"/>
        </w:tabs>
        <w:spacing w:beforeLines="0" w:afterLines="0"/>
        <w:rPr>
          <w:color w:val="000000"/>
          <w:kern w:val="2"/>
          <w:sz w:val="32"/>
          <w:u w:val="single"/>
        </w:rPr>
      </w:pPr>
      <w:r>
        <w:rPr>
          <w:rFonts w:hint="eastAsia"/>
          <w:color w:val="000000"/>
          <w:kern w:val="2"/>
          <w:sz w:val="32"/>
          <w:u w:val="single"/>
        </w:rPr>
        <w:t>附图2厂区平面布置图</w:t>
      </w:r>
      <w:bookmarkEnd w:id="86"/>
      <w:bookmarkEnd w:id="87"/>
    </w:p>
    <w:p>
      <w:pPr>
        <w:rPr>
          <w:rFonts w:hint="eastAsia" w:eastAsia="宋体"/>
          <w:lang w:eastAsia="zh-CN"/>
        </w:rPr>
        <w:sectPr>
          <w:pgSz w:w="16838" w:h="11906" w:orient="landscape"/>
          <w:pgMar w:top="1587" w:right="1474" w:bottom="1361" w:left="1474" w:header="851" w:footer="992" w:gutter="0"/>
          <w:cols w:space="720" w:num="1"/>
          <w:docGrid w:type="lines" w:linePitch="312" w:charSpace="0"/>
        </w:sectPr>
      </w:pPr>
      <w:r>
        <w:rPr>
          <w:sz w:val="24"/>
        </w:rPr>
        <w:pict>
          <v:shape id="_x0000_s2070" o:spid="_x0000_s2070" o:spt="202" type="#_x0000_t202" style="position:absolute;left:0pt;margin-left:301.95pt;margin-top:66.6pt;height:21.8pt;width:69.65pt;z-index:251676672;mso-width-relative:page;mso-height-relative:page;" filled="f" stroked="f" coordsize="21600,21600">
            <v:path/>
            <v:fill on="f" focussize="0,0"/>
            <v:stroke on="f"/>
            <v:imagedata o:title=""/>
            <o:lock v:ext="edit" aspectratio="f"/>
            <v:textbox>
              <w:txbxContent>
                <w:p>
                  <w:pPr>
                    <w:spacing w:line="240" w:lineRule="auto"/>
                    <w:jc w:val="center"/>
                    <w:rPr>
                      <w:rFonts w:hint="default" w:eastAsia="宋体"/>
                      <w:color w:val="FF0000"/>
                      <w:sz w:val="18"/>
                      <w:szCs w:val="18"/>
                      <w:lang w:val="en-US" w:eastAsia="zh-CN"/>
                    </w:rPr>
                  </w:pPr>
                  <w:r>
                    <w:rPr>
                      <w:rFonts w:hint="eastAsia"/>
                      <w:color w:val="FF0000"/>
                      <w:sz w:val="18"/>
                      <w:szCs w:val="18"/>
                      <w:lang w:val="en-US" w:eastAsia="zh-CN"/>
                    </w:rPr>
                    <w:t>危废暂存间</w:t>
                  </w:r>
                </w:p>
              </w:txbxContent>
            </v:textbox>
          </v:shape>
        </w:pict>
      </w:r>
      <w:r>
        <w:rPr>
          <w:sz w:val="24"/>
        </w:rPr>
        <w:pict>
          <v:rect id="_x0000_s2069" o:spid="_x0000_s2069" o:spt="1" style="position:absolute;left:0pt;margin-left:375.9pt;margin-top:77.9pt;height:5.95pt;width:5.95pt;z-index:251675648;mso-width-relative:page;mso-height-relative:page;" filled="f" stroked="t" coordsize="21600,21600">
            <v:path/>
            <v:fill on="f" focussize="0,0"/>
            <v:stroke color="#FFFF00"/>
            <v:imagedata o:title=""/>
            <o:lock v:ext="edit" aspectratio="f"/>
          </v:rect>
        </w:pict>
      </w:r>
      <w:r>
        <w:drawing>
          <wp:anchor distT="0" distB="0" distL="114300" distR="114300" simplePos="0" relativeHeight="251674624" behindDoc="0" locked="0" layoutInCell="1" allowOverlap="1">
            <wp:simplePos x="0" y="0"/>
            <wp:positionH relativeFrom="column">
              <wp:posOffset>8114665</wp:posOffset>
            </wp:positionH>
            <wp:positionV relativeFrom="paragraph">
              <wp:posOffset>59690</wp:posOffset>
            </wp:positionV>
            <wp:extent cx="695325" cy="774065"/>
            <wp:effectExtent l="0" t="0" r="9525" b="6985"/>
            <wp:wrapNone/>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noChangeArrowheads="1"/>
                    </pic:cNvPicPr>
                  </pic:nvPicPr>
                  <pic:blipFill>
                    <a:blip r:embed="rId54" cstate="print"/>
                    <a:srcRect/>
                    <a:stretch>
                      <a:fillRect/>
                    </a:stretch>
                  </pic:blipFill>
                  <pic:spPr>
                    <a:xfrm>
                      <a:off x="0" y="0"/>
                      <a:ext cx="695325" cy="774065"/>
                    </a:xfrm>
                    <a:prstGeom prst="rect">
                      <a:avLst/>
                    </a:prstGeom>
                    <a:noFill/>
                    <a:ln w="9525">
                      <a:noFill/>
                      <a:miter lim="800000"/>
                      <a:headEnd/>
                      <a:tailEnd/>
                    </a:ln>
                  </pic:spPr>
                </pic:pic>
              </a:graphicData>
            </a:graphic>
          </wp:anchor>
        </w:drawing>
      </w:r>
      <w:r>
        <w:pict>
          <v:rect id="_x0000_s2060" o:spid="_x0000_s2060" o:spt="1" style="position:absolute;left:0pt;margin-left:11.85pt;margin-top:367.8pt;height:17.05pt;width:99.2pt;z-index:251673600;v-text-anchor:middle;mso-width-relative:page;mso-height-relative:page;" filled="f" stroked="t" coordsize="21600,21600" o:gfxdata="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nOK1zZAAAACgEAAA8AAAAAAAAAAQAgAAAAIgAAAGRycy9kb3ducmV2Lnht&#10;bFBLAQIUABQAAAAIAIdO4kAip7LlagIAAMIEAAAOAAAAAAAAAAEAIAAAACgBAABkcnMvZTJvRG9j&#10;LnhtbFBLBQYAAAAABgAGAFkBAAAEBgAAAAA=&#10;">
            <v:path/>
            <v:fill on="f" focussize="0,0"/>
            <v:stroke weight="2pt" color="#FF0000" joinstyle="round"/>
            <v:imagedata o:title=""/>
            <o:lock v:ext="edit"/>
          </v:rect>
        </w:pict>
      </w:r>
      <w:r>
        <w:pict>
          <v:shape id="_x0000_s2059" o:spid="_x0000_s2059" o:spt="202" type="#_x0000_t202" style="position:absolute;left:0pt;margin-left:-1.85pt;margin-top:228.8pt;height:169.8pt;width:131.55pt;z-index:251670528;mso-width-relative:page;mso-height-relative:page;" fillcolor="#FFFFFF" filled="t" coordsize="21600,21600" o:gfxdata="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ZwZlm&#10;2AAAAAoBAAAPAAAAAAAAAAEAIAAAACIAAABkcnMvZG93bnJldi54bWxQSwECFAAUAAAACACHTuJA&#10;pI38nFoCAAC6BAAADgAAAAAAAAABACAAAAAnAQAAZHJzL2Uyb0RvYy54bWxQSwUGAAAAAAYABgBZ&#10;AQAA8wUAAAAA&#10;">
            <v:path/>
            <v:fill on="t" focussize="0,0"/>
            <v:stroke weight="0.5pt" joinstyle="round"/>
            <v:imagedata o:title=""/>
            <o:lock v:ext="edit"/>
            <v:textbox>
              <w:txbxContent>
                <w:p>
                  <w:pPr>
                    <w:jc w:val="center"/>
                    <w:rPr>
                      <w:rFonts w:ascii="黑体" w:hAnsi="黑体" w:eastAsia="黑体" w:cs="黑体"/>
                      <w:b/>
                      <w:bCs/>
                    </w:rPr>
                  </w:pPr>
                  <w:r>
                    <w:rPr>
                      <w:rFonts w:hint="eastAsia" w:ascii="黑体" w:hAnsi="黑体" w:eastAsia="黑体" w:cs="黑体"/>
                      <w:b/>
                      <w:bCs/>
                    </w:rPr>
                    <w:t>图例</w:t>
                  </w:r>
                </w:p>
                <w:p>
                  <w:pPr>
                    <w:pStyle w:val="6"/>
                    <w:rPr>
                      <w:color w:val="000000" w:themeColor="text1"/>
                      <w:sz w:val="21"/>
                      <w:szCs w:val="21"/>
                    </w:rPr>
                  </w:pPr>
                  <w:r>
                    <w:rPr>
                      <w:rFonts w:hint="eastAsia"/>
                      <w:color w:val="000000" w:themeColor="text1"/>
                      <w:sz w:val="21"/>
                      <w:szCs w:val="21"/>
                    </w:rPr>
                    <w:t>项目已建</w:t>
                  </w:r>
                </w:p>
                <w:p>
                  <w:pPr>
                    <w:pStyle w:val="6"/>
                  </w:pPr>
                </w:p>
                <w:p>
                  <w:pPr>
                    <w:pStyle w:val="6"/>
                    <w:rPr>
                      <w:sz w:val="21"/>
                      <w:szCs w:val="21"/>
                    </w:rPr>
                  </w:pPr>
                  <w:r>
                    <w:rPr>
                      <w:rFonts w:hint="eastAsia"/>
                      <w:sz w:val="21"/>
                      <w:szCs w:val="21"/>
                    </w:rPr>
                    <w:t>项目新建</w:t>
                  </w:r>
                </w:p>
                <w:p>
                  <w:pPr>
                    <w:pStyle w:val="6"/>
                    <w:rPr>
                      <w:sz w:val="21"/>
                      <w:szCs w:val="21"/>
                    </w:rPr>
                  </w:pPr>
                </w:p>
                <w:p>
                  <w:pPr>
                    <w:pStyle w:val="6"/>
                    <w:rPr>
                      <w:sz w:val="21"/>
                      <w:szCs w:val="21"/>
                    </w:rPr>
                  </w:pPr>
                  <w:r>
                    <w:rPr>
                      <w:rFonts w:hint="eastAsia"/>
                      <w:sz w:val="21"/>
                      <w:szCs w:val="21"/>
                    </w:rPr>
                    <w:t>项目用地范围</w:t>
                  </w:r>
                </w:p>
                <w:p>
                  <w:pPr>
                    <w:pStyle w:val="6"/>
                    <w:rPr>
                      <w:sz w:val="21"/>
                      <w:szCs w:val="21"/>
                    </w:rPr>
                  </w:pPr>
                </w:p>
                <w:p>
                  <w:pPr>
                    <w:pStyle w:val="6"/>
                  </w:pPr>
                </w:p>
              </w:txbxContent>
            </v:textbox>
          </v:shape>
        </w:pict>
      </w:r>
      <w:r>
        <w:pict>
          <v:rect id="_x0000_s2058" o:spid="_x0000_s2058" o:spt="1" style="position:absolute;left:0pt;margin-left:12.5pt;margin-top:316.65pt;height:17pt;width:99.2pt;z-index:251672576;v-text-anchor:middle;mso-width-relative:page;mso-height-relative:page;" filled="f" stroked="t" coordsize="21600,21600" o:gfxdata="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3ssNzZAAAACgEAAA8AAAAAAAAAAQAgAAAAIgAAAGRycy9kb3ducmV2LnhtbFBL&#10;AQIUABQAAAAIAIdO4kBEcLSSZwIAAMIEAAAOAAAAAAAAAAEAIAAAACgBAABkcnMvZTJvRG9jLnht&#10;bFBLBQYAAAAABgAGAFkBAAABBgAAAAA=&#10;">
            <v:path/>
            <v:fill on="f" focussize="0,0"/>
            <v:stroke weight="2pt" color="#FFFF00" joinstyle="round"/>
            <v:imagedata o:title=""/>
            <o:lock v:ext="edit"/>
          </v:rect>
        </w:pict>
      </w:r>
      <w:r>
        <w:pict>
          <v:rect id="_x0000_s2057" o:spid="_x0000_s2057" o:spt="1" style="position:absolute;left:0pt;margin-left:10.45pt;margin-top:273pt;height:17pt;width:99.2pt;z-index:251671552;v-text-anchor:middle;mso-width-relative:page;mso-height-relative:page;" filled="f" stroked="t" coordsize="21600,21600" o:gfxdata="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9wxpvbAAAACgEAAA8AAAAAAAAAAQAgAAAAIgAAAGRycy9kb3ducmV2&#10;LnhtbFBLAQIUABQAAAAIAIdO4kAid7yNawIAAMIEAAAOAAAAAAAAAAEAIAAAACoBAABkcnMvZTJv&#10;RG9jLnhtbFBLBQYAAAAABgAGAFkBAAAHBgAAAAA=&#10;">
            <v:path/>
            <v:fill on="f" focussize="0,0"/>
            <v:stroke weight="2pt" color="#7030A0" joinstyle="round"/>
            <v:imagedata o:title=""/>
            <o:lock v:ext="edit"/>
          </v:rect>
        </w:pict>
      </w:r>
      <w:r>
        <w:rPr>
          <w:rFonts w:hint="eastAsia" w:eastAsia="宋体"/>
          <w:lang w:eastAsia="zh-CN"/>
        </w:rPr>
        <w:drawing>
          <wp:inline distT="0" distB="0" distL="114300" distR="114300">
            <wp:extent cx="8806815" cy="5182870"/>
            <wp:effectExtent l="0" t="0" r="13335" b="17780"/>
            <wp:docPr id="2" name="图片 2" descr="微信图片_2024081509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815095703"/>
                    <pic:cNvPicPr>
                      <a:picLocks noChangeAspect="1"/>
                    </pic:cNvPicPr>
                  </pic:nvPicPr>
                  <pic:blipFill>
                    <a:blip r:embed="rId56"/>
                    <a:stretch>
                      <a:fillRect/>
                    </a:stretch>
                  </pic:blipFill>
                  <pic:spPr>
                    <a:xfrm>
                      <a:off x="0" y="0"/>
                      <a:ext cx="8806815" cy="518287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u w:val="single"/>
        </w:rPr>
      </w:pPr>
      <w:r>
        <w:rPr>
          <w:rFonts w:hint="eastAsia"/>
          <w:color w:val="000000"/>
          <w:kern w:val="2"/>
          <w:sz w:val="32"/>
          <w:u w:val="single"/>
        </w:rPr>
        <w:t>附图3项目</w:t>
      </w:r>
      <w:r>
        <w:rPr>
          <w:rFonts w:hint="eastAsia"/>
          <w:color w:val="000000"/>
          <w:kern w:val="2"/>
          <w:sz w:val="32"/>
          <w:u w:val="single"/>
          <w:lang w:val="en-US" w:eastAsia="zh-CN"/>
        </w:rPr>
        <w:t>排水路径</w:t>
      </w:r>
      <w:r>
        <w:rPr>
          <w:rFonts w:hint="eastAsia"/>
          <w:color w:val="000000"/>
          <w:kern w:val="2"/>
          <w:sz w:val="32"/>
          <w:u w:val="single"/>
        </w:rPr>
        <w:t>图</w:t>
      </w:r>
    </w:p>
    <w:p>
      <w:pPr>
        <w:rPr>
          <w:rFonts w:hint="eastAsia" w:eastAsia="宋体"/>
          <w:lang w:eastAsia="zh-CN"/>
        </w:rPr>
        <w:sectPr>
          <w:pgSz w:w="16838" w:h="11906" w:orient="landscape"/>
          <w:pgMar w:top="1587" w:right="1474" w:bottom="1361" w:left="1474" w:header="851" w:footer="992" w:gutter="0"/>
          <w:cols w:space="720" w:num="1"/>
          <w:docGrid w:type="lines" w:linePitch="312" w:charSpace="0"/>
        </w:sectPr>
      </w:pPr>
      <w:r>
        <w:pict>
          <v:rect id="_x0000_s2091" o:spid="_x0000_s2091" o:spt="1" style="position:absolute;left:0pt;flip:y;margin-left:577.45pt;margin-top:328.6pt;height:6pt;width:99.2pt;z-index:251689984;v-text-anchor:middle;mso-width-relative:page;mso-height-relative:page;" fillcolor="#FFFF00" filled="t" stroked="t" coordsize="21600,21600">
            <v:path/>
            <v:fill on="t" color2="#FFFFFF" focussize="0,0"/>
            <v:stroke weight="2pt" color="#FFFF00" joinstyle="round"/>
            <v:imagedata o:title=""/>
            <o:lock v:ext="edit" aspectratio="f"/>
          </v:rect>
        </w:pict>
      </w:r>
      <w:r>
        <w:pict>
          <v:rect id="_x0000_s2090" o:spid="_x0000_s2090" o:spt="1" style="position:absolute;left:0pt;flip:y;margin-left:578pt;margin-top:281.5pt;height:6pt;width:99.2pt;z-index:251688960;v-text-anchor:middle;mso-width-relative:page;mso-height-relative:page;" fillcolor="#00B0F0" filled="t" stroked="t" coordsize="21600,21600">
            <v:path/>
            <v:fill on="t" color2="#FFFFFF" focussize="0,0"/>
            <v:stroke weight="2pt" color="#00B0F0" joinstyle="round"/>
            <v:imagedata o:title=""/>
            <o:lock v:ext="edit" aspectratio="f"/>
          </v:rect>
        </w:pict>
      </w:r>
      <w:r>
        <w:pict>
          <v:rect id="_x0000_s2089" o:spid="_x0000_s2089" o:spt="1" style="position:absolute;left:0pt;flip:y;margin-left:576.2pt;margin-top:237.85pt;height:6pt;width:99.2pt;z-index:251687936;v-text-anchor:middle;mso-width-relative:page;mso-height-relative:page;" fillcolor="#00B050" filled="t" stroked="t" coordsize="21600,21600">
            <v:path/>
            <v:fill on="t" focussize="0,0"/>
            <v:stroke weight="2pt" color="#00B050" joinstyle="round"/>
            <v:imagedata o:title=""/>
            <o:lock v:ext="edit" aspectratio="f"/>
          </v:rect>
        </w:pict>
      </w:r>
      <w:r>
        <w:pict>
          <v:shape id="_x0000_s2074" o:spid="_x0000_s2074" o:spt="202" type="#_x0000_t202" style="position:absolute;left:0pt;margin-left:561.2pt;margin-top:182.75pt;height:174.6pt;width:131.55pt;z-index:251682816;mso-width-relative:page;mso-height-relative:page;" fillcolor="#FFFFFF" filled="t" stroked="t" coordsize="21600,21600" o:gfxdata="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ZwZlm&#10;2AAAAAoBAAAPAAAAAAAAAAEAIAAAACIAAABkcnMvZG93bnJldi54bWxQSwECFAAUAAAACACHTuJA&#10;pI38nFoCAAC6BAAADgAAAAAAAAABACAAAAAnAQAAZHJzL2Uyb0RvYy54bWxQSwUGAAAAAAYABgBZ&#10;AQAA8wUAAAAA&#10;">
            <v:path/>
            <v:fill on="t" color2="#FFFFFF" focussize="0,0"/>
            <v:stroke weight="0.5pt" color="#000000" joinstyle="round"/>
            <v:imagedata o:title=""/>
            <o:lock v:ext="edit" aspectratio="f"/>
            <v:textbox>
              <w:txbxContent>
                <w:p>
                  <w:pPr>
                    <w:jc w:val="center"/>
                    <w:rPr>
                      <w:rFonts w:ascii="黑体" w:hAnsi="黑体" w:eastAsia="黑体" w:cs="黑体"/>
                      <w:b/>
                      <w:bCs/>
                    </w:rPr>
                  </w:pPr>
                  <w:r>
                    <w:rPr>
                      <w:rFonts w:hint="eastAsia" w:ascii="黑体" w:hAnsi="黑体" w:eastAsia="黑体" w:cs="黑体"/>
                      <w:b/>
                      <w:bCs/>
                    </w:rPr>
                    <w:t>图例</w:t>
                  </w:r>
                </w:p>
                <w:p>
                  <w:pPr>
                    <w:pStyle w:val="6"/>
                    <w:rPr>
                      <w:rFonts w:hint="default" w:eastAsia="宋体"/>
                      <w:color w:val="000000" w:themeColor="text1"/>
                      <w:sz w:val="21"/>
                      <w:szCs w:val="21"/>
                      <w:lang w:val="en-US" w:eastAsia="zh-CN"/>
                    </w:rPr>
                  </w:pPr>
                  <w:r>
                    <w:rPr>
                      <w:rFonts w:hint="eastAsia"/>
                      <w:color w:val="000000" w:themeColor="text1"/>
                      <w:sz w:val="21"/>
                      <w:szCs w:val="21"/>
                    </w:rPr>
                    <w:t>项目</w:t>
                  </w:r>
                  <w:r>
                    <w:rPr>
                      <w:rFonts w:hint="eastAsia"/>
                      <w:color w:val="000000" w:themeColor="text1"/>
                      <w:sz w:val="21"/>
                      <w:szCs w:val="21"/>
                      <w:lang w:val="en-US" w:eastAsia="zh-CN"/>
                    </w:rPr>
                    <w:t>厂内污水路径</w:t>
                  </w:r>
                </w:p>
                <w:p>
                  <w:pPr>
                    <w:pStyle w:val="6"/>
                  </w:pPr>
                </w:p>
                <w:p>
                  <w:pPr>
                    <w:pStyle w:val="6"/>
                    <w:rPr>
                      <w:rFonts w:hint="default" w:eastAsia="宋体"/>
                      <w:sz w:val="21"/>
                      <w:szCs w:val="21"/>
                      <w:lang w:val="en-US" w:eastAsia="zh-CN"/>
                    </w:rPr>
                  </w:pPr>
                  <w:r>
                    <w:rPr>
                      <w:rFonts w:hint="eastAsia"/>
                      <w:sz w:val="21"/>
                      <w:szCs w:val="21"/>
                    </w:rPr>
                    <w:t>项目</w:t>
                  </w:r>
                  <w:r>
                    <w:rPr>
                      <w:rFonts w:hint="eastAsia"/>
                      <w:sz w:val="21"/>
                      <w:szCs w:val="21"/>
                      <w:lang w:val="en-US" w:eastAsia="zh-CN"/>
                    </w:rPr>
                    <w:t>回用水路径</w:t>
                  </w:r>
                </w:p>
                <w:p>
                  <w:pPr>
                    <w:pStyle w:val="6"/>
                    <w:rPr>
                      <w:sz w:val="21"/>
                      <w:szCs w:val="21"/>
                    </w:rPr>
                  </w:pPr>
                </w:p>
                <w:p>
                  <w:pPr>
                    <w:pStyle w:val="6"/>
                    <w:rPr>
                      <w:rFonts w:hint="default" w:eastAsia="宋体"/>
                      <w:sz w:val="21"/>
                      <w:szCs w:val="21"/>
                      <w:lang w:val="en-US" w:eastAsia="zh-CN"/>
                    </w:rPr>
                  </w:pPr>
                  <w:r>
                    <w:rPr>
                      <w:rFonts w:hint="eastAsia"/>
                      <w:sz w:val="21"/>
                      <w:szCs w:val="21"/>
                    </w:rPr>
                    <w:t>项目</w:t>
                  </w:r>
                  <w:r>
                    <w:rPr>
                      <w:rFonts w:hint="eastAsia"/>
                      <w:sz w:val="21"/>
                      <w:szCs w:val="21"/>
                      <w:lang w:val="en-US" w:eastAsia="zh-CN"/>
                    </w:rPr>
                    <w:t>果园灌溉路径</w:t>
                  </w:r>
                </w:p>
                <w:p>
                  <w:pPr>
                    <w:pStyle w:val="6"/>
                    <w:rPr>
                      <w:sz w:val="21"/>
                      <w:szCs w:val="21"/>
                    </w:rPr>
                  </w:pPr>
                </w:p>
                <w:p>
                  <w:pPr>
                    <w:pStyle w:val="6"/>
                  </w:pPr>
                </w:p>
              </w:txbxContent>
            </v:textbox>
          </v:shape>
        </w:pict>
      </w:r>
      <w:r>
        <w:rPr>
          <w:sz w:val="24"/>
        </w:rPr>
        <w:pict>
          <v:rect id="_x0000_s2088" o:spid="_x0000_s2088" o:spt="1" style="position:absolute;left:0pt;margin-left:580.05pt;margin-top:240.55pt;height:14.5pt;width:85.7pt;z-index:251675648;mso-width-relative:page;mso-height-relative:page;" fillcolor="#FFFFFF" filled="t" stroked="f" coordsize="21600,21600">
            <v:path/>
            <v:fill on="t" color2="#FFFFFF" focussize="0,0"/>
            <v:stroke on="f"/>
            <v:imagedata o:title=""/>
            <o:lock v:ext="edit" aspectratio="f"/>
          </v:rect>
        </w:pict>
      </w:r>
      <w:r>
        <w:rPr>
          <w:sz w:val="24"/>
        </w:rPr>
        <w:pict>
          <v:rect id="_x0000_s2087" o:spid="_x0000_s2087" o:spt="1" style="position:absolute;left:0pt;margin-left:582.15pt;margin-top:237.85pt;height:12.35pt;width:78.75pt;z-index:251678720;mso-width-relative:page;mso-height-relative:page;" fillcolor="#FFFFFF" filled="t" stroked="t" coordsize="21600,21600">
            <v:path/>
            <v:fill on="t" color2="#FFFFFF" focussize="0,0"/>
            <v:stroke color="#00B050"/>
            <v:imagedata o:title=""/>
            <o:lock v:ext="edit" aspectratio="f"/>
          </v:rect>
        </w:pict>
      </w:r>
      <w:r>
        <w:rPr>
          <w:sz w:val="24"/>
        </w:rPr>
        <w:pict>
          <v:rect id="_x0000_s2086" o:spid="_x0000_s2086" o:spt="1" style="position:absolute;left:0pt;margin-left:579.5pt;margin-top:238.95pt;height:11.8pt;width:76.6pt;z-index:251677696;mso-width-relative:page;mso-height-relative:page;" fillcolor="#00B050" filled="t" stroked="t" coordsize="21600,21600">
            <v:path/>
            <v:fill on="t" color2="#FFFFFF" focussize="0,0"/>
            <v:stroke color="#00B050"/>
            <v:imagedata o:title=""/>
            <o:lock v:ext="edit" aspectratio="f"/>
          </v:rect>
        </w:pict>
      </w:r>
      <w:r>
        <w:rPr>
          <w:sz w:val="24"/>
        </w:rPr>
        <w:pict>
          <v:rect id="_x0000_s2085" o:spid="_x0000_s2085" o:spt="1" style="position:absolute;left:0pt;margin-left:575.2pt;margin-top:241.1pt;height:7.5pt;width:62.15pt;z-index:251676672;mso-width-relative:page;mso-height-relative:page;" fillcolor="#FFFFFF" filled="t" stroked="f" coordsize="21600,21600">
            <v:path/>
            <v:fill on="t" color2="#FFFFFF" focussize="0,0"/>
            <v:stroke on="f"/>
            <v:imagedata o:title=""/>
            <o:lock v:ext="edit" aspectratio="f"/>
          </v:rect>
        </w:pict>
      </w:r>
      <w:r>
        <w:rPr>
          <w:sz w:val="24"/>
        </w:rPr>
        <w:pict>
          <v:line id="_x0000_s2084" o:spid="_x0000_s2084" o:spt="20" style="position:absolute;left:0pt;flip:y;margin-left:583.8pt;margin-top:245.9pt;height:0.55pt;width:87.3pt;z-index:251675648;mso-width-relative:page;mso-height-relative:page;" fillcolor="#00B050" filled="t" stroked="t" coordsize="21600,21600">
            <v:path arrowok="t"/>
            <v:fill on="t" color2="#FFFFFF" focussize="0,0"/>
            <v:stroke color="#00B050"/>
            <v:imagedata o:title=""/>
            <o:lock v:ext="edit" aspectratio="f"/>
          </v:line>
        </w:pict>
      </w:r>
      <w:r>
        <w:rPr>
          <w:sz w:val="24"/>
        </w:rPr>
        <w:pict>
          <v:shape id="_x0000_s2083" o:spid="_x0000_s2083" o:spt="202" type="#_x0000_t202" style="position:absolute;left:0pt;margin-left:97.15pt;margin-top:235.9pt;height:19.1pt;width:109.2pt;rotation:-2162688f;z-index:251686912;mso-width-relative:page;mso-height-relative:page;" filled="f" stroked="f" coordsize="21600,21600">
            <v:path/>
            <v:fill on="f" focussize="0,0"/>
            <v:stroke on="f"/>
            <v:imagedata o:title=""/>
            <o:lock v:ext="edit" aspectratio="f"/>
            <v:textbox>
              <w:txbxContent>
                <w:p>
                  <w:pPr>
                    <w:spacing w:line="240" w:lineRule="auto"/>
                    <w:rPr>
                      <w:rFonts w:hint="default" w:eastAsia="宋体"/>
                      <w:lang w:val="en-US" w:eastAsia="zh-CN"/>
                    </w:rPr>
                  </w:pPr>
                  <w:r>
                    <w:rPr>
                      <w:rFonts w:hint="eastAsia"/>
                      <w:sz w:val="18"/>
                      <w:szCs w:val="18"/>
                      <w:lang w:val="en-US" w:eastAsia="zh-CN"/>
                    </w:rPr>
                    <w:t>果园灌溉用水路径</w:t>
                  </w:r>
                </w:p>
              </w:txbxContent>
            </v:textbox>
          </v:shape>
        </w:pict>
      </w:r>
      <w:r>
        <w:rPr>
          <w:sz w:val="24"/>
        </w:rPr>
        <w:pict>
          <v:shape id="_x0000_s2082" o:spid="_x0000_s2082" o:spt="66" type="#_x0000_t66" style="position:absolute;left:0pt;margin-left:148.8pt;margin-top:233.15pt;height:11.4pt;width:65.6pt;rotation:5373952f;z-index:251685888;mso-width-relative:page;mso-height-relative:page;" fillcolor="#FFFF00" filled="t" stroked="t" coordsize="21600,21600" adj="5400,5400">
            <v:path/>
            <v:fill on="t" color2="#FFFFFF" focussize="0,0"/>
            <v:stroke color="#FFFF00" joinstyle="miter"/>
            <v:imagedata o:title=""/>
            <o:lock v:ext="edit" aspectratio="f"/>
          </v:shape>
        </w:pict>
      </w:r>
      <w:r>
        <w:rPr>
          <w:sz w:val="24"/>
        </w:rPr>
        <w:pict>
          <v:shape id="_x0000_s2081" o:spid="_x0000_s2081" o:spt="202" type="#_x0000_t202" style="position:absolute;left:0pt;margin-left:433.25pt;margin-top:203.4pt;height:19.1pt;width:64.65pt;rotation:-2162688f;z-index:251684864;mso-width-relative:page;mso-height-relative:page;" filled="f" stroked="f" coordsize="21600,21600">
            <v:path/>
            <v:fill on="f" focussize="0,0"/>
            <v:stroke on="f"/>
            <v:imagedata o:title=""/>
            <o:lock v:ext="edit" aspectratio="f"/>
            <v:textbox>
              <w:txbxContent>
                <w:p>
                  <w:pPr>
                    <w:spacing w:line="240" w:lineRule="auto"/>
                    <w:rPr>
                      <w:rFonts w:hint="default" w:eastAsia="宋体"/>
                      <w:lang w:val="en-US" w:eastAsia="zh-CN"/>
                    </w:rPr>
                  </w:pPr>
                  <w:r>
                    <w:rPr>
                      <w:rFonts w:hint="eastAsia"/>
                      <w:sz w:val="18"/>
                      <w:szCs w:val="18"/>
                      <w:lang w:val="en-US" w:eastAsia="zh-CN"/>
                    </w:rPr>
                    <w:t>回用水路径</w:t>
                  </w:r>
                </w:p>
              </w:txbxContent>
            </v:textbox>
          </v:shape>
        </w:pict>
      </w:r>
      <w:r>
        <w:rPr>
          <w:sz w:val="24"/>
        </w:rPr>
        <w:pict>
          <v:shape id="_x0000_s2079" o:spid="_x0000_s2079" o:spt="66" type="#_x0000_t66" style="position:absolute;left:0pt;margin-left:411.65pt;margin-top:194.9pt;height:11.4pt;width:65.6pt;rotation:8519680f;z-index:251683840;mso-width-relative:page;mso-height-relative:page;" fillcolor="#00B0F0" filled="t" stroked="t" coordsize="21600,21600" adj="5400,5400">
            <v:path/>
            <v:fill on="t" color2="#FFFFFF" focussize="0,0"/>
            <v:stroke color="#00B0F0" joinstyle="miter"/>
            <v:imagedata o:title=""/>
            <o:lock v:ext="edit" aspectratio="f"/>
          </v:shape>
        </w:pict>
      </w:r>
      <w:r>
        <w:rPr>
          <w:sz w:val="24"/>
        </w:rPr>
        <w:pict>
          <v:shape id="_x0000_s2078" o:spid="_x0000_s2078" o:spt="202" type="#_x0000_t202" style="position:absolute;left:0pt;margin-left:359.3pt;margin-top:130.2pt;height:19.1pt;width:55.25pt;rotation:-2162688f;z-index:251676672;mso-width-relative:page;mso-height-relative:page;" filled="f" stroked="f" coordsize="21600,21600">
            <v:path/>
            <v:fill on="f" focussize="0,0"/>
            <v:stroke on="f"/>
            <v:imagedata o:title=""/>
            <o:lock v:ext="edit" aspectratio="f"/>
            <v:textbox>
              <w:txbxContent>
                <w:p>
                  <w:pPr>
                    <w:spacing w:line="240" w:lineRule="auto"/>
                    <w:rPr>
                      <w:rFonts w:hint="default" w:eastAsia="宋体"/>
                      <w:lang w:val="en-US" w:eastAsia="zh-CN"/>
                    </w:rPr>
                  </w:pPr>
                  <w:r>
                    <w:rPr>
                      <w:rFonts w:hint="eastAsia"/>
                      <w:sz w:val="18"/>
                      <w:szCs w:val="18"/>
                      <w:lang w:val="en-US" w:eastAsia="zh-CN"/>
                    </w:rPr>
                    <w:t>污水路径</w:t>
                  </w:r>
                </w:p>
              </w:txbxContent>
            </v:textbox>
          </v:shape>
        </w:pict>
      </w:r>
      <w:r>
        <w:rPr>
          <w:sz w:val="24"/>
        </w:rPr>
        <w:pict>
          <v:shape id="_x0000_s2077" o:spid="_x0000_s2077" o:spt="66" type="#_x0000_t66" style="position:absolute;left:0pt;margin-left:363.75pt;margin-top:150.2pt;height:11.4pt;width:65.6pt;rotation:-2555904f;z-index:251675648;mso-width-relative:page;mso-height-relative:page;" fillcolor="#00B050" filled="t" stroked="t" coordsize="21600,21600" adj="5400,5400">
            <v:path/>
            <v:fill on="t" color2="#FFFFFF" focussize="0,0"/>
            <v:stroke color="#00B050"/>
            <v:imagedata o:title=""/>
            <o:lock v:ext="edit" aspectratio="f"/>
          </v:shape>
        </w:pict>
      </w:r>
      <w:r>
        <w:rPr>
          <w:sz w:val="24"/>
        </w:rPr>
        <w:pict>
          <v:shape id="_x0000_s2073" o:spid="_x0000_s2073" o:spt="202" type="#_x0000_t202" style="position:absolute;left:0pt;margin-left:206.9pt;margin-top:259.4pt;height:19.75pt;width:87.25pt;z-index:251681792;mso-width-relative:page;mso-height-relative:page;" filled="f" stroked="f" coordsize="21600,21600">
            <v:path/>
            <v:fill on="f" focussize="0,0"/>
            <v:stroke on="f"/>
            <v:imagedata o:title=""/>
            <o:lock v:ext="edit" aspectratio="f"/>
            <v:textbox>
              <w:txbxContent>
                <w:p>
                  <w:pPr>
                    <w:spacing w:line="240" w:lineRule="auto"/>
                    <w:jc w:val="center"/>
                    <w:rPr>
                      <w:rFonts w:hint="default" w:eastAsia="宋体"/>
                      <w:color w:val="FF0000"/>
                      <w:sz w:val="18"/>
                      <w:szCs w:val="18"/>
                      <w:lang w:val="en-US" w:eastAsia="zh-CN"/>
                    </w:rPr>
                  </w:pPr>
                  <w:r>
                    <w:rPr>
                      <w:rFonts w:hint="eastAsia"/>
                      <w:color w:val="FF0000"/>
                      <w:sz w:val="18"/>
                      <w:szCs w:val="18"/>
                      <w:lang w:val="en-US" w:eastAsia="zh-CN"/>
                    </w:rPr>
                    <w:t>三级过滤沉淀池</w:t>
                  </w:r>
                </w:p>
              </w:txbxContent>
            </v:textbox>
          </v:shape>
        </w:pict>
      </w:r>
      <w:r>
        <w:rPr>
          <w:sz w:val="24"/>
        </w:rPr>
        <w:pict>
          <v:shape id="_x0000_s2071" o:spid="_x0000_s2071" o:spt="202" type="#_x0000_t202" style="position:absolute;left:0pt;margin-left:258.6pt;margin-top:306.35pt;height:19.75pt;width:103.35pt;z-index:251677696;mso-width-relative:page;mso-height-relative:page;" filled="f" stroked="f" coordsize="21600,21600">
            <v:path/>
            <v:fill on="f" focussize="0,0"/>
            <v:stroke on="f"/>
            <v:imagedata o:title=""/>
            <o:lock v:ext="edit" aspectratio="f"/>
            <v:textbox>
              <w:txbxContent>
                <w:p>
                  <w:pPr>
                    <w:spacing w:line="240" w:lineRule="auto"/>
                    <w:jc w:val="center"/>
                    <w:rPr>
                      <w:rFonts w:hint="default" w:eastAsia="宋体"/>
                      <w:color w:val="FF0000"/>
                      <w:sz w:val="18"/>
                      <w:szCs w:val="18"/>
                      <w:lang w:val="en-US" w:eastAsia="zh-CN"/>
                    </w:rPr>
                  </w:pPr>
                  <w:r>
                    <w:rPr>
                      <w:rFonts w:hint="eastAsia"/>
                      <w:color w:val="FF0000"/>
                      <w:sz w:val="18"/>
                      <w:szCs w:val="18"/>
                      <w:lang w:val="en-US" w:eastAsia="zh-CN"/>
                    </w:rPr>
                    <w:t>污水处理一体化设施</w:t>
                  </w:r>
                </w:p>
              </w:txbxContent>
            </v:textbox>
          </v:shape>
        </w:pict>
      </w:r>
      <w:r>
        <w:rPr>
          <w:sz w:val="24"/>
        </w:rPr>
        <w:pict>
          <v:shape id="_x0000_s2072" o:spid="_x0000_s2072" o:spt="202" type="#_x0000_t202" style="position:absolute;left:0pt;margin-left:185.95pt;margin-top:323.65pt;height:19.75pt;width:69.1pt;z-index:251680768;mso-width-relative:page;mso-height-relative:page;" filled="f" stroked="f" coordsize="21600,21600">
            <v:path/>
            <v:fill on="f" focussize="0,0"/>
            <v:stroke on="f"/>
            <v:imagedata o:title=""/>
            <o:lock v:ext="edit" aspectratio="f"/>
            <v:textbox>
              <w:txbxContent>
                <w:p>
                  <w:pPr>
                    <w:spacing w:line="240" w:lineRule="auto"/>
                    <w:jc w:val="center"/>
                    <w:rPr>
                      <w:rFonts w:hint="default" w:eastAsia="宋体"/>
                      <w:color w:val="FF0000"/>
                      <w:sz w:val="18"/>
                      <w:szCs w:val="18"/>
                      <w:lang w:val="en-US" w:eastAsia="zh-CN"/>
                    </w:rPr>
                  </w:pPr>
                  <w:r>
                    <w:rPr>
                      <w:rFonts w:hint="eastAsia"/>
                      <w:color w:val="FF0000"/>
                      <w:sz w:val="18"/>
                      <w:szCs w:val="18"/>
                      <w:lang w:val="en-US" w:eastAsia="zh-CN"/>
                    </w:rPr>
                    <w:t>清水池</w:t>
                  </w:r>
                </w:p>
              </w:txbxContent>
            </v:textbox>
          </v:shape>
        </w:pict>
      </w:r>
      <w:r>
        <w:rPr>
          <w:rFonts w:hint="eastAsia" w:eastAsia="宋体"/>
          <w:lang w:eastAsia="zh-CN"/>
        </w:rPr>
        <w:drawing>
          <wp:inline distT="0" distB="0" distL="114300" distR="114300">
            <wp:extent cx="8806815" cy="5118735"/>
            <wp:effectExtent l="0" t="0" r="13335" b="5715"/>
            <wp:docPr id="15" name="图片 15" descr="微信图片_2024081510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40815101232"/>
                    <pic:cNvPicPr>
                      <a:picLocks noChangeAspect="1"/>
                    </pic:cNvPicPr>
                  </pic:nvPicPr>
                  <pic:blipFill>
                    <a:blip r:embed="rId57"/>
                    <a:stretch>
                      <a:fillRect/>
                    </a:stretch>
                  </pic:blipFill>
                  <pic:spPr>
                    <a:xfrm>
                      <a:off x="0" y="0"/>
                      <a:ext cx="8806815" cy="5118735"/>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bookmarkStart w:id="88" w:name="_Toc78"/>
      <w:bookmarkStart w:id="89" w:name="_Toc13697"/>
      <w:bookmarkStart w:id="90" w:name="_Toc8305"/>
      <w:r>
        <w:rPr>
          <w:rFonts w:hint="eastAsia"/>
          <w:color w:val="000000"/>
          <w:kern w:val="2"/>
          <w:sz w:val="32"/>
        </w:rPr>
        <w:t>附图</w:t>
      </w:r>
      <w:r>
        <w:rPr>
          <w:rFonts w:hint="eastAsia"/>
          <w:color w:val="000000"/>
          <w:kern w:val="2"/>
          <w:sz w:val="32"/>
          <w:lang w:val="en-US" w:eastAsia="zh-CN"/>
        </w:rPr>
        <w:t>4</w:t>
      </w:r>
      <w:r>
        <w:rPr>
          <w:rFonts w:hint="eastAsia"/>
          <w:color w:val="000000"/>
          <w:kern w:val="2"/>
          <w:sz w:val="32"/>
        </w:rPr>
        <w:t>项目及周边环境现状图</w:t>
      </w:r>
      <w:bookmarkEnd w:id="88"/>
      <w:bookmarkEnd w:id="89"/>
    </w:p>
    <w:p>
      <w:pPr>
        <w:widowControl/>
        <w:adjustRightInd w:val="0"/>
        <w:snapToGrid w:val="0"/>
        <w:spacing w:line="240" w:lineRule="auto"/>
        <w:jc w:val="left"/>
        <w:rPr>
          <w:rFonts w:hint="eastAsia" w:eastAsia="宋体"/>
          <w:lang w:eastAsia="zh-CN"/>
        </w:rPr>
      </w:pPr>
      <w:r>
        <w:pict>
          <v:rect id="_x0000_s2053" o:spid="_x0000_s2053" o:spt="1" style="position:absolute;left:0pt;margin-left:18.15pt;margin-top:219.2pt;height:19.85pt;width:119.05pt;z-index:251667456;v-text-anchor:middle;mso-width-relative:page;mso-height-relative:page;" filled="f" stroked="t" coordsize="21600,21600" o:gfxdata="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8oa6tkAAAAKAQAADwAAAAAAAAABACAAAAAiAAAAZHJzL2Rvd25yZXYueG1s&#10;UEsBAhQAFAAAAAgAh07iQGfszV5pAgAAwAQAAA4AAAAAAAAAAQAgAAAAKAEAAGRycy9lMm9Eb2Mu&#10;eG1sUEsFBgAAAAAGAAYAWQEAAAMGAAAAAA==&#10;">
            <v:path/>
            <v:fill on="f" focussize="0,0"/>
            <v:stroke weight="2pt" color="#FE1AD6" joinstyle="round"/>
            <v:imagedata o:title=""/>
            <o:lock v:ext="edit"/>
          </v:rect>
        </w:pict>
      </w:r>
      <w:r>
        <w:pict>
          <v:rect id="_x0000_s2055" o:spid="_x0000_s2055" o:spt="1" style="position:absolute;left:0pt;margin-left:17.05pt;margin-top:264.3pt;height:19.85pt;width:119.05pt;z-index:251668480;v-text-anchor:middle;mso-width-relative:page;mso-height-relative:page;" filled="f" stroked="t" coordsize="21600,21600" o:gfxdata="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5Lo1LZAAAACgEAAA8AAAAAAAAAAQAgAAAAIgAAAGRycy9kb3ducmV2Lnht&#10;bFBLAQIUABQAAAAIAIdO4kCoZA/IagIAAMAEAAAOAAAAAAAAAAEAIAAAACgBAABkcnMvZTJvRG9j&#10;LnhtbFBLBQYAAAAABgAGAFkBAAAEBgAAAAA=&#10;">
            <v:path/>
            <v:fill on="f" focussize="0,0"/>
            <v:stroke weight="2pt" color="#FF0000" joinstyle="round"/>
            <v:imagedata o:title=""/>
            <o:lock v:ext="edit"/>
          </v:rect>
        </w:pict>
      </w:r>
      <w:r>
        <w:pict>
          <v:rect id="_x0000_s2054" o:spid="_x0000_s2054" o:spt="1" style="position:absolute;left:0pt;margin-left:16.25pt;margin-top:305.25pt;height:19.85pt;width:119.05pt;z-index:251669504;v-text-anchor:middle;mso-width-relative:page;mso-height-relative:page;" fillcolor="#92D050" filled="t" stroked="t" coordsize="21600,21600" o:gfxdata="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UIdBd2QAAAAoBAAAPAAAAAAAAAAEAIAAAACIAAABkcnMv&#10;ZG93bnJldi54bWxQSwECFAAUAAAACACHTuJA7LfWGXQCAADpBAAADgAAAAAAAAABACAAAAAoAQAA&#10;ZHJzL2Uyb0RvYy54bWxQSwUGAAAAAAYABgBZAQAADgYAAAAA&#10;">
            <v:path/>
            <v:fill on="t" focussize="0,0"/>
            <v:stroke weight="2pt" color="#FFFF00" joinstyle="round"/>
            <v:imagedata o:title=""/>
            <o:lock v:ext="edit"/>
          </v:rect>
        </w:pict>
      </w:r>
      <w:r>
        <w:pict>
          <v:shape id="_x0000_s2052" o:spid="_x0000_s2052" o:spt="202" type="#_x0000_t202" style="position:absolute;left:0pt;margin-left:-0.15pt;margin-top:172.6pt;height:201.6pt;width:161.55pt;z-index:251666432;mso-width-relative:page;mso-height-relative:page;" fillcolor="#FFFFFF" filled="t" stroked="t" coordsize="21600,21600" o:gfxdata="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R/8T9YA&#10;AAAJAQAADwAAAAAAAAABACAAAAAiAAAAZHJzL2Rvd25yZXYueG1sUEsBAhQAFAAAAAgAh07iQGO3&#10;Z31aAgAAugQAAA4AAAAAAAAAAQAgAAAAJQEAAGRycy9lMm9Eb2MueG1sUEsFBgAAAAAGAAYAWQEA&#10;APEFAAAAAA==&#10;">
            <v:path/>
            <v:fill on="t" color2="#FFFFFF" focussize="0,0"/>
            <v:stroke weight="0.5pt" color="#000000" joinstyle="round"/>
            <v:imagedata o:title=""/>
            <o:lock v:ext="edit" aspectratio="f"/>
            <v:textbox>
              <w:txbxContent>
                <w:p>
                  <w:pPr>
                    <w:jc w:val="center"/>
                    <w:rPr>
                      <w:rFonts w:ascii="黑体" w:hAnsi="黑体" w:eastAsia="黑体" w:cs="黑体"/>
                      <w:b/>
                      <w:bCs/>
                    </w:rPr>
                  </w:pPr>
                  <w:r>
                    <w:rPr>
                      <w:rFonts w:hint="eastAsia" w:ascii="黑体" w:hAnsi="黑体" w:eastAsia="黑体" w:cs="黑体"/>
                      <w:b/>
                      <w:bCs/>
                    </w:rPr>
                    <w:t>图例</w:t>
                  </w:r>
                </w:p>
                <w:p>
                  <w:pPr>
                    <w:pStyle w:val="6"/>
                    <w:rPr>
                      <w:color w:val="000000" w:themeColor="text1"/>
                      <w:sz w:val="21"/>
                      <w:szCs w:val="21"/>
                    </w:rPr>
                  </w:pPr>
                  <w:r>
                    <w:rPr>
                      <w:rFonts w:hint="eastAsia"/>
                      <w:color w:val="000000" w:themeColor="text1"/>
                      <w:sz w:val="21"/>
                      <w:szCs w:val="21"/>
                    </w:rPr>
                    <w:t>大气环境保护目标范围</w:t>
                  </w:r>
                </w:p>
                <w:p>
                  <w:pPr>
                    <w:pStyle w:val="6"/>
                    <w:rPr>
                      <w:sz w:val="21"/>
                      <w:szCs w:val="21"/>
                    </w:rPr>
                  </w:pPr>
                </w:p>
                <w:p>
                  <w:pPr>
                    <w:pStyle w:val="6"/>
                    <w:rPr>
                      <w:sz w:val="21"/>
                      <w:szCs w:val="21"/>
                    </w:rPr>
                  </w:pPr>
                  <w:r>
                    <w:rPr>
                      <w:rFonts w:hint="eastAsia"/>
                      <w:sz w:val="21"/>
                      <w:szCs w:val="21"/>
                    </w:rPr>
                    <w:t>项目位置</w:t>
                  </w:r>
                </w:p>
                <w:p>
                  <w:pPr>
                    <w:pStyle w:val="6"/>
                    <w:rPr>
                      <w:sz w:val="21"/>
                      <w:szCs w:val="21"/>
                    </w:rPr>
                  </w:pPr>
                </w:p>
                <w:p>
                  <w:pPr>
                    <w:pStyle w:val="6"/>
                    <w:rPr>
                      <w:sz w:val="21"/>
                      <w:szCs w:val="21"/>
                    </w:rPr>
                  </w:pPr>
                  <w:r>
                    <w:rPr>
                      <w:rFonts w:hint="eastAsia"/>
                      <w:sz w:val="21"/>
                      <w:szCs w:val="21"/>
                    </w:rPr>
                    <w:t>敏感点</w:t>
                  </w:r>
                </w:p>
                <w:p>
                  <w:pPr>
                    <w:pStyle w:val="6"/>
                    <w:rPr>
                      <w:sz w:val="21"/>
                      <w:szCs w:val="21"/>
                    </w:rPr>
                  </w:pPr>
                </w:p>
                <w:p>
                  <w:pPr>
                    <w:pStyle w:val="6"/>
                    <w:rPr>
                      <w:rFonts w:hint="eastAsia" w:eastAsia="宋体"/>
                      <w:lang w:eastAsia="zh-CN"/>
                    </w:rPr>
                  </w:pPr>
                  <w:r>
                    <w:rPr>
                      <w:rFonts w:hint="eastAsia"/>
                      <w:sz w:val="21"/>
                      <w:szCs w:val="21"/>
                      <w:lang w:val="en-US" w:eastAsia="zh-CN"/>
                    </w:rPr>
                    <w:t>农灌渠</w:t>
                  </w:r>
                </w:p>
              </w:txbxContent>
            </v:textbox>
          </v:shape>
        </w:pict>
      </w:r>
      <w:r>
        <w:rPr>
          <w:sz w:val="24"/>
        </w:rPr>
        <w:pict>
          <v:line id="_x0000_s2068" o:spid="_x0000_s2068" o:spt="20" style="position:absolute;left:0pt;flip:y;margin-left:18.35pt;margin-top:356.8pt;height:0.6pt;width:113.15pt;z-index:251675648;mso-width-relative:page;mso-height-relative:page;" fillcolor="#00B050" filled="t" stroked="t" coordsize="21600,21600">
            <v:path arrowok="t"/>
            <v:fill on="t" color2="#FFFFFF" focussize="0,0"/>
            <v:stroke color="#00B050"/>
            <v:imagedata o:title=""/>
            <o:lock v:ext="edit" aspectratio="f"/>
          </v:line>
        </w:pict>
      </w:r>
      <w:r>
        <w:drawing>
          <wp:anchor distT="0" distB="0" distL="114300" distR="114300" simplePos="0" relativeHeight="251661312" behindDoc="0" locked="0" layoutInCell="1" allowOverlap="1">
            <wp:simplePos x="0" y="0"/>
            <wp:positionH relativeFrom="column">
              <wp:posOffset>8144510</wp:posOffset>
            </wp:positionH>
            <wp:positionV relativeFrom="paragraph">
              <wp:posOffset>10160</wp:posOffset>
            </wp:positionV>
            <wp:extent cx="695325" cy="774065"/>
            <wp:effectExtent l="19050" t="0" r="9525" b="0"/>
            <wp:wrapNone/>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noChangeArrowheads="1"/>
                    </pic:cNvPicPr>
                  </pic:nvPicPr>
                  <pic:blipFill>
                    <a:blip r:embed="rId54" cstate="print"/>
                    <a:srcRect/>
                    <a:stretch>
                      <a:fillRect/>
                    </a:stretch>
                  </pic:blipFill>
                  <pic:spPr>
                    <a:xfrm>
                      <a:off x="0" y="0"/>
                      <a:ext cx="695325" cy="774065"/>
                    </a:xfrm>
                    <a:prstGeom prst="rect">
                      <a:avLst/>
                    </a:prstGeom>
                    <a:noFill/>
                    <a:ln w="9525">
                      <a:noFill/>
                      <a:miter lim="800000"/>
                      <a:headEnd/>
                      <a:tailEnd/>
                    </a:ln>
                  </pic:spPr>
                </pic:pic>
              </a:graphicData>
            </a:graphic>
          </wp:anchor>
        </w:drawing>
      </w:r>
      <w:r>
        <w:rPr>
          <w:rFonts w:hint="eastAsia" w:eastAsia="宋体"/>
          <w:lang w:eastAsia="zh-CN"/>
        </w:rPr>
        <w:drawing>
          <wp:inline distT="0" distB="0" distL="114300" distR="114300">
            <wp:extent cx="8854440" cy="4795520"/>
            <wp:effectExtent l="0" t="0" r="3810" b="5080"/>
            <wp:docPr id="5" name="图片 5" descr="微信图片_2024072215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0722150259"/>
                    <pic:cNvPicPr>
                      <a:picLocks noChangeAspect="1"/>
                    </pic:cNvPicPr>
                  </pic:nvPicPr>
                  <pic:blipFill>
                    <a:blip r:embed="rId58"/>
                    <a:stretch>
                      <a:fillRect/>
                    </a:stretch>
                  </pic:blipFill>
                  <pic:spPr>
                    <a:xfrm>
                      <a:off x="0" y="0"/>
                      <a:ext cx="8854440" cy="4795520"/>
                    </a:xfrm>
                    <a:prstGeom prst="rect">
                      <a:avLst/>
                    </a:prstGeom>
                  </pic:spPr>
                </pic:pic>
              </a:graphicData>
            </a:graphic>
          </wp:inline>
        </w:drawing>
      </w:r>
    </w:p>
    <w:p>
      <w:pPr>
        <w:ind w:firstLine="480"/>
      </w:pPr>
      <w:bookmarkStart w:id="91" w:name="_Toc7565"/>
      <w:r>
        <w:rPr>
          <w:color w:val="000000"/>
          <w:sz w:val="32"/>
        </w:rPr>
        <w:br w:type="page"/>
      </w:r>
    </w:p>
    <w:bookmarkEnd w:id="66"/>
    <w:bookmarkEnd w:id="67"/>
    <w:bookmarkEnd w:id="68"/>
    <w:bookmarkEnd w:id="69"/>
    <w:bookmarkEnd w:id="70"/>
    <w:bookmarkEnd w:id="71"/>
    <w:bookmarkEnd w:id="72"/>
    <w:bookmarkEnd w:id="73"/>
    <w:bookmarkEnd w:id="74"/>
    <w:bookmarkEnd w:id="75"/>
    <w:bookmarkEnd w:id="76"/>
    <w:bookmarkEnd w:id="90"/>
    <w:bookmarkEnd w:id="91"/>
    <w:p>
      <w:pPr>
        <w:spacing w:line="240" w:lineRule="auto"/>
        <w:rPr>
          <w:color w:val="000000"/>
          <w:sz w:val="32"/>
        </w:rPr>
        <w:sectPr>
          <w:footerReference r:id="rId15" w:type="default"/>
          <w:pgSz w:w="16838" w:h="11905" w:orient="landscape"/>
          <w:pgMar w:top="1803" w:right="1440" w:bottom="1803" w:left="1440" w:header="851" w:footer="992" w:gutter="0"/>
          <w:cols w:space="720" w:num="1"/>
          <w:docGrid w:type="lines" w:linePitch="312" w:charSpace="0"/>
        </w:sectPr>
      </w:pP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附图</w:t>
      </w:r>
      <w:r>
        <w:rPr>
          <w:rFonts w:hint="eastAsia"/>
          <w:color w:val="000000"/>
          <w:kern w:val="2"/>
          <w:sz w:val="32"/>
          <w:lang w:val="en-US" w:eastAsia="zh-CN"/>
        </w:rPr>
        <w:t>5</w:t>
      </w:r>
      <w:r>
        <w:rPr>
          <w:rFonts w:hint="eastAsia"/>
          <w:color w:val="000000"/>
          <w:kern w:val="2"/>
          <w:sz w:val="32"/>
        </w:rPr>
        <w:t>大坪塘镇规划用地图</w:t>
      </w:r>
    </w:p>
    <w:p>
      <w:pPr>
        <w:pStyle w:val="5"/>
      </w:pPr>
      <w:r>
        <w:pict>
          <v:shape id="_x0000_s2051" o:spid="_x0000_s2051" o:spt="202" type="#_x0000_t202" style="position:absolute;left:0pt;margin-left:327.05pt;margin-top:250.2pt;height:21.5pt;width:55.05pt;z-index:251678720;mso-width-relative:page;mso-height-relative:page;" filled="f" stroked="f" coordsize="21600,21600" o:gfxdata="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gmJDdwAAAALAQAADwAAAAAAAAABACAAAAAiAAAA&#10;ZHJzL2Rvd25yZXYueG1sUEsBAhQAFAAAAAgAh07iQBRFsT88AgAAZwQAAA4AAAAAAAAAAQAgAAAA&#10;KwEAAGRycy9lMm9Eb2MueG1sUEsFBgAAAAAGAAYAWQEAANkFAAAAAA==&#10;">
            <v:path/>
            <v:fill on="f" focussize="0,0"/>
            <v:stroke on="f" weight="0.5pt" joinstyle="miter"/>
            <v:imagedata o:title=""/>
            <o:lock v:ext="edit"/>
            <v:textbox>
              <w:txbxContent>
                <w:p>
                  <w:pPr>
                    <w:spacing w:line="240" w:lineRule="auto"/>
                  </w:pPr>
                  <w:r>
                    <w:rPr>
                      <w:rFonts w:hint="eastAsia"/>
                    </w:rPr>
                    <w:t>本项目</w:t>
                  </w:r>
                </w:p>
              </w:txbxContent>
            </v:textbox>
          </v:shape>
        </w:pict>
      </w:r>
      <w:r>
        <w:pict>
          <v:shape id="_x0000_s2050" o:spid="_x0000_s2050" o:spt="3" type="#_x0000_t3" style="position:absolute;left:0pt;margin-left:349.75pt;margin-top:275.85pt;height:5.95pt;width:5.95pt;z-index:251677696;v-text-anchor:middle;mso-width-relative:page;mso-height-relative:page;" fillcolor="#FF0000" filled="t" stroked="t" coordsize="21600,21600" o:gfxdata="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F&#10;wrr92AAAAAsBAAAPAAAAAAAAAAEAIAAAACIAAABkcnMvZG93bnJldi54bWxQSwECFAAUAAAACACH&#10;TuJATuduuV0CAADfBAAADgAAAAAAAAABACAAAAAnAQAAZHJzL2Uyb0RvYy54bWxQSwUGAAAAAAYA&#10;BgBZAQAA9gUAAAAA&#10;">
            <v:path/>
            <v:fill on="t" focussize="0,0"/>
            <v:stroke weight="2pt" color="#FF0000"/>
            <v:imagedata o:title=""/>
            <o:lock v:ext="edit"/>
          </v:shape>
        </w:pict>
      </w:r>
      <w:r>
        <w:drawing>
          <wp:inline distT="0" distB="0" distL="114300" distR="114300">
            <wp:extent cx="8351520" cy="4657090"/>
            <wp:effectExtent l="0" t="0" r="11430" b="10160"/>
            <wp:docPr id="33" name="图片 33" descr="10新田县大坪塘镇国土空间规划(2021-2035年)》公示文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0新田县大坪塘镇国土空间规划(2021-2035年)》公示文件(1)"/>
                    <pic:cNvPicPr>
                      <a:picLocks noChangeAspect="1"/>
                    </pic:cNvPicPr>
                  </pic:nvPicPr>
                  <pic:blipFill>
                    <a:blip r:embed="rId59"/>
                    <a:stretch>
                      <a:fillRect/>
                    </a:stretch>
                  </pic:blipFill>
                  <pic:spPr>
                    <a:xfrm>
                      <a:off x="0" y="0"/>
                      <a:ext cx="8351520" cy="4657090"/>
                    </a:xfrm>
                    <a:prstGeom prst="rect">
                      <a:avLst/>
                    </a:prstGeom>
                  </pic:spPr>
                </pic:pic>
              </a:graphicData>
            </a:graphic>
          </wp:inline>
        </w:drawing>
      </w:r>
    </w:p>
    <w:p>
      <w:pPr>
        <w:pStyle w:val="6"/>
        <w:sectPr>
          <w:pgSz w:w="16838" w:h="11905" w:orient="landscape"/>
          <w:pgMar w:top="1803" w:right="1440" w:bottom="1803" w:left="1440" w:header="851" w:footer="992" w:gutter="0"/>
          <w:cols w:space="720" w:num="1"/>
          <w:docGrid w:type="lines" w:linePitch="312" w:charSpace="0"/>
        </w:sectPr>
      </w:pP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附图</w:t>
      </w:r>
      <w:r>
        <w:rPr>
          <w:rFonts w:hint="eastAsia"/>
          <w:color w:val="000000"/>
          <w:kern w:val="2"/>
          <w:sz w:val="32"/>
          <w:lang w:val="en-US" w:eastAsia="zh-CN"/>
        </w:rPr>
        <w:t>6新田县水系</w:t>
      </w:r>
      <w:r>
        <w:rPr>
          <w:rFonts w:hint="eastAsia"/>
          <w:color w:val="000000"/>
          <w:kern w:val="2"/>
          <w:sz w:val="32"/>
        </w:rPr>
        <w:t>图</w:t>
      </w:r>
    </w:p>
    <w:p>
      <w:pPr>
        <w:pStyle w:val="7"/>
        <w:rPr>
          <w:rFonts w:hint="eastAsia" w:eastAsia="宋体"/>
          <w:lang w:eastAsia="zh-CN"/>
        </w:rPr>
        <w:sectPr>
          <w:pgSz w:w="11905" w:h="16838"/>
          <w:pgMar w:top="1440" w:right="1803" w:bottom="1440" w:left="1803" w:header="851" w:footer="992" w:gutter="0"/>
          <w:cols w:space="720" w:num="1"/>
          <w:docGrid w:type="lines" w:linePitch="312" w:charSpace="0"/>
        </w:sectPr>
      </w:pPr>
      <w:r>
        <w:pict>
          <v:shape id="_x0000_s2094" o:spid="_x0000_s2094" o:spt="202" type="#_x0000_t202" style="position:absolute;left:0pt;margin-left:315.1pt;margin-top:316.05pt;height:21.5pt;width:55.05pt;z-index:251692032;mso-width-relative:page;mso-height-relative:page;" filled="f" stroked="f" coordsize="21600,21600" o:gfxdata="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G+VV9wAAAALAQAADwAAAAAAAAABACAAAAAiAAAA&#10;ZHJzL2Rvd25yZXYueG1sUEsBAhQAFAAAAAgAh07iQDGwy0k8AgAAZwQAAA4AAAAAAAAAAQAgAAAA&#10;KwEAAGRycy9lMm9Eb2MueG1sUEsFBgAAAAAGAAYAWQEAANkFAAAAAA==&#10;">
            <v:path/>
            <v:fill on="f" focussize="0,0"/>
            <v:stroke on="f" weight="0.5pt" joinstyle="miter"/>
            <v:imagedata o:title=""/>
            <o:lock v:ext="edit"/>
            <v:textbox>
              <w:txbxContent>
                <w:p>
                  <w:pPr>
                    <w:spacing w:line="240" w:lineRule="auto"/>
                  </w:pPr>
                  <w:r>
                    <w:rPr>
                      <w:rFonts w:hint="eastAsia"/>
                    </w:rPr>
                    <w:t>本项目</w:t>
                  </w:r>
                </w:p>
              </w:txbxContent>
            </v:textbox>
          </v:shape>
        </w:pict>
      </w:r>
      <w:r>
        <w:pict>
          <v:shape id="_x0000_s2093" o:spid="_x0000_s2093" o:spt="3" type="#_x0000_t3" style="position:absolute;left:0pt;margin-left:338.45pt;margin-top:340.05pt;height:5.95pt;width:5.95pt;z-index:251691008;v-text-anchor:middle;mso-width-relative:page;mso-height-relative:page;" fillcolor="#FF0000" filled="t" stroked="t" coordsize="21600,21600" o:gfxdata="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MCNn42AAAAAsBAAAPAAAAAAAAAAEAIAAAACIAAABkcnMvZG93bnJldi54&#10;bWxQSwECFAAUAAAACACHTuJAIvBj2GwCAADrBAAADgAAAAAAAAABACAAAAAnAQAAZHJzL2Uyb0Rv&#10;Yy54bWxQSwUGAAAAAAYABgBZAQAABQYAAAAA&#10;">
            <v:path/>
            <v:fill on="t" focussize="0,0"/>
            <v:stroke weight="2pt" color="#FF0000"/>
            <v:imagedata o:title=""/>
            <o:lock v:ext="edit"/>
          </v:shape>
        </w:pict>
      </w:r>
      <w:r>
        <w:rPr>
          <w:rFonts w:hint="eastAsia" w:eastAsia="宋体"/>
          <w:lang w:eastAsia="zh-CN"/>
        </w:rPr>
        <w:drawing>
          <wp:inline distT="0" distB="0" distL="114300" distR="114300">
            <wp:extent cx="5267960" cy="7414260"/>
            <wp:effectExtent l="0" t="0" r="8890" b="15240"/>
            <wp:docPr id="44" name="图片 44" descr="微信图片_2024081608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40816085143"/>
                    <pic:cNvPicPr>
                      <a:picLocks noChangeAspect="1"/>
                    </pic:cNvPicPr>
                  </pic:nvPicPr>
                  <pic:blipFill>
                    <a:blip r:embed="rId60"/>
                    <a:stretch>
                      <a:fillRect/>
                    </a:stretch>
                  </pic:blipFill>
                  <pic:spPr>
                    <a:xfrm>
                      <a:off x="0" y="0"/>
                      <a:ext cx="5267960" cy="7414260"/>
                    </a:xfrm>
                    <a:prstGeom prst="rect">
                      <a:avLst/>
                    </a:prstGeom>
                  </pic:spPr>
                </pic:pic>
              </a:graphicData>
            </a:graphic>
          </wp:inline>
        </w:drawing>
      </w:r>
    </w:p>
    <w:p>
      <w:pPr>
        <w:pStyle w:val="4"/>
        <w:keepNext w:val="0"/>
        <w:keepLines w:val="0"/>
        <w:numPr>
          <w:ilvl w:val="1"/>
          <w:numId w:val="0"/>
        </w:numPr>
        <w:tabs>
          <w:tab w:val="left" w:pos="360"/>
          <w:tab w:val="left" w:pos="432"/>
        </w:tabs>
        <w:spacing w:beforeLines="0" w:afterLines="0"/>
        <w:rPr>
          <w:color w:val="000000"/>
          <w:kern w:val="2"/>
          <w:sz w:val="32"/>
        </w:rPr>
      </w:pPr>
      <w:r>
        <w:rPr>
          <w:rFonts w:hint="eastAsia"/>
          <w:color w:val="000000"/>
          <w:kern w:val="2"/>
          <w:sz w:val="32"/>
        </w:rPr>
        <w:t>附图</w:t>
      </w:r>
      <w:r>
        <w:rPr>
          <w:rFonts w:hint="eastAsia"/>
          <w:color w:val="000000"/>
          <w:kern w:val="2"/>
          <w:sz w:val="32"/>
          <w:lang w:val="en-US" w:eastAsia="zh-CN"/>
        </w:rPr>
        <w:t>7</w:t>
      </w:r>
      <w:r>
        <w:rPr>
          <w:rFonts w:hint="eastAsia"/>
          <w:color w:val="000000"/>
          <w:kern w:val="2"/>
          <w:sz w:val="32"/>
        </w:rPr>
        <w:t>项目现场图</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6"/>
        <w:gridCol w:w="4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0" w:hRule="atLeast"/>
        </w:trPr>
        <w:tc>
          <w:tcPr>
            <w:tcW w:w="4083" w:type="dxa"/>
          </w:tcPr>
          <w:p>
            <w:pPr>
              <w:pStyle w:val="5"/>
              <w:ind w:firstLine="0"/>
            </w:pPr>
            <w:r>
              <w:rPr>
                <w:rFonts w:hint="eastAsia"/>
              </w:rPr>
              <w:drawing>
                <wp:inline distT="0" distB="0" distL="114300" distR="114300">
                  <wp:extent cx="2437765" cy="2493645"/>
                  <wp:effectExtent l="0" t="0" r="635" b="1905"/>
                  <wp:docPr id="24" name="图片 24" descr="微信图片_2024070811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40708110746"/>
                          <pic:cNvPicPr>
                            <a:picLocks noChangeAspect="1"/>
                          </pic:cNvPicPr>
                        </pic:nvPicPr>
                        <pic:blipFill>
                          <a:blip r:embed="rId61"/>
                          <a:stretch>
                            <a:fillRect/>
                          </a:stretch>
                        </pic:blipFill>
                        <pic:spPr>
                          <a:xfrm>
                            <a:off x="0" y="0"/>
                            <a:ext cx="2437765" cy="2493645"/>
                          </a:xfrm>
                          <a:prstGeom prst="rect">
                            <a:avLst/>
                          </a:prstGeom>
                        </pic:spPr>
                      </pic:pic>
                    </a:graphicData>
                  </a:graphic>
                </wp:inline>
              </w:drawing>
            </w:r>
          </w:p>
          <w:p>
            <w:pPr>
              <w:pStyle w:val="8"/>
              <w:jc w:val="center"/>
            </w:pPr>
            <w:r>
              <w:rPr>
                <w:rFonts w:hint="eastAsia"/>
              </w:rPr>
              <w:t>项目三级过滤沉淀池</w:t>
            </w:r>
          </w:p>
        </w:tc>
        <w:tc>
          <w:tcPr>
            <w:tcW w:w="4432" w:type="dxa"/>
          </w:tcPr>
          <w:p>
            <w:pPr>
              <w:pStyle w:val="5"/>
              <w:ind w:firstLine="0"/>
            </w:pPr>
            <w:r>
              <w:rPr>
                <w:rFonts w:hint="eastAsia"/>
              </w:rPr>
              <w:drawing>
                <wp:inline distT="0" distB="0" distL="114300" distR="114300">
                  <wp:extent cx="2632710" cy="2465070"/>
                  <wp:effectExtent l="0" t="0" r="15240" b="11430"/>
                  <wp:docPr id="25" name="图片 25" descr="微信图片_2024070811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40708110821"/>
                          <pic:cNvPicPr>
                            <a:picLocks noChangeAspect="1"/>
                          </pic:cNvPicPr>
                        </pic:nvPicPr>
                        <pic:blipFill>
                          <a:blip r:embed="rId62"/>
                          <a:stretch>
                            <a:fillRect/>
                          </a:stretch>
                        </pic:blipFill>
                        <pic:spPr>
                          <a:xfrm>
                            <a:off x="0" y="0"/>
                            <a:ext cx="2632710" cy="2465070"/>
                          </a:xfrm>
                          <a:prstGeom prst="rect">
                            <a:avLst/>
                          </a:prstGeom>
                        </pic:spPr>
                      </pic:pic>
                    </a:graphicData>
                  </a:graphic>
                </wp:inline>
              </w:drawing>
            </w:r>
          </w:p>
          <w:p>
            <w:pPr>
              <w:pStyle w:val="8"/>
              <w:jc w:val="center"/>
            </w:pPr>
            <w:r>
              <w:rPr>
                <w:rFonts w:hint="eastAsia"/>
              </w:rPr>
              <w:t>牛蛙养殖池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0" w:hRule="atLeast"/>
        </w:trPr>
        <w:tc>
          <w:tcPr>
            <w:tcW w:w="4083" w:type="dxa"/>
          </w:tcPr>
          <w:p>
            <w:pPr>
              <w:pStyle w:val="8"/>
            </w:pPr>
            <w:r>
              <w:rPr>
                <w:rFonts w:hint="eastAsia"/>
              </w:rPr>
              <w:drawing>
                <wp:inline distT="0" distB="0" distL="114300" distR="114300">
                  <wp:extent cx="2460625" cy="3282315"/>
                  <wp:effectExtent l="0" t="0" r="15875" b="13335"/>
                  <wp:docPr id="26" name="图片 26" descr="微信图片_202407081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40708110825"/>
                          <pic:cNvPicPr>
                            <a:picLocks noChangeAspect="1"/>
                          </pic:cNvPicPr>
                        </pic:nvPicPr>
                        <pic:blipFill>
                          <a:blip r:embed="rId63"/>
                          <a:stretch>
                            <a:fillRect/>
                          </a:stretch>
                        </pic:blipFill>
                        <pic:spPr>
                          <a:xfrm>
                            <a:off x="0" y="0"/>
                            <a:ext cx="2460625" cy="3282315"/>
                          </a:xfrm>
                          <a:prstGeom prst="rect">
                            <a:avLst/>
                          </a:prstGeom>
                        </pic:spPr>
                      </pic:pic>
                    </a:graphicData>
                  </a:graphic>
                </wp:inline>
              </w:drawing>
            </w:r>
          </w:p>
          <w:p>
            <w:pPr>
              <w:jc w:val="center"/>
            </w:pPr>
            <w:r>
              <w:rPr>
                <w:rFonts w:hint="eastAsia"/>
              </w:rPr>
              <w:t>项目蓄水池</w:t>
            </w:r>
          </w:p>
        </w:tc>
        <w:tc>
          <w:tcPr>
            <w:tcW w:w="4432" w:type="dxa"/>
          </w:tcPr>
          <w:p>
            <w:r>
              <w:rPr>
                <w:rFonts w:hint="eastAsia"/>
              </w:rPr>
              <w:drawing>
                <wp:inline distT="0" distB="0" distL="114300" distR="114300">
                  <wp:extent cx="2665095" cy="3242945"/>
                  <wp:effectExtent l="0" t="0" r="1905" b="14605"/>
                  <wp:docPr id="27" name="图片 27" descr="微信图片_2024070811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40708110833"/>
                          <pic:cNvPicPr>
                            <a:picLocks noChangeAspect="1"/>
                          </pic:cNvPicPr>
                        </pic:nvPicPr>
                        <pic:blipFill>
                          <a:blip r:embed="rId64"/>
                          <a:stretch>
                            <a:fillRect/>
                          </a:stretch>
                        </pic:blipFill>
                        <pic:spPr>
                          <a:xfrm>
                            <a:off x="0" y="0"/>
                            <a:ext cx="2665095" cy="3242945"/>
                          </a:xfrm>
                          <a:prstGeom prst="rect">
                            <a:avLst/>
                          </a:prstGeom>
                        </pic:spPr>
                      </pic:pic>
                    </a:graphicData>
                  </a:graphic>
                </wp:inline>
              </w:drawing>
            </w:r>
          </w:p>
          <w:p>
            <w:pPr>
              <w:pStyle w:val="5"/>
              <w:ind w:firstLine="0"/>
              <w:jc w:val="center"/>
            </w:pPr>
            <w:r>
              <w:rPr>
                <w:rFonts w:hint="eastAsia"/>
              </w:rPr>
              <w:t>养殖池排列状况</w:t>
            </w:r>
          </w:p>
        </w:tc>
      </w:tr>
    </w:tbl>
    <w:p>
      <w:pPr>
        <w:pStyle w:val="5"/>
        <w:ind w:firstLine="480"/>
      </w:pPr>
    </w:p>
    <w:sectPr>
      <w:pgSz w:w="11905" w:h="16838"/>
      <w:pgMar w:top="1440" w:right="1803" w:bottom="1440" w:left="1803" w:header="851" w:footer="992" w:gutter="0"/>
      <w:cols w:space="720"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00" w:usb3="00000000" w:csb0="00040000" w:csb1="00000000"/>
  </w:font>
  <w:font w:name="Angsana New">
    <w:altName w:val="Times New Roman"/>
    <w:panose1 w:val="02020603050405020304"/>
    <w:charset w:val="00"/>
    <w:family w:val="roman"/>
    <w:pitch w:val="default"/>
    <w:sig w:usb0="00000000" w:usb1="00000000" w:usb2="00000000" w:usb3="00000000" w:csb0="00010001" w:csb1="00000000"/>
  </w:font>
  <w:font w:name="等线">
    <w:panose1 w:val="02010600030101010101"/>
    <w:charset w:val="86"/>
    <w:family w:val="auto"/>
    <w:pitch w:val="default"/>
    <w:sig w:usb0="A00002BF" w:usb1="38CF7CFA" w:usb2="00000016" w:usb3="00000000" w:csb0="0004000F" w:csb1="00000000"/>
  </w:font>
  <w:font w:name="ˎ̥">
    <w:altName w:val="微软雅黑"/>
    <w:panose1 w:val="00000000000000000000"/>
    <w:charset w:val="01"/>
    <w:family w:val="decorative"/>
    <w:pitch w:val="default"/>
    <w:sig w:usb0="00000000" w:usb1="00000000" w:usb2="00000000" w:usb3="00000000" w:csb0="00040001"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方正小标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MS Mincho">
    <w:altName w:val="Yu Gothic UI"/>
    <w:panose1 w:val="02020609040205080304"/>
    <w:charset w:val="80"/>
    <w:family w:val="modern"/>
    <w:pitch w:val="default"/>
    <w:sig w:usb0="00000000" w:usb1="00000000" w:usb2="00000012" w:usb3="00000000" w:csb0="000200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ind w:firstLine="360"/>
      <w:rPr>
        <w:rStyle w:val="47"/>
      </w:rPr>
    </w:pPr>
    <w:r>
      <w:fldChar w:fldCharType="begin"/>
    </w:r>
    <w:r>
      <w:rPr>
        <w:rStyle w:val="47"/>
      </w:rPr>
      <w:instrText xml:space="preserve">PAGE  </w:instrText>
    </w:r>
    <w:r>
      <w:fldChar w:fldCharType="end"/>
    </w:r>
  </w:p>
  <w:p>
    <w:pPr>
      <w:pStyle w:val="3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firstLine="360"/>
    </w:pPr>
    <w:r>
      <w:pict>
        <v:shape id="文本框 1057"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sbwoYzAEAAJ0DAAAOAAAAAAAAAAEAIAAAAB4BAABkcnMvZTJv&#10;RG9jLnhtbFBLBQYAAAAABgAGAFkBAABcBQAAAAA=&#10;">
          <v:path/>
          <v:fill on="f" focussize="0,0"/>
          <v:stroke on="f" joinstyle="miter"/>
          <v:imagedata o:title=""/>
          <o:lock v:ext="edit"/>
          <v:textbox inset="0mm,0mm,0mm,0mm" style="mso-fit-shape-to-text:t;">
            <w:txbxContent>
              <w:p>
                <w:pPr>
                  <w:pStyle w:val="30"/>
                  <w:ind w:firstLine="360"/>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firstLine="360"/>
    </w:pPr>
    <w:r>
      <w:pict>
        <v:shape id="文本框 2080" o:spid="_x0000_s3074"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AJ3lAjLAQAAnQMAAA4AAAAAAAAAAQAgAAAAHgEAAGRycy9lMm9E&#10;b2MueG1sUEsFBgAAAAAGAAYAWQEAAFsFAAAAAA==&#10;">
          <v:path/>
          <v:fill on="f" focussize="0,0"/>
          <v:stroke on="f" joinstyle="miter"/>
          <v:imagedata o:title=""/>
          <o:lock v:ext="edit"/>
          <v:textbox inset="0mm,0mm,0mm,0mm" style="mso-fit-shape-to-text:t;">
            <w:txbxContent>
              <w:p>
                <w:pPr>
                  <w:pStyle w:val="30"/>
                  <w:ind w:firstLine="360"/>
                </w:pPr>
                <w:r>
                  <w:t xml:space="preserve">第 </w:t>
                </w:r>
                <w:r>
                  <w:fldChar w:fldCharType="begin"/>
                </w:r>
                <w:r>
                  <w:instrText xml:space="preserve"> PAGE  \* MERGEFORMAT </w:instrText>
                </w:r>
                <w:r>
                  <w:fldChar w:fldCharType="separate"/>
                </w:r>
                <w:r>
                  <w:t>54</w:t>
                </w:r>
                <w:r>
                  <w:fldChar w:fldCharType="end"/>
                </w:r>
                <w:r>
                  <w:t xml:space="preserve"> 页</w:t>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r>
      <w:pict>
        <v:shape id="文本框 2076" o:spid="_x0000_s3073"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XmgJmc0BAACdAwAADgAAAAAAAAABACAAAAAeAQAAZHJzL2Uy&#10;b0RvYy54bWxQSwUGAAAAAAYABgBZAQAAXQUAAAAA&#10;">
          <v:path/>
          <v:fill on="f" focussize="0,0"/>
          <v:stroke on="f" joinstyle="miter"/>
          <v:imagedata o:title=""/>
          <o:lock v:ext="edit"/>
          <v:textbox inset="0mm,0mm,0mm,0mm" style="mso-fit-shape-to-text:t;">
            <w:txbxContent>
              <w:p>
                <w:pPr>
                  <w:pStyle w:val="30"/>
                  <w:ind w:firstLine="360"/>
                </w:pPr>
                <w:r>
                  <w:t xml:space="preserve">第 </w:t>
                </w:r>
                <w:r>
                  <w:fldChar w:fldCharType="begin"/>
                </w:r>
                <w:r>
                  <w:instrText xml:space="preserve"> PAGE  \* MERGEFORMAT </w:instrText>
                </w:r>
                <w:r>
                  <w:fldChar w:fldCharType="separate"/>
                </w:r>
                <w:r>
                  <w:t>58</w:t>
                </w:r>
                <w:r>
                  <w:fldChar w:fldCharType="end"/>
                </w:r>
                <w:r>
                  <w:t xml:space="preserve"> 页</w:t>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AC3C05D"/>
    <w:multiLevelType w:val="multilevel"/>
    <w:tmpl w:val="5AC3C05D"/>
    <w:lvl w:ilvl="0" w:tentative="0">
      <w:start w:val="1"/>
      <w:numFmt w:val="decimal"/>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9"/>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hideSpellingErrors/>
  <w:documentProtection w:edit="trackedChanges" w:enforcement="0"/>
  <w:defaultTabStop w:val="420"/>
  <w:doNotHyphenateCaps/>
  <w:drawingGridHorizontalSpacing w:val="240"/>
  <w:drawingGridVerticalSpacing w:val="156"/>
  <w:noPunctuationKerning w:val="1"/>
  <w:characterSpacingControl w:val="compressPunctuation"/>
  <w:doNotValidateAgainstSchema/>
  <w:doNotDemarcateInvalidXml/>
  <w:hdrShapeDefaults>
    <o:shapelayout v:ext="edit">
      <o:idmap v:ext="edit" data="1,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OWYwMDczN2Y3ODFiZTcyZTg4ZDZiZTk0YzkwOTI5ZDgifQ=="/>
  </w:docVars>
  <w:rsids>
    <w:rsidRoot w:val="00172A27"/>
    <w:rsid w:val="00001BC8"/>
    <w:rsid w:val="00003BBF"/>
    <w:rsid w:val="000059D9"/>
    <w:rsid w:val="000060B3"/>
    <w:rsid w:val="00007312"/>
    <w:rsid w:val="00010A89"/>
    <w:rsid w:val="00010B06"/>
    <w:rsid w:val="00011AD2"/>
    <w:rsid w:val="000126E2"/>
    <w:rsid w:val="000151BE"/>
    <w:rsid w:val="0001748E"/>
    <w:rsid w:val="00021AE0"/>
    <w:rsid w:val="00023064"/>
    <w:rsid w:val="00026035"/>
    <w:rsid w:val="00027249"/>
    <w:rsid w:val="00027664"/>
    <w:rsid w:val="00027957"/>
    <w:rsid w:val="00030033"/>
    <w:rsid w:val="0003069C"/>
    <w:rsid w:val="00034A8C"/>
    <w:rsid w:val="00040176"/>
    <w:rsid w:val="00040D75"/>
    <w:rsid w:val="00042058"/>
    <w:rsid w:val="0004364B"/>
    <w:rsid w:val="000448C5"/>
    <w:rsid w:val="00045201"/>
    <w:rsid w:val="00045A4B"/>
    <w:rsid w:val="00045E3E"/>
    <w:rsid w:val="00051F86"/>
    <w:rsid w:val="00052CAA"/>
    <w:rsid w:val="00054B46"/>
    <w:rsid w:val="00056E64"/>
    <w:rsid w:val="000574A4"/>
    <w:rsid w:val="00061777"/>
    <w:rsid w:val="00061944"/>
    <w:rsid w:val="00061B1F"/>
    <w:rsid w:val="00063897"/>
    <w:rsid w:val="00063F25"/>
    <w:rsid w:val="000660D4"/>
    <w:rsid w:val="00067D47"/>
    <w:rsid w:val="000709DA"/>
    <w:rsid w:val="00072ECD"/>
    <w:rsid w:val="000733C4"/>
    <w:rsid w:val="00074783"/>
    <w:rsid w:val="000753A3"/>
    <w:rsid w:val="0007740C"/>
    <w:rsid w:val="0008070B"/>
    <w:rsid w:val="000810AC"/>
    <w:rsid w:val="00081A02"/>
    <w:rsid w:val="00082231"/>
    <w:rsid w:val="0008487D"/>
    <w:rsid w:val="00084F46"/>
    <w:rsid w:val="00090252"/>
    <w:rsid w:val="00092D38"/>
    <w:rsid w:val="00093395"/>
    <w:rsid w:val="0009377B"/>
    <w:rsid w:val="00095446"/>
    <w:rsid w:val="000966C1"/>
    <w:rsid w:val="0009747A"/>
    <w:rsid w:val="00097A08"/>
    <w:rsid w:val="000A03BD"/>
    <w:rsid w:val="000A20C9"/>
    <w:rsid w:val="000A43B5"/>
    <w:rsid w:val="000A4B20"/>
    <w:rsid w:val="000A5440"/>
    <w:rsid w:val="000A55EE"/>
    <w:rsid w:val="000A5AB2"/>
    <w:rsid w:val="000A7080"/>
    <w:rsid w:val="000B058F"/>
    <w:rsid w:val="000B4467"/>
    <w:rsid w:val="000B461F"/>
    <w:rsid w:val="000B4DB9"/>
    <w:rsid w:val="000B610B"/>
    <w:rsid w:val="000B6D0E"/>
    <w:rsid w:val="000B6F9E"/>
    <w:rsid w:val="000B71AB"/>
    <w:rsid w:val="000C09AC"/>
    <w:rsid w:val="000C0A22"/>
    <w:rsid w:val="000C15B4"/>
    <w:rsid w:val="000C1DA2"/>
    <w:rsid w:val="000C2178"/>
    <w:rsid w:val="000C238D"/>
    <w:rsid w:val="000C3493"/>
    <w:rsid w:val="000C4800"/>
    <w:rsid w:val="000C6C5B"/>
    <w:rsid w:val="000C767F"/>
    <w:rsid w:val="000D1343"/>
    <w:rsid w:val="000D1346"/>
    <w:rsid w:val="000D161F"/>
    <w:rsid w:val="000D32CF"/>
    <w:rsid w:val="000D54D0"/>
    <w:rsid w:val="000D5A44"/>
    <w:rsid w:val="000D6052"/>
    <w:rsid w:val="000E3ED2"/>
    <w:rsid w:val="000E59FD"/>
    <w:rsid w:val="000E6660"/>
    <w:rsid w:val="000F003E"/>
    <w:rsid w:val="000F1C3B"/>
    <w:rsid w:val="000F2414"/>
    <w:rsid w:val="000F3ADF"/>
    <w:rsid w:val="000F7A03"/>
    <w:rsid w:val="000F7BDA"/>
    <w:rsid w:val="0010047A"/>
    <w:rsid w:val="001015DA"/>
    <w:rsid w:val="00104838"/>
    <w:rsid w:val="001049D9"/>
    <w:rsid w:val="00104AA5"/>
    <w:rsid w:val="00106156"/>
    <w:rsid w:val="00107FCE"/>
    <w:rsid w:val="00112931"/>
    <w:rsid w:val="00113848"/>
    <w:rsid w:val="00113A6B"/>
    <w:rsid w:val="00113CF4"/>
    <w:rsid w:val="00121921"/>
    <w:rsid w:val="00124108"/>
    <w:rsid w:val="00124B1B"/>
    <w:rsid w:val="0012523C"/>
    <w:rsid w:val="00125AD5"/>
    <w:rsid w:val="00126CFE"/>
    <w:rsid w:val="0013037E"/>
    <w:rsid w:val="00130865"/>
    <w:rsid w:val="00131F42"/>
    <w:rsid w:val="00132F20"/>
    <w:rsid w:val="00133ACB"/>
    <w:rsid w:val="00134069"/>
    <w:rsid w:val="001348CC"/>
    <w:rsid w:val="001357F1"/>
    <w:rsid w:val="00140B74"/>
    <w:rsid w:val="00140FA8"/>
    <w:rsid w:val="00141736"/>
    <w:rsid w:val="00142C17"/>
    <w:rsid w:val="00142FEB"/>
    <w:rsid w:val="00143655"/>
    <w:rsid w:val="00143A2D"/>
    <w:rsid w:val="0014466F"/>
    <w:rsid w:val="001446EE"/>
    <w:rsid w:val="00144C67"/>
    <w:rsid w:val="00145A41"/>
    <w:rsid w:val="00147913"/>
    <w:rsid w:val="00151675"/>
    <w:rsid w:val="001541B2"/>
    <w:rsid w:val="00156ACF"/>
    <w:rsid w:val="00157435"/>
    <w:rsid w:val="00157526"/>
    <w:rsid w:val="00157E97"/>
    <w:rsid w:val="001600C5"/>
    <w:rsid w:val="00161507"/>
    <w:rsid w:val="00162528"/>
    <w:rsid w:val="00167C00"/>
    <w:rsid w:val="001705D8"/>
    <w:rsid w:val="00172A27"/>
    <w:rsid w:val="00174549"/>
    <w:rsid w:val="0017504D"/>
    <w:rsid w:val="0017671A"/>
    <w:rsid w:val="00177422"/>
    <w:rsid w:val="001776E8"/>
    <w:rsid w:val="001816B7"/>
    <w:rsid w:val="00183688"/>
    <w:rsid w:val="00184590"/>
    <w:rsid w:val="001856C1"/>
    <w:rsid w:val="00186C28"/>
    <w:rsid w:val="001870D1"/>
    <w:rsid w:val="0018781E"/>
    <w:rsid w:val="00187D62"/>
    <w:rsid w:val="001903D3"/>
    <w:rsid w:val="00191CB3"/>
    <w:rsid w:val="0019262D"/>
    <w:rsid w:val="001967DE"/>
    <w:rsid w:val="00197574"/>
    <w:rsid w:val="001976A0"/>
    <w:rsid w:val="00197B08"/>
    <w:rsid w:val="001A0AE7"/>
    <w:rsid w:val="001A1B35"/>
    <w:rsid w:val="001A236C"/>
    <w:rsid w:val="001A271A"/>
    <w:rsid w:val="001A2BEC"/>
    <w:rsid w:val="001A48A2"/>
    <w:rsid w:val="001A5A0B"/>
    <w:rsid w:val="001A69B7"/>
    <w:rsid w:val="001A6F61"/>
    <w:rsid w:val="001B0792"/>
    <w:rsid w:val="001B0F66"/>
    <w:rsid w:val="001B1741"/>
    <w:rsid w:val="001B19C1"/>
    <w:rsid w:val="001B2355"/>
    <w:rsid w:val="001B29E4"/>
    <w:rsid w:val="001B330C"/>
    <w:rsid w:val="001B5008"/>
    <w:rsid w:val="001B50D1"/>
    <w:rsid w:val="001B5791"/>
    <w:rsid w:val="001B70FA"/>
    <w:rsid w:val="001B72B8"/>
    <w:rsid w:val="001C1146"/>
    <w:rsid w:val="001C22C1"/>
    <w:rsid w:val="001C4F4A"/>
    <w:rsid w:val="001C5340"/>
    <w:rsid w:val="001C69B3"/>
    <w:rsid w:val="001D0364"/>
    <w:rsid w:val="001D1C39"/>
    <w:rsid w:val="001D23FE"/>
    <w:rsid w:val="001D3A6A"/>
    <w:rsid w:val="001D48E4"/>
    <w:rsid w:val="001D4DDC"/>
    <w:rsid w:val="001D5595"/>
    <w:rsid w:val="001D7874"/>
    <w:rsid w:val="001D7954"/>
    <w:rsid w:val="001D7F22"/>
    <w:rsid w:val="001E121C"/>
    <w:rsid w:val="001E3E86"/>
    <w:rsid w:val="001E4803"/>
    <w:rsid w:val="001E4D0A"/>
    <w:rsid w:val="001E6081"/>
    <w:rsid w:val="001F0683"/>
    <w:rsid w:val="001F0F17"/>
    <w:rsid w:val="001F131F"/>
    <w:rsid w:val="001F1BCC"/>
    <w:rsid w:val="001F20F2"/>
    <w:rsid w:val="001F3347"/>
    <w:rsid w:val="001F424C"/>
    <w:rsid w:val="001F526A"/>
    <w:rsid w:val="001F69E4"/>
    <w:rsid w:val="00201FC5"/>
    <w:rsid w:val="00202067"/>
    <w:rsid w:val="002046A8"/>
    <w:rsid w:val="0020495F"/>
    <w:rsid w:val="002076F7"/>
    <w:rsid w:val="00207B2A"/>
    <w:rsid w:val="00207EFB"/>
    <w:rsid w:val="00211F92"/>
    <w:rsid w:val="002125B4"/>
    <w:rsid w:val="002147BB"/>
    <w:rsid w:val="002155B8"/>
    <w:rsid w:val="00217A19"/>
    <w:rsid w:val="00217E8E"/>
    <w:rsid w:val="00221A81"/>
    <w:rsid w:val="00221EFC"/>
    <w:rsid w:val="00224839"/>
    <w:rsid w:val="002249B2"/>
    <w:rsid w:val="00225DD6"/>
    <w:rsid w:val="00226574"/>
    <w:rsid w:val="002278EC"/>
    <w:rsid w:val="002304DA"/>
    <w:rsid w:val="0023280E"/>
    <w:rsid w:val="00234A6F"/>
    <w:rsid w:val="002377D1"/>
    <w:rsid w:val="00242783"/>
    <w:rsid w:val="00242F61"/>
    <w:rsid w:val="00243333"/>
    <w:rsid w:val="00243409"/>
    <w:rsid w:val="0024553D"/>
    <w:rsid w:val="00246250"/>
    <w:rsid w:val="002471B6"/>
    <w:rsid w:val="002506BC"/>
    <w:rsid w:val="00254345"/>
    <w:rsid w:val="00254B49"/>
    <w:rsid w:val="002558D1"/>
    <w:rsid w:val="0025646C"/>
    <w:rsid w:val="00256974"/>
    <w:rsid w:val="00257021"/>
    <w:rsid w:val="00257663"/>
    <w:rsid w:val="0025779F"/>
    <w:rsid w:val="00261AC3"/>
    <w:rsid w:val="00261E80"/>
    <w:rsid w:val="002627FE"/>
    <w:rsid w:val="00263811"/>
    <w:rsid w:val="00264557"/>
    <w:rsid w:val="00265570"/>
    <w:rsid w:val="002660E1"/>
    <w:rsid w:val="0027070F"/>
    <w:rsid w:val="002805AB"/>
    <w:rsid w:val="00280C2D"/>
    <w:rsid w:val="00281680"/>
    <w:rsid w:val="00284204"/>
    <w:rsid w:val="002854A1"/>
    <w:rsid w:val="00285DCF"/>
    <w:rsid w:val="00290D88"/>
    <w:rsid w:val="002912DE"/>
    <w:rsid w:val="00291622"/>
    <w:rsid w:val="00291773"/>
    <w:rsid w:val="00292292"/>
    <w:rsid w:val="00295283"/>
    <w:rsid w:val="00297A9C"/>
    <w:rsid w:val="002A15A8"/>
    <w:rsid w:val="002A168C"/>
    <w:rsid w:val="002A19BF"/>
    <w:rsid w:val="002A3DC7"/>
    <w:rsid w:val="002A4F19"/>
    <w:rsid w:val="002A6925"/>
    <w:rsid w:val="002A7950"/>
    <w:rsid w:val="002A79BC"/>
    <w:rsid w:val="002A7BA4"/>
    <w:rsid w:val="002B0E34"/>
    <w:rsid w:val="002B1713"/>
    <w:rsid w:val="002B2EAE"/>
    <w:rsid w:val="002B3DE5"/>
    <w:rsid w:val="002B49E2"/>
    <w:rsid w:val="002B4A34"/>
    <w:rsid w:val="002B5C85"/>
    <w:rsid w:val="002B5E01"/>
    <w:rsid w:val="002B5F6B"/>
    <w:rsid w:val="002B7B00"/>
    <w:rsid w:val="002B7C44"/>
    <w:rsid w:val="002C154C"/>
    <w:rsid w:val="002C1730"/>
    <w:rsid w:val="002C2B17"/>
    <w:rsid w:val="002C37FD"/>
    <w:rsid w:val="002C6006"/>
    <w:rsid w:val="002D3DD0"/>
    <w:rsid w:val="002D5F0D"/>
    <w:rsid w:val="002D6A00"/>
    <w:rsid w:val="002E1BE9"/>
    <w:rsid w:val="002E1F3A"/>
    <w:rsid w:val="002E298A"/>
    <w:rsid w:val="002E4DA5"/>
    <w:rsid w:val="002E7344"/>
    <w:rsid w:val="002F07E6"/>
    <w:rsid w:val="002F0891"/>
    <w:rsid w:val="002F0EB5"/>
    <w:rsid w:val="002F33D6"/>
    <w:rsid w:val="002F4262"/>
    <w:rsid w:val="002F7FB2"/>
    <w:rsid w:val="00301978"/>
    <w:rsid w:val="00302695"/>
    <w:rsid w:val="0030332C"/>
    <w:rsid w:val="00303D5C"/>
    <w:rsid w:val="003048D0"/>
    <w:rsid w:val="003051C2"/>
    <w:rsid w:val="0030537E"/>
    <w:rsid w:val="00306E83"/>
    <w:rsid w:val="00307E39"/>
    <w:rsid w:val="00307EB9"/>
    <w:rsid w:val="00310006"/>
    <w:rsid w:val="003102AB"/>
    <w:rsid w:val="00312296"/>
    <w:rsid w:val="00312BB0"/>
    <w:rsid w:val="00314C3E"/>
    <w:rsid w:val="00314F0E"/>
    <w:rsid w:val="00314F24"/>
    <w:rsid w:val="00315E94"/>
    <w:rsid w:val="0031677D"/>
    <w:rsid w:val="00316D52"/>
    <w:rsid w:val="003202A2"/>
    <w:rsid w:val="00320AC1"/>
    <w:rsid w:val="00321D8E"/>
    <w:rsid w:val="00324DA5"/>
    <w:rsid w:val="003250B3"/>
    <w:rsid w:val="00325928"/>
    <w:rsid w:val="00331AC7"/>
    <w:rsid w:val="00331E97"/>
    <w:rsid w:val="00332863"/>
    <w:rsid w:val="00332F5A"/>
    <w:rsid w:val="003334B7"/>
    <w:rsid w:val="0033684D"/>
    <w:rsid w:val="00337B42"/>
    <w:rsid w:val="003406D4"/>
    <w:rsid w:val="00340771"/>
    <w:rsid w:val="00341B42"/>
    <w:rsid w:val="0034348F"/>
    <w:rsid w:val="0034355B"/>
    <w:rsid w:val="00345BD2"/>
    <w:rsid w:val="00352DEC"/>
    <w:rsid w:val="003537FB"/>
    <w:rsid w:val="00353DC8"/>
    <w:rsid w:val="00355345"/>
    <w:rsid w:val="00356653"/>
    <w:rsid w:val="0035684A"/>
    <w:rsid w:val="0035743F"/>
    <w:rsid w:val="00357BE2"/>
    <w:rsid w:val="0036170C"/>
    <w:rsid w:val="00364478"/>
    <w:rsid w:val="00365797"/>
    <w:rsid w:val="00366E0F"/>
    <w:rsid w:val="00370C8C"/>
    <w:rsid w:val="00371EF8"/>
    <w:rsid w:val="00374534"/>
    <w:rsid w:val="00376314"/>
    <w:rsid w:val="0038029B"/>
    <w:rsid w:val="00381A72"/>
    <w:rsid w:val="0038239B"/>
    <w:rsid w:val="00382AF7"/>
    <w:rsid w:val="0038364E"/>
    <w:rsid w:val="00384676"/>
    <w:rsid w:val="0038691F"/>
    <w:rsid w:val="00390857"/>
    <w:rsid w:val="00391ED3"/>
    <w:rsid w:val="00392E5A"/>
    <w:rsid w:val="00393014"/>
    <w:rsid w:val="0039421C"/>
    <w:rsid w:val="0039664D"/>
    <w:rsid w:val="00397259"/>
    <w:rsid w:val="003A0838"/>
    <w:rsid w:val="003A09FE"/>
    <w:rsid w:val="003A1130"/>
    <w:rsid w:val="003A4547"/>
    <w:rsid w:val="003A4802"/>
    <w:rsid w:val="003A4BF3"/>
    <w:rsid w:val="003A6B6E"/>
    <w:rsid w:val="003A726C"/>
    <w:rsid w:val="003B01E9"/>
    <w:rsid w:val="003B2977"/>
    <w:rsid w:val="003B2C3D"/>
    <w:rsid w:val="003B3620"/>
    <w:rsid w:val="003B420D"/>
    <w:rsid w:val="003B58ED"/>
    <w:rsid w:val="003C0758"/>
    <w:rsid w:val="003C1C73"/>
    <w:rsid w:val="003C2F39"/>
    <w:rsid w:val="003C3516"/>
    <w:rsid w:val="003C6C16"/>
    <w:rsid w:val="003C7B66"/>
    <w:rsid w:val="003D09FC"/>
    <w:rsid w:val="003D4000"/>
    <w:rsid w:val="003D432F"/>
    <w:rsid w:val="003D5391"/>
    <w:rsid w:val="003D5F6F"/>
    <w:rsid w:val="003D7330"/>
    <w:rsid w:val="003D794D"/>
    <w:rsid w:val="003E1231"/>
    <w:rsid w:val="003E223F"/>
    <w:rsid w:val="003E22AB"/>
    <w:rsid w:val="003E27A9"/>
    <w:rsid w:val="003E2BFF"/>
    <w:rsid w:val="003E3058"/>
    <w:rsid w:val="003E422C"/>
    <w:rsid w:val="003E4889"/>
    <w:rsid w:val="003E5A8F"/>
    <w:rsid w:val="003E5EB7"/>
    <w:rsid w:val="003E6558"/>
    <w:rsid w:val="003E76A9"/>
    <w:rsid w:val="003E7A86"/>
    <w:rsid w:val="003F0809"/>
    <w:rsid w:val="003F240B"/>
    <w:rsid w:val="003F2C26"/>
    <w:rsid w:val="003F4836"/>
    <w:rsid w:val="003F5985"/>
    <w:rsid w:val="003F5FE2"/>
    <w:rsid w:val="003F6087"/>
    <w:rsid w:val="003F6A8C"/>
    <w:rsid w:val="003F755C"/>
    <w:rsid w:val="003F7787"/>
    <w:rsid w:val="0040027B"/>
    <w:rsid w:val="004006A3"/>
    <w:rsid w:val="00402B07"/>
    <w:rsid w:val="0040433A"/>
    <w:rsid w:val="004043ED"/>
    <w:rsid w:val="0040498E"/>
    <w:rsid w:val="00405993"/>
    <w:rsid w:val="00406665"/>
    <w:rsid w:val="00406F01"/>
    <w:rsid w:val="004142AB"/>
    <w:rsid w:val="004145B8"/>
    <w:rsid w:val="0041482F"/>
    <w:rsid w:val="00414AF1"/>
    <w:rsid w:val="00415C1D"/>
    <w:rsid w:val="00415CAA"/>
    <w:rsid w:val="00416B0F"/>
    <w:rsid w:val="00416D50"/>
    <w:rsid w:val="00416FD5"/>
    <w:rsid w:val="00417500"/>
    <w:rsid w:val="00417772"/>
    <w:rsid w:val="00420E6A"/>
    <w:rsid w:val="0042197E"/>
    <w:rsid w:val="00421BE2"/>
    <w:rsid w:val="0042237C"/>
    <w:rsid w:val="00424722"/>
    <w:rsid w:val="00425A9E"/>
    <w:rsid w:val="0042671A"/>
    <w:rsid w:val="00426CC8"/>
    <w:rsid w:val="00426D6B"/>
    <w:rsid w:val="00427E43"/>
    <w:rsid w:val="00431E6C"/>
    <w:rsid w:val="00433CE7"/>
    <w:rsid w:val="00434F65"/>
    <w:rsid w:val="00440A4C"/>
    <w:rsid w:val="00443880"/>
    <w:rsid w:val="00445F25"/>
    <w:rsid w:val="0044773D"/>
    <w:rsid w:val="00451666"/>
    <w:rsid w:val="00451F8D"/>
    <w:rsid w:val="00452738"/>
    <w:rsid w:val="00454355"/>
    <w:rsid w:val="004544E1"/>
    <w:rsid w:val="00456091"/>
    <w:rsid w:val="004569C7"/>
    <w:rsid w:val="00457531"/>
    <w:rsid w:val="00457992"/>
    <w:rsid w:val="00460A06"/>
    <w:rsid w:val="0046174A"/>
    <w:rsid w:val="00461D05"/>
    <w:rsid w:val="00464DDC"/>
    <w:rsid w:val="004653F6"/>
    <w:rsid w:val="004657FC"/>
    <w:rsid w:val="00466321"/>
    <w:rsid w:val="004666A7"/>
    <w:rsid w:val="00470895"/>
    <w:rsid w:val="00471C06"/>
    <w:rsid w:val="004743CF"/>
    <w:rsid w:val="0047631F"/>
    <w:rsid w:val="00477580"/>
    <w:rsid w:val="00477E30"/>
    <w:rsid w:val="004804A6"/>
    <w:rsid w:val="00484829"/>
    <w:rsid w:val="00484B9B"/>
    <w:rsid w:val="004855F6"/>
    <w:rsid w:val="00485670"/>
    <w:rsid w:val="004863EF"/>
    <w:rsid w:val="0048661E"/>
    <w:rsid w:val="00486D62"/>
    <w:rsid w:val="00492999"/>
    <w:rsid w:val="00494670"/>
    <w:rsid w:val="00495245"/>
    <w:rsid w:val="004A108B"/>
    <w:rsid w:val="004A1AF8"/>
    <w:rsid w:val="004A228F"/>
    <w:rsid w:val="004A3823"/>
    <w:rsid w:val="004A4F37"/>
    <w:rsid w:val="004A6737"/>
    <w:rsid w:val="004A77AA"/>
    <w:rsid w:val="004A7FE2"/>
    <w:rsid w:val="004B1374"/>
    <w:rsid w:val="004B1ABA"/>
    <w:rsid w:val="004B5AF9"/>
    <w:rsid w:val="004B7BAF"/>
    <w:rsid w:val="004C0D73"/>
    <w:rsid w:val="004C0EC1"/>
    <w:rsid w:val="004C395F"/>
    <w:rsid w:val="004C47D8"/>
    <w:rsid w:val="004C5D30"/>
    <w:rsid w:val="004C710F"/>
    <w:rsid w:val="004D05B3"/>
    <w:rsid w:val="004D0900"/>
    <w:rsid w:val="004D575C"/>
    <w:rsid w:val="004D7F32"/>
    <w:rsid w:val="004E2A81"/>
    <w:rsid w:val="004E6946"/>
    <w:rsid w:val="004F0091"/>
    <w:rsid w:val="004F17ED"/>
    <w:rsid w:val="004F1917"/>
    <w:rsid w:val="004F1AD8"/>
    <w:rsid w:val="004F2A6E"/>
    <w:rsid w:val="004F3717"/>
    <w:rsid w:val="004F4F29"/>
    <w:rsid w:val="004F52C9"/>
    <w:rsid w:val="0050004D"/>
    <w:rsid w:val="00500EB2"/>
    <w:rsid w:val="005011CD"/>
    <w:rsid w:val="005017D2"/>
    <w:rsid w:val="005029DA"/>
    <w:rsid w:val="005039CB"/>
    <w:rsid w:val="00504C4E"/>
    <w:rsid w:val="0050558F"/>
    <w:rsid w:val="0050617A"/>
    <w:rsid w:val="00506286"/>
    <w:rsid w:val="00507429"/>
    <w:rsid w:val="005079D1"/>
    <w:rsid w:val="005103AC"/>
    <w:rsid w:val="00510813"/>
    <w:rsid w:val="00510831"/>
    <w:rsid w:val="00511990"/>
    <w:rsid w:val="00511DE0"/>
    <w:rsid w:val="005124EE"/>
    <w:rsid w:val="00512B47"/>
    <w:rsid w:val="00512DAD"/>
    <w:rsid w:val="0051325B"/>
    <w:rsid w:val="00514870"/>
    <w:rsid w:val="00514B9B"/>
    <w:rsid w:val="00515AC4"/>
    <w:rsid w:val="00517F02"/>
    <w:rsid w:val="0052007F"/>
    <w:rsid w:val="0052028E"/>
    <w:rsid w:val="00522C3C"/>
    <w:rsid w:val="0052352E"/>
    <w:rsid w:val="00523B52"/>
    <w:rsid w:val="00523BF3"/>
    <w:rsid w:val="00524303"/>
    <w:rsid w:val="005258A2"/>
    <w:rsid w:val="00526051"/>
    <w:rsid w:val="00530E14"/>
    <w:rsid w:val="0053768B"/>
    <w:rsid w:val="005401AE"/>
    <w:rsid w:val="00542E07"/>
    <w:rsid w:val="00542F3F"/>
    <w:rsid w:val="00543D5D"/>
    <w:rsid w:val="00545424"/>
    <w:rsid w:val="00545EEF"/>
    <w:rsid w:val="00546D7C"/>
    <w:rsid w:val="005478E2"/>
    <w:rsid w:val="00550557"/>
    <w:rsid w:val="005522E4"/>
    <w:rsid w:val="00552F8F"/>
    <w:rsid w:val="00554A7B"/>
    <w:rsid w:val="0055572C"/>
    <w:rsid w:val="00555E43"/>
    <w:rsid w:val="005563B5"/>
    <w:rsid w:val="00556A22"/>
    <w:rsid w:val="0056106A"/>
    <w:rsid w:val="00561E4E"/>
    <w:rsid w:val="00562B62"/>
    <w:rsid w:val="00563838"/>
    <w:rsid w:val="00564E8E"/>
    <w:rsid w:val="00565741"/>
    <w:rsid w:val="005669DC"/>
    <w:rsid w:val="00567FAF"/>
    <w:rsid w:val="0057027E"/>
    <w:rsid w:val="00570285"/>
    <w:rsid w:val="00571788"/>
    <w:rsid w:val="005720AE"/>
    <w:rsid w:val="0057249F"/>
    <w:rsid w:val="00574611"/>
    <w:rsid w:val="0057472A"/>
    <w:rsid w:val="00574EE6"/>
    <w:rsid w:val="00577012"/>
    <w:rsid w:val="0057758A"/>
    <w:rsid w:val="0057758D"/>
    <w:rsid w:val="00577D80"/>
    <w:rsid w:val="00580491"/>
    <w:rsid w:val="005837EA"/>
    <w:rsid w:val="005872F9"/>
    <w:rsid w:val="005911B7"/>
    <w:rsid w:val="005927E8"/>
    <w:rsid w:val="00594D77"/>
    <w:rsid w:val="00595C1B"/>
    <w:rsid w:val="00596363"/>
    <w:rsid w:val="00596889"/>
    <w:rsid w:val="005969E4"/>
    <w:rsid w:val="005A0027"/>
    <w:rsid w:val="005A06B7"/>
    <w:rsid w:val="005A0A26"/>
    <w:rsid w:val="005A1759"/>
    <w:rsid w:val="005A1999"/>
    <w:rsid w:val="005A1A6B"/>
    <w:rsid w:val="005A22E3"/>
    <w:rsid w:val="005A332E"/>
    <w:rsid w:val="005A5038"/>
    <w:rsid w:val="005A5143"/>
    <w:rsid w:val="005A68A7"/>
    <w:rsid w:val="005A7FB8"/>
    <w:rsid w:val="005B00AD"/>
    <w:rsid w:val="005B0A0F"/>
    <w:rsid w:val="005B105A"/>
    <w:rsid w:val="005B25E6"/>
    <w:rsid w:val="005B3EA4"/>
    <w:rsid w:val="005B4A56"/>
    <w:rsid w:val="005B4DB3"/>
    <w:rsid w:val="005B620C"/>
    <w:rsid w:val="005C3036"/>
    <w:rsid w:val="005C6446"/>
    <w:rsid w:val="005C68CF"/>
    <w:rsid w:val="005C7403"/>
    <w:rsid w:val="005C7A5C"/>
    <w:rsid w:val="005D2A5A"/>
    <w:rsid w:val="005D36AB"/>
    <w:rsid w:val="005D7756"/>
    <w:rsid w:val="005E1F0C"/>
    <w:rsid w:val="005E3AC8"/>
    <w:rsid w:val="005E53E5"/>
    <w:rsid w:val="005F2128"/>
    <w:rsid w:val="005F318E"/>
    <w:rsid w:val="005F3572"/>
    <w:rsid w:val="005F530E"/>
    <w:rsid w:val="005F5326"/>
    <w:rsid w:val="005F56BD"/>
    <w:rsid w:val="005F6591"/>
    <w:rsid w:val="005F72B4"/>
    <w:rsid w:val="00600695"/>
    <w:rsid w:val="0060070A"/>
    <w:rsid w:val="00600A00"/>
    <w:rsid w:val="00600A98"/>
    <w:rsid w:val="00602CCC"/>
    <w:rsid w:val="00604144"/>
    <w:rsid w:val="0060439E"/>
    <w:rsid w:val="00605AFC"/>
    <w:rsid w:val="0061073B"/>
    <w:rsid w:val="00610FA3"/>
    <w:rsid w:val="00612100"/>
    <w:rsid w:val="00613620"/>
    <w:rsid w:val="006141EF"/>
    <w:rsid w:val="006142D5"/>
    <w:rsid w:val="00617393"/>
    <w:rsid w:val="0061786F"/>
    <w:rsid w:val="00617CC3"/>
    <w:rsid w:val="00620AB4"/>
    <w:rsid w:val="00620B61"/>
    <w:rsid w:val="00620C22"/>
    <w:rsid w:val="00620F5E"/>
    <w:rsid w:val="00624408"/>
    <w:rsid w:val="006267CC"/>
    <w:rsid w:val="00630197"/>
    <w:rsid w:val="00630BB9"/>
    <w:rsid w:val="006323B1"/>
    <w:rsid w:val="00632415"/>
    <w:rsid w:val="006349C5"/>
    <w:rsid w:val="00635DBB"/>
    <w:rsid w:val="006377A6"/>
    <w:rsid w:val="00637A3D"/>
    <w:rsid w:val="006408E8"/>
    <w:rsid w:val="0064097D"/>
    <w:rsid w:val="00640B92"/>
    <w:rsid w:val="006411EF"/>
    <w:rsid w:val="00642A79"/>
    <w:rsid w:val="0064711A"/>
    <w:rsid w:val="00647262"/>
    <w:rsid w:val="0065006B"/>
    <w:rsid w:val="00650FB8"/>
    <w:rsid w:val="006511B2"/>
    <w:rsid w:val="006524E7"/>
    <w:rsid w:val="00653DFB"/>
    <w:rsid w:val="006556BD"/>
    <w:rsid w:val="00656928"/>
    <w:rsid w:val="00656CD2"/>
    <w:rsid w:val="0066026C"/>
    <w:rsid w:val="00662398"/>
    <w:rsid w:val="00662424"/>
    <w:rsid w:val="0067142F"/>
    <w:rsid w:val="006714F4"/>
    <w:rsid w:val="006748B8"/>
    <w:rsid w:val="0067558D"/>
    <w:rsid w:val="006775C3"/>
    <w:rsid w:val="0068192C"/>
    <w:rsid w:val="00684533"/>
    <w:rsid w:val="00684B4D"/>
    <w:rsid w:val="006908F5"/>
    <w:rsid w:val="00690E6A"/>
    <w:rsid w:val="0069290A"/>
    <w:rsid w:val="006937FF"/>
    <w:rsid w:val="00693AA3"/>
    <w:rsid w:val="00693BD9"/>
    <w:rsid w:val="00694A20"/>
    <w:rsid w:val="0069622A"/>
    <w:rsid w:val="00696D08"/>
    <w:rsid w:val="0069775A"/>
    <w:rsid w:val="00697813"/>
    <w:rsid w:val="006A2846"/>
    <w:rsid w:val="006A3EE8"/>
    <w:rsid w:val="006A4EC0"/>
    <w:rsid w:val="006A51F5"/>
    <w:rsid w:val="006A52DB"/>
    <w:rsid w:val="006A7082"/>
    <w:rsid w:val="006A72BF"/>
    <w:rsid w:val="006B03F2"/>
    <w:rsid w:val="006B053B"/>
    <w:rsid w:val="006B1CAE"/>
    <w:rsid w:val="006B1FBB"/>
    <w:rsid w:val="006B31FD"/>
    <w:rsid w:val="006B37DC"/>
    <w:rsid w:val="006B3CA2"/>
    <w:rsid w:val="006B4BCB"/>
    <w:rsid w:val="006B4F68"/>
    <w:rsid w:val="006B5612"/>
    <w:rsid w:val="006B6729"/>
    <w:rsid w:val="006B6B85"/>
    <w:rsid w:val="006B7385"/>
    <w:rsid w:val="006B7837"/>
    <w:rsid w:val="006B7D83"/>
    <w:rsid w:val="006C0592"/>
    <w:rsid w:val="006C2004"/>
    <w:rsid w:val="006C272E"/>
    <w:rsid w:val="006C3BA6"/>
    <w:rsid w:val="006C5479"/>
    <w:rsid w:val="006C74C5"/>
    <w:rsid w:val="006C76CE"/>
    <w:rsid w:val="006C779E"/>
    <w:rsid w:val="006C7953"/>
    <w:rsid w:val="006D13B5"/>
    <w:rsid w:val="006D18FE"/>
    <w:rsid w:val="006D2276"/>
    <w:rsid w:val="006D29B0"/>
    <w:rsid w:val="006D61B7"/>
    <w:rsid w:val="006E0F6C"/>
    <w:rsid w:val="006E12FF"/>
    <w:rsid w:val="006E3C08"/>
    <w:rsid w:val="006E3F66"/>
    <w:rsid w:val="006E607E"/>
    <w:rsid w:val="006E60F3"/>
    <w:rsid w:val="006E6172"/>
    <w:rsid w:val="006E6A8E"/>
    <w:rsid w:val="006F0F0F"/>
    <w:rsid w:val="006F301B"/>
    <w:rsid w:val="006F32EF"/>
    <w:rsid w:val="006F6027"/>
    <w:rsid w:val="006F7C9E"/>
    <w:rsid w:val="006F7E96"/>
    <w:rsid w:val="00700707"/>
    <w:rsid w:val="00703601"/>
    <w:rsid w:val="007036D4"/>
    <w:rsid w:val="00703F6F"/>
    <w:rsid w:val="00706C5D"/>
    <w:rsid w:val="00707075"/>
    <w:rsid w:val="00707236"/>
    <w:rsid w:val="00710632"/>
    <w:rsid w:val="007121E9"/>
    <w:rsid w:val="00712AAA"/>
    <w:rsid w:val="00713B06"/>
    <w:rsid w:val="00717169"/>
    <w:rsid w:val="00721E98"/>
    <w:rsid w:val="00721F1B"/>
    <w:rsid w:val="00724ABC"/>
    <w:rsid w:val="00725B98"/>
    <w:rsid w:val="00725E1D"/>
    <w:rsid w:val="00726A92"/>
    <w:rsid w:val="00727CFE"/>
    <w:rsid w:val="00727E07"/>
    <w:rsid w:val="0073134A"/>
    <w:rsid w:val="00732922"/>
    <w:rsid w:val="00733430"/>
    <w:rsid w:val="00733CE4"/>
    <w:rsid w:val="00736086"/>
    <w:rsid w:val="007363C6"/>
    <w:rsid w:val="00741D9E"/>
    <w:rsid w:val="00743AC8"/>
    <w:rsid w:val="00746B9E"/>
    <w:rsid w:val="0075162E"/>
    <w:rsid w:val="00751D5B"/>
    <w:rsid w:val="00754034"/>
    <w:rsid w:val="00756556"/>
    <w:rsid w:val="00760480"/>
    <w:rsid w:val="007618C4"/>
    <w:rsid w:val="00763241"/>
    <w:rsid w:val="00763967"/>
    <w:rsid w:val="00763BD5"/>
    <w:rsid w:val="0076532E"/>
    <w:rsid w:val="00765BBC"/>
    <w:rsid w:val="00767354"/>
    <w:rsid w:val="00767980"/>
    <w:rsid w:val="00770B19"/>
    <w:rsid w:val="00770B78"/>
    <w:rsid w:val="007714B9"/>
    <w:rsid w:val="00773997"/>
    <w:rsid w:val="00773AC7"/>
    <w:rsid w:val="0077463F"/>
    <w:rsid w:val="00776CF2"/>
    <w:rsid w:val="00777BE0"/>
    <w:rsid w:val="00777D58"/>
    <w:rsid w:val="007805D5"/>
    <w:rsid w:val="007809A2"/>
    <w:rsid w:val="007815AC"/>
    <w:rsid w:val="007820A9"/>
    <w:rsid w:val="00782C73"/>
    <w:rsid w:val="007836EA"/>
    <w:rsid w:val="007839B0"/>
    <w:rsid w:val="00784CDA"/>
    <w:rsid w:val="00784F5D"/>
    <w:rsid w:val="007906AD"/>
    <w:rsid w:val="007906C4"/>
    <w:rsid w:val="00792645"/>
    <w:rsid w:val="0079372B"/>
    <w:rsid w:val="00793A9C"/>
    <w:rsid w:val="007940EA"/>
    <w:rsid w:val="00794E54"/>
    <w:rsid w:val="007959C9"/>
    <w:rsid w:val="00795D5A"/>
    <w:rsid w:val="007967E8"/>
    <w:rsid w:val="007A0504"/>
    <w:rsid w:val="007A05C7"/>
    <w:rsid w:val="007A0D23"/>
    <w:rsid w:val="007A10A1"/>
    <w:rsid w:val="007A139D"/>
    <w:rsid w:val="007A13F4"/>
    <w:rsid w:val="007A1B55"/>
    <w:rsid w:val="007A2170"/>
    <w:rsid w:val="007A22BF"/>
    <w:rsid w:val="007A3323"/>
    <w:rsid w:val="007A6289"/>
    <w:rsid w:val="007A71AF"/>
    <w:rsid w:val="007B22EB"/>
    <w:rsid w:val="007B4D20"/>
    <w:rsid w:val="007B559C"/>
    <w:rsid w:val="007B57E0"/>
    <w:rsid w:val="007B610D"/>
    <w:rsid w:val="007B72B8"/>
    <w:rsid w:val="007B7A58"/>
    <w:rsid w:val="007C21B5"/>
    <w:rsid w:val="007C5167"/>
    <w:rsid w:val="007C6820"/>
    <w:rsid w:val="007D2EBA"/>
    <w:rsid w:val="007D30BA"/>
    <w:rsid w:val="007D36CA"/>
    <w:rsid w:val="007D3AC5"/>
    <w:rsid w:val="007D55AE"/>
    <w:rsid w:val="007D5C90"/>
    <w:rsid w:val="007D6DBD"/>
    <w:rsid w:val="007D7B85"/>
    <w:rsid w:val="007E0E1B"/>
    <w:rsid w:val="007E131D"/>
    <w:rsid w:val="007E1DC2"/>
    <w:rsid w:val="007E4BD2"/>
    <w:rsid w:val="007E72BD"/>
    <w:rsid w:val="007E7727"/>
    <w:rsid w:val="007F292D"/>
    <w:rsid w:val="007F6404"/>
    <w:rsid w:val="007F6952"/>
    <w:rsid w:val="00800BCA"/>
    <w:rsid w:val="00801393"/>
    <w:rsid w:val="00802F88"/>
    <w:rsid w:val="00803103"/>
    <w:rsid w:val="0080446C"/>
    <w:rsid w:val="0080458E"/>
    <w:rsid w:val="008070ED"/>
    <w:rsid w:val="00810247"/>
    <w:rsid w:val="00810881"/>
    <w:rsid w:val="0081293E"/>
    <w:rsid w:val="008152DB"/>
    <w:rsid w:val="00815465"/>
    <w:rsid w:val="00815645"/>
    <w:rsid w:val="008159D1"/>
    <w:rsid w:val="00817E9A"/>
    <w:rsid w:val="00820533"/>
    <w:rsid w:val="008210BC"/>
    <w:rsid w:val="00822D78"/>
    <w:rsid w:val="00824C85"/>
    <w:rsid w:val="00825D22"/>
    <w:rsid w:val="00825D30"/>
    <w:rsid w:val="008270E2"/>
    <w:rsid w:val="008306BD"/>
    <w:rsid w:val="008319B2"/>
    <w:rsid w:val="00831A80"/>
    <w:rsid w:val="00833743"/>
    <w:rsid w:val="008340A0"/>
    <w:rsid w:val="008340A4"/>
    <w:rsid w:val="00834470"/>
    <w:rsid w:val="0083499E"/>
    <w:rsid w:val="00834DE4"/>
    <w:rsid w:val="008350DA"/>
    <w:rsid w:val="0083551A"/>
    <w:rsid w:val="00840F98"/>
    <w:rsid w:val="00842A55"/>
    <w:rsid w:val="00842E17"/>
    <w:rsid w:val="008448FF"/>
    <w:rsid w:val="00845238"/>
    <w:rsid w:val="00845684"/>
    <w:rsid w:val="00846283"/>
    <w:rsid w:val="00847D94"/>
    <w:rsid w:val="00850282"/>
    <w:rsid w:val="00850715"/>
    <w:rsid w:val="00852613"/>
    <w:rsid w:val="0085581E"/>
    <w:rsid w:val="00855AED"/>
    <w:rsid w:val="00856B73"/>
    <w:rsid w:val="008575DF"/>
    <w:rsid w:val="00860633"/>
    <w:rsid w:val="008611E9"/>
    <w:rsid w:val="008613DE"/>
    <w:rsid w:val="00862998"/>
    <w:rsid w:val="008647F0"/>
    <w:rsid w:val="00866007"/>
    <w:rsid w:val="0087135F"/>
    <w:rsid w:val="0087202C"/>
    <w:rsid w:val="0087228A"/>
    <w:rsid w:val="00872D94"/>
    <w:rsid w:val="0087503D"/>
    <w:rsid w:val="0087615F"/>
    <w:rsid w:val="0087690D"/>
    <w:rsid w:val="008778A4"/>
    <w:rsid w:val="00880364"/>
    <w:rsid w:val="00881B32"/>
    <w:rsid w:val="00884C40"/>
    <w:rsid w:val="008878B4"/>
    <w:rsid w:val="008879D7"/>
    <w:rsid w:val="00890C2F"/>
    <w:rsid w:val="00891592"/>
    <w:rsid w:val="00891912"/>
    <w:rsid w:val="00891B77"/>
    <w:rsid w:val="00891E9E"/>
    <w:rsid w:val="00892BB8"/>
    <w:rsid w:val="00893063"/>
    <w:rsid w:val="0089406F"/>
    <w:rsid w:val="00894447"/>
    <w:rsid w:val="008956A7"/>
    <w:rsid w:val="008A2D5C"/>
    <w:rsid w:val="008A2F68"/>
    <w:rsid w:val="008A6051"/>
    <w:rsid w:val="008A625B"/>
    <w:rsid w:val="008B2954"/>
    <w:rsid w:val="008B3032"/>
    <w:rsid w:val="008B4432"/>
    <w:rsid w:val="008B4FA6"/>
    <w:rsid w:val="008B5282"/>
    <w:rsid w:val="008B573B"/>
    <w:rsid w:val="008B597C"/>
    <w:rsid w:val="008B66E6"/>
    <w:rsid w:val="008B70C1"/>
    <w:rsid w:val="008B764F"/>
    <w:rsid w:val="008B7C17"/>
    <w:rsid w:val="008C1499"/>
    <w:rsid w:val="008C1511"/>
    <w:rsid w:val="008C2D01"/>
    <w:rsid w:val="008C39E5"/>
    <w:rsid w:val="008C40E6"/>
    <w:rsid w:val="008D05D9"/>
    <w:rsid w:val="008D0628"/>
    <w:rsid w:val="008D0F7A"/>
    <w:rsid w:val="008D1DDF"/>
    <w:rsid w:val="008D4323"/>
    <w:rsid w:val="008D5471"/>
    <w:rsid w:val="008D5862"/>
    <w:rsid w:val="008D59FC"/>
    <w:rsid w:val="008D5EAC"/>
    <w:rsid w:val="008D68E4"/>
    <w:rsid w:val="008E0506"/>
    <w:rsid w:val="008E05D7"/>
    <w:rsid w:val="008E0CFF"/>
    <w:rsid w:val="008E230F"/>
    <w:rsid w:val="008E5D6B"/>
    <w:rsid w:val="008E6FC0"/>
    <w:rsid w:val="008E74A6"/>
    <w:rsid w:val="008E76F0"/>
    <w:rsid w:val="008F0444"/>
    <w:rsid w:val="008F0D1F"/>
    <w:rsid w:val="008F0EBA"/>
    <w:rsid w:val="008F1202"/>
    <w:rsid w:val="008F15FE"/>
    <w:rsid w:val="008F2D29"/>
    <w:rsid w:val="008F3027"/>
    <w:rsid w:val="008F3495"/>
    <w:rsid w:val="008F4E44"/>
    <w:rsid w:val="008F5187"/>
    <w:rsid w:val="008F60D8"/>
    <w:rsid w:val="008F6FF6"/>
    <w:rsid w:val="00900B43"/>
    <w:rsid w:val="00902727"/>
    <w:rsid w:val="0090312B"/>
    <w:rsid w:val="00903A73"/>
    <w:rsid w:val="00903E83"/>
    <w:rsid w:val="00906B3E"/>
    <w:rsid w:val="00906BFD"/>
    <w:rsid w:val="009072C4"/>
    <w:rsid w:val="00910E32"/>
    <w:rsid w:val="00910F32"/>
    <w:rsid w:val="00911B99"/>
    <w:rsid w:val="00912164"/>
    <w:rsid w:val="0091736D"/>
    <w:rsid w:val="009173ED"/>
    <w:rsid w:val="0092022C"/>
    <w:rsid w:val="00921E97"/>
    <w:rsid w:val="0092200D"/>
    <w:rsid w:val="009226FD"/>
    <w:rsid w:val="009253AA"/>
    <w:rsid w:val="0093037A"/>
    <w:rsid w:val="00931182"/>
    <w:rsid w:val="009317C2"/>
    <w:rsid w:val="0093394E"/>
    <w:rsid w:val="00933BCF"/>
    <w:rsid w:val="0093444C"/>
    <w:rsid w:val="0093789F"/>
    <w:rsid w:val="00940493"/>
    <w:rsid w:val="0094154D"/>
    <w:rsid w:val="00941E3A"/>
    <w:rsid w:val="00944F51"/>
    <w:rsid w:val="0094561A"/>
    <w:rsid w:val="00946444"/>
    <w:rsid w:val="0095155F"/>
    <w:rsid w:val="009533FB"/>
    <w:rsid w:val="00954429"/>
    <w:rsid w:val="009552BD"/>
    <w:rsid w:val="00956037"/>
    <w:rsid w:val="009563CE"/>
    <w:rsid w:val="00956910"/>
    <w:rsid w:val="009570C0"/>
    <w:rsid w:val="00957509"/>
    <w:rsid w:val="00957A19"/>
    <w:rsid w:val="009601D3"/>
    <w:rsid w:val="009612E0"/>
    <w:rsid w:val="00963427"/>
    <w:rsid w:val="00963D1D"/>
    <w:rsid w:val="00964BBC"/>
    <w:rsid w:val="009678CD"/>
    <w:rsid w:val="0097364C"/>
    <w:rsid w:val="00973F31"/>
    <w:rsid w:val="00974B8C"/>
    <w:rsid w:val="00975805"/>
    <w:rsid w:val="00976328"/>
    <w:rsid w:val="0097680D"/>
    <w:rsid w:val="0098053F"/>
    <w:rsid w:val="00980F28"/>
    <w:rsid w:val="00981392"/>
    <w:rsid w:val="0098236A"/>
    <w:rsid w:val="00982438"/>
    <w:rsid w:val="00982A1F"/>
    <w:rsid w:val="0098404C"/>
    <w:rsid w:val="00985283"/>
    <w:rsid w:val="00985A44"/>
    <w:rsid w:val="00985F9E"/>
    <w:rsid w:val="00987156"/>
    <w:rsid w:val="0099000E"/>
    <w:rsid w:val="0099030C"/>
    <w:rsid w:val="009914C6"/>
    <w:rsid w:val="00991980"/>
    <w:rsid w:val="00992CC4"/>
    <w:rsid w:val="00994171"/>
    <w:rsid w:val="00995992"/>
    <w:rsid w:val="00996127"/>
    <w:rsid w:val="00997968"/>
    <w:rsid w:val="009A03E5"/>
    <w:rsid w:val="009A0F3B"/>
    <w:rsid w:val="009A1BB4"/>
    <w:rsid w:val="009A2628"/>
    <w:rsid w:val="009A2A7F"/>
    <w:rsid w:val="009A3200"/>
    <w:rsid w:val="009A420A"/>
    <w:rsid w:val="009A52D2"/>
    <w:rsid w:val="009A6AC1"/>
    <w:rsid w:val="009A708B"/>
    <w:rsid w:val="009B0897"/>
    <w:rsid w:val="009B1EFF"/>
    <w:rsid w:val="009B3291"/>
    <w:rsid w:val="009B347C"/>
    <w:rsid w:val="009B3E2C"/>
    <w:rsid w:val="009B4FC2"/>
    <w:rsid w:val="009B7BD9"/>
    <w:rsid w:val="009C4F8A"/>
    <w:rsid w:val="009C5607"/>
    <w:rsid w:val="009C7436"/>
    <w:rsid w:val="009C7DD5"/>
    <w:rsid w:val="009D320F"/>
    <w:rsid w:val="009D64EB"/>
    <w:rsid w:val="009D7780"/>
    <w:rsid w:val="009D7F57"/>
    <w:rsid w:val="009E0084"/>
    <w:rsid w:val="009E227D"/>
    <w:rsid w:val="009E2F3E"/>
    <w:rsid w:val="009E5019"/>
    <w:rsid w:val="009F024C"/>
    <w:rsid w:val="009F269B"/>
    <w:rsid w:val="009F5C0D"/>
    <w:rsid w:val="009F6AD0"/>
    <w:rsid w:val="009F735A"/>
    <w:rsid w:val="00A00EB4"/>
    <w:rsid w:val="00A017FD"/>
    <w:rsid w:val="00A02712"/>
    <w:rsid w:val="00A04F1B"/>
    <w:rsid w:val="00A0501B"/>
    <w:rsid w:val="00A0511F"/>
    <w:rsid w:val="00A056D3"/>
    <w:rsid w:val="00A05EBB"/>
    <w:rsid w:val="00A111B8"/>
    <w:rsid w:val="00A11EE9"/>
    <w:rsid w:val="00A1391A"/>
    <w:rsid w:val="00A14947"/>
    <w:rsid w:val="00A1599C"/>
    <w:rsid w:val="00A21523"/>
    <w:rsid w:val="00A2293F"/>
    <w:rsid w:val="00A22F20"/>
    <w:rsid w:val="00A23793"/>
    <w:rsid w:val="00A23A7A"/>
    <w:rsid w:val="00A273E4"/>
    <w:rsid w:val="00A27938"/>
    <w:rsid w:val="00A31A0B"/>
    <w:rsid w:val="00A31B68"/>
    <w:rsid w:val="00A3277B"/>
    <w:rsid w:val="00A32915"/>
    <w:rsid w:val="00A32A83"/>
    <w:rsid w:val="00A32F40"/>
    <w:rsid w:val="00A34DF6"/>
    <w:rsid w:val="00A355FC"/>
    <w:rsid w:val="00A35740"/>
    <w:rsid w:val="00A368DB"/>
    <w:rsid w:val="00A41135"/>
    <w:rsid w:val="00A413C0"/>
    <w:rsid w:val="00A41B3B"/>
    <w:rsid w:val="00A42323"/>
    <w:rsid w:val="00A423AA"/>
    <w:rsid w:val="00A43DE9"/>
    <w:rsid w:val="00A452E2"/>
    <w:rsid w:val="00A464DD"/>
    <w:rsid w:val="00A46A4B"/>
    <w:rsid w:val="00A47261"/>
    <w:rsid w:val="00A4794F"/>
    <w:rsid w:val="00A517E5"/>
    <w:rsid w:val="00A52C6C"/>
    <w:rsid w:val="00A53EC6"/>
    <w:rsid w:val="00A5516B"/>
    <w:rsid w:val="00A55C0F"/>
    <w:rsid w:val="00A55F55"/>
    <w:rsid w:val="00A62419"/>
    <w:rsid w:val="00A6265A"/>
    <w:rsid w:val="00A62BA0"/>
    <w:rsid w:val="00A63B6E"/>
    <w:rsid w:val="00A6421B"/>
    <w:rsid w:val="00A64310"/>
    <w:rsid w:val="00A64BC3"/>
    <w:rsid w:val="00A6658C"/>
    <w:rsid w:val="00A704D7"/>
    <w:rsid w:val="00A727DE"/>
    <w:rsid w:val="00A73225"/>
    <w:rsid w:val="00A735A6"/>
    <w:rsid w:val="00A74742"/>
    <w:rsid w:val="00A74DAE"/>
    <w:rsid w:val="00A75B83"/>
    <w:rsid w:val="00A75BA0"/>
    <w:rsid w:val="00A76E29"/>
    <w:rsid w:val="00A77E8A"/>
    <w:rsid w:val="00A82848"/>
    <w:rsid w:val="00A84863"/>
    <w:rsid w:val="00A8594B"/>
    <w:rsid w:val="00A85B09"/>
    <w:rsid w:val="00A85BC9"/>
    <w:rsid w:val="00A86F84"/>
    <w:rsid w:val="00A8713F"/>
    <w:rsid w:val="00A90BA1"/>
    <w:rsid w:val="00A917E8"/>
    <w:rsid w:val="00A93200"/>
    <w:rsid w:val="00A9437D"/>
    <w:rsid w:val="00A94B4A"/>
    <w:rsid w:val="00A94BEA"/>
    <w:rsid w:val="00A95095"/>
    <w:rsid w:val="00A97A9A"/>
    <w:rsid w:val="00AA0393"/>
    <w:rsid w:val="00AA0671"/>
    <w:rsid w:val="00AA228D"/>
    <w:rsid w:val="00AA2531"/>
    <w:rsid w:val="00AA317C"/>
    <w:rsid w:val="00AA61F3"/>
    <w:rsid w:val="00AA69EA"/>
    <w:rsid w:val="00AA6BDD"/>
    <w:rsid w:val="00AA79A8"/>
    <w:rsid w:val="00AB089B"/>
    <w:rsid w:val="00AB1E09"/>
    <w:rsid w:val="00AB2D22"/>
    <w:rsid w:val="00AB5330"/>
    <w:rsid w:val="00AB53AF"/>
    <w:rsid w:val="00AB7747"/>
    <w:rsid w:val="00AC14CE"/>
    <w:rsid w:val="00AC1687"/>
    <w:rsid w:val="00AC1752"/>
    <w:rsid w:val="00AC18FB"/>
    <w:rsid w:val="00AC2A56"/>
    <w:rsid w:val="00AC501E"/>
    <w:rsid w:val="00AC535D"/>
    <w:rsid w:val="00AC5E78"/>
    <w:rsid w:val="00AC704E"/>
    <w:rsid w:val="00AD029D"/>
    <w:rsid w:val="00AD055E"/>
    <w:rsid w:val="00AD0594"/>
    <w:rsid w:val="00AD13C7"/>
    <w:rsid w:val="00AD3B18"/>
    <w:rsid w:val="00AD4132"/>
    <w:rsid w:val="00AD47A7"/>
    <w:rsid w:val="00AD4DFD"/>
    <w:rsid w:val="00AD540A"/>
    <w:rsid w:val="00AD5DCB"/>
    <w:rsid w:val="00AD707B"/>
    <w:rsid w:val="00AD72B5"/>
    <w:rsid w:val="00AD7AEC"/>
    <w:rsid w:val="00AE12DE"/>
    <w:rsid w:val="00AE1D22"/>
    <w:rsid w:val="00AE3075"/>
    <w:rsid w:val="00AE3094"/>
    <w:rsid w:val="00AE3F82"/>
    <w:rsid w:val="00AE4490"/>
    <w:rsid w:val="00AE53CC"/>
    <w:rsid w:val="00AE745F"/>
    <w:rsid w:val="00AF0CBF"/>
    <w:rsid w:val="00AF149D"/>
    <w:rsid w:val="00AF1FE1"/>
    <w:rsid w:val="00AF257F"/>
    <w:rsid w:val="00AF33CF"/>
    <w:rsid w:val="00AF3A75"/>
    <w:rsid w:val="00AF41A8"/>
    <w:rsid w:val="00AF41AA"/>
    <w:rsid w:val="00AF4D50"/>
    <w:rsid w:val="00AF6179"/>
    <w:rsid w:val="00B00461"/>
    <w:rsid w:val="00B004A7"/>
    <w:rsid w:val="00B00DCF"/>
    <w:rsid w:val="00B00FB9"/>
    <w:rsid w:val="00B02538"/>
    <w:rsid w:val="00B02F5E"/>
    <w:rsid w:val="00B05312"/>
    <w:rsid w:val="00B053B0"/>
    <w:rsid w:val="00B05EE5"/>
    <w:rsid w:val="00B068BB"/>
    <w:rsid w:val="00B069DF"/>
    <w:rsid w:val="00B072FA"/>
    <w:rsid w:val="00B1295A"/>
    <w:rsid w:val="00B12A5D"/>
    <w:rsid w:val="00B13AD4"/>
    <w:rsid w:val="00B16BE3"/>
    <w:rsid w:val="00B16E99"/>
    <w:rsid w:val="00B17C87"/>
    <w:rsid w:val="00B20A45"/>
    <w:rsid w:val="00B211EA"/>
    <w:rsid w:val="00B212FF"/>
    <w:rsid w:val="00B21453"/>
    <w:rsid w:val="00B22C5C"/>
    <w:rsid w:val="00B24302"/>
    <w:rsid w:val="00B24F30"/>
    <w:rsid w:val="00B25F5D"/>
    <w:rsid w:val="00B267B8"/>
    <w:rsid w:val="00B27D01"/>
    <w:rsid w:val="00B31ABF"/>
    <w:rsid w:val="00B31FA6"/>
    <w:rsid w:val="00B3350E"/>
    <w:rsid w:val="00B33BE3"/>
    <w:rsid w:val="00B3498B"/>
    <w:rsid w:val="00B34E70"/>
    <w:rsid w:val="00B37F61"/>
    <w:rsid w:val="00B40CFA"/>
    <w:rsid w:val="00B4228C"/>
    <w:rsid w:val="00B42483"/>
    <w:rsid w:val="00B439A2"/>
    <w:rsid w:val="00B4519B"/>
    <w:rsid w:val="00B45289"/>
    <w:rsid w:val="00B45C5D"/>
    <w:rsid w:val="00B45D52"/>
    <w:rsid w:val="00B50BBD"/>
    <w:rsid w:val="00B52A14"/>
    <w:rsid w:val="00B52A61"/>
    <w:rsid w:val="00B53B5D"/>
    <w:rsid w:val="00B5443C"/>
    <w:rsid w:val="00B5540E"/>
    <w:rsid w:val="00B5662F"/>
    <w:rsid w:val="00B60168"/>
    <w:rsid w:val="00B6055E"/>
    <w:rsid w:val="00B60B1D"/>
    <w:rsid w:val="00B6317D"/>
    <w:rsid w:val="00B6437F"/>
    <w:rsid w:val="00B64E4D"/>
    <w:rsid w:val="00B674E8"/>
    <w:rsid w:val="00B678F0"/>
    <w:rsid w:val="00B703D1"/>
    <w:rsid w:val="00B70A10"/>
    <w:rsid w:val="00B71F12"/>
    <w:rsid w:val="00B71F4F"/>
    <w:rsid w:val="00B74644"/>
    <w:rsid w:val="00B75B0E"/>
    <w:rsid w:val="00B75C7F"/>
    <w:rsid w:val="00B76CFC"/>
    <w:rsid w:val="00B76D40"/>
    <w:rsid w:val="00B7723F"/>
    <w:rsid w:val="00B77A4A"/>
    <w:rsid w:val="00B77AF0"/>
    <w:rsid w:val="00B8024C"/>
    <w:rsid w:val="00B80534"/>
    <w:rsid w:val="00B8071A"/>
    <w:rsid w:val="00B81151"/>
    <w:rsid w:val="00B8197F"/>
    <w:rsid w:val="00B81B48"/>
    <w:rsid w:val="00B81BC9"/>
    <w:rsid w:val="00B83463"/>
    <w:rsid w:val="00B83912"/>
    <w:rsid w:val="00B83CA7"/>
    <w:rsid w:val="00B8433C"/>
    <w:rsid w:val="00B8484D"/>
    <w:rsid w:val="00B848A7"/>
    <w:rsid w:val="00B85AC5"/>
    <w:rsid w:val="00B87491"/>
    <w:rsid w:val="00B875C6"/>
    <w:rsid w:val="00B939BF"/>
    <w:rsid w:val="00B93D69"/>
    <w:rsid w:val="00B9560A"/>
    <w:rsid w:val="00BA14A4"/>
    <w:rsid w:val="00BA25DC"/>
    <w:rsid w:val="00BA2714"/>
    <w:rsid w:val="00BA29E9"/>
    <w:rsid w:val="00BA3D6A"/>
    <w:rsid w:val="00BA4C97"/>
    <w:rsid w:val="00BA5A09"/>
    <w:rsid w:val="00BA7142"/>
    <w:rsid w:val="00BA7152"/>
    <w:rsid w:val="00BA762A"/>
    <w:rsid w:val="00BB02A3"/>
    <w:rsid w:val="00BB237C"/>
    <w:rsid w:val="00BB41A3"/>
    <w:rsid w:val="00BB43C0"/>
    <w:rsid w:val="00BB532B"/>
    <w:rsid w:val="00BC008E"/>
    <w:rsid w:val="00BC2251"/>
    <w:rsid w:val="00BC32DC"/>
    <w:rsid w:val="00BC35B6"/>
    <w:rsid w:val="00BC4439"/>
    <w:rsid w:val="00BD00F9"/>
    <w:rsid w:val="00BD1B51"/>
    <w:rsid w:val="00BD3389"/>
    <w:rsid w:val="00BD33E5"/>
    <w:rsid w:val="00BD432B"/>
    <w:rsid w:val="00BD4596"/>
    <w:rsid w:val="00BD4C7D"/>
    <w:rsid w:val="00BD659D"/>
    <w:rsid w:val="00BE1405"/>
    <w:rsid w:val="00BE312D"/>
    <w:rsid w:val="00BE3F46"/>
    <w:rsid w:val="00BE47E8"/>
    <w:rsid w:val="00BE517B"/>
    <w:rsid w:val="00BE5F3A"/>
    <w:rsid w:val="00BE6B69"/>
    <w:rsid w:val="00BF1C20"/>
    <w:rsid w:val="00BF262F"/>
    <w:rsid w:val="00BF270B"/>
    <w:rsid w:val="00BF3288"/>
    <w:rsid w:val="00BF43C1"/>
    <w:rsid w:val="00BF4D68"/>
    <w:rsid w:val="00BF7AC1"/>
    <w:rsid w:val="00C016E0"/>
    <w:rsid w:val="00C02E3A"/>
    <w:rsid w:val="00C045CC"/>
    <w:rsid w:val="00C07EA8"/>
    <w:rsid w:val="00C10578"/>
    <w:rsid w:val="00C1341D"/>
    <w:rsid w:val="00C135BC"/>
    <w:rsid w:val="00C13AF9"/>
    <w:rsid w:val="00C15990"/>
    <w:rsid w:val="00C15C95"/>
    <w:rsid w:val="00C15D61"/>
    <w:rsid w:val="00C168D5"/>
    <w:rsid w:val="00C169A5"/>
    <w:rsid w:val="00C202ED"/>
    <w:rsid w:val="00C20927"/>
    <w:rsid w:val="00C21104"/>
    <w:rsid w:val="00C21DC2"/>
    <w:rsid w:val="00C23986"/>
    <w:rsid w:val="00C2596A"/>
    <w:rsid w:val="00C25EAA"/>
    <w:rsid w:val="00C27295"/>
    <w:rsid w:val="00C27537"/>
    <w:rsid w:val="00C3032D"/>
    <w:rsid w:val="00C3168A"/>
    <w:rsid w:val="00C32567"/>
    <w:rsid w:val="00C328F8"/>
    <w:rsid w:val="00C328FE"/>
    <w:rsid w:val="00C32E37"/>
    <w:rsid w:val="00C33507"/>
    <w:rsid w:val="00C34EF8"/>
    <w:rsid w:val="00C37287"/>
    <w:rsid w:val="00C42966"/>
    <w:rsid w:val="00C43206"/>
    <w:rsid w:val="00C4409D"/>
    <w:rsid w:val="00C442CF"/>
    <w:rsid w:val="00C44CC3"/>
    <w:rsid w:val="00C44E72"/>
    <w:rsid w:val="00C45181"/>
    <w:rsid w:val="00C455A4"/>
    <w:rsid w:val="00C45A06"/>
    <w:rsid w:val="00C45F76"/>
    <w:rsid w:val="00C46B7B"/>
    <w:rsid w:val="00C47E5B"/>
    <w:rsid w:val="00C5011E"/>
    <w:rsid w:val="00C51561"/>
    <w:rsid w:val="00C530E7"/>
    <w:rsid w:val="00C5316D"/>
    <w:rsid w:val="00C54D40"/>
    <w:rsid w:val="00C6081E"/>
    <w:rsid w:val="00C6144F"/>
    <w:rsid w:val="00C6147A"/>
    <w:rsid w:val="00C61E23"/>
    <w:rsid w:val="00C61E4B"/>
    <w:rsid w:val="00C62CAF"/>
    <w:rsid w:val="00C64BFF"/>
    <w:rsid w:val="00C67CDC"/>
    <w:rsid w:val="00C704E9"/>
    <w:rsid w:val="00C70CB5"/>
    <w:rsid w:val="00C70E49"/>
    <w:rsid w:val="00C711E5"/>
    <w:rsid w:val="00C7170D"/>
    <w:rsid w:val="00C72E0A"/>
    <w:rsid w:val="00C742D1"/>
    <w:rsid w:val="00C763C9"/>
    <w:rsid w:val="00C76AF5"/>
    <w:rsid w:val="00C80057"/>
    <w:rsid w:val="00C81264"/>
    <w:rsid w:val="00C81876"/>
    <w:rsid w:val="00C82232"/>
    <w:rsid w:val="00C82913"/>
    <w:rsid w:val="00C82A00"/>
    <w:rsid w:val="00C83A55"/>
    <w:rsid w:val="00C84BAD"/>
    <w:rsid w:val="00C854A3"/>
    <w:rsid w:val="00C91E74"/>
    <w:rsid w:val="00C93258"/>
    <w:rsid w:val="00C95F6F"/>
    <w:rsid w:val="00C968A4"/>
    <w:rsid w:val="00C972B1"/>
    <w:rsid w:val="00C9793E"/>
    <w:rsid w:val="00CA2C2B"/>
    <w:rsid w:val="00CA2CCE"/>
    <w:rsid w:val="00CA43FD"/>
    <w:rsid w:val="00CA7EF8"/>
    <w:rsid w:val="00CB3BA6"/>
    <w:rsid w:val="00CB4430"/>
    <w:rsid w:val="00CB71EF"/>
    <w:rsid w:val="00CC0B25"/>
    <w:rsid w:val="00CC0F5F"/>
    <w:rsid w:val="00CC2150"/>
    <w:rsid w:val="00CC489B"/>
    <w:rsid w:val="00CC4FA4"/>
    <w:rsid w:val="00CC69F2"/>
    <w:rsid w:val="00CC78E2"/>
    <w:rsid w:val="00CD1DF1"/>
    <w:rsid w:val="00CD277F"/>
    <w:rsid w:val="00CD2AC9"/>
    <w:rsid w:val="00CD2BCD"/>
    <w:rsid w:val="00CD3A4C"/>
    <w:rsid w:val="00CD5007"/>
    <w:rsid w:val="00CE088F"/>
    <w:rsid w:val="00CE10E9"/>
    <w:rsid w:val="00CE2910"/>
    <w:rsid w:val="00CE3358"/>
    <w:rsid w:val="00CE5393"/>
    <w:rsid w:val="00CF253F"/>
    <w:rsid w:val="00CF36BE"/>
    <w:rsid w:val="00CF3B27"/>
    <w:rsid w:val="00CF44E2"/>
    <w:rsid w:val="00CF5F28"/>
    <w:rsid w:val="00CF5FB4"/>
    <w:rsid w:val="00CF6000"/>
    <w:rsid w:val="00CF7BF1"/>
    <w:rsid w:val="00D003F3"/>
    <w:rsid w:val="00D0132F"/>
    <w:rsid w:val="00D014AE"/>
    <w:rsid w:val="00D02856"/>
    <w:rsid w:val="00D02B94"/>
    <w:rsid w:val="00D02CDF"/>
    <w:rsid w:val="00D0364F"/>
    <w:rsid w:val="00D04409"/>
    <w:rsid w:val="00D04545"/>
    <w:rsid w:val="00D05FB5"/>
    <w:rsid w:val="00D061A5"/>
    <w:rsid w:val="00D06834"/>
    <w:rsid w:val="00D06ED1"/>
    <w:rsid w:val="00D10C24"/>
    <w:rsid w:val="00D1671F"/>
    <w:rsid w:val="00D17D0B"/>
    <w:rsid w:val="00D17FAC"/>
    <w:rsid w:val="00D22292"/>
    <w:rsid w:val="00D227E0"/>
    <w:rsid w:val="00D23FC7"/>
    <w:rsid w:val="00D24555"/>
    <w:rsid w:val="00D246D4"/>
    <w:rsid w:val="00D30722"/>
    <w:rsid w:val="00D308ED"/>
    <w:rsid w:val="00D319B6"/>
    <w:rsid w:val="00D35324"/>
    <w:rsid w:val="00D35A39"/>
    <w:rsid w:val="00D35E5B"/>
    <w:rsid w:val="00D36D86"/>
    <w:rsid w:val="00D37CCA"/>
    <w:rsid w:val="00D405F8"/>
    <w:rsid w:val="00D40696"/>
    <w:rsid w:val="00D41AE6"/>
    <w:rsid w:val="00D428AA"/>
    <w:rsid w:val="00D45827"/>
    <w:rsid w:val="00D46AE9"/>
    <w:rsid w:val="00D478FF"/>
    <w:rsid w:val="00D50A34"/>
    <w:rsid w:val="00D510B3"/>
    <w:rsid w:val="00D51687"/>
    <w:rsid w:val="00D53EFA"/>
    <w:rsid w:val="00D55C50"/>
    <w:rsid w:val="00D57969"/>
    <w:rsid w:val="00D636AA"/>
    <w:rsid w:val="00D63D75"/>
    <w:rsid w:val="00D63F4E"/>
    <w:rsid w:val="00D70A7E"/>
    <w:rsid w:val="00D73229"/>
    <w:rsid w:val="00D73237"/>
    <w:rsid w:val="00D77EBD"/>
    <w:rsid w:val="00D81E78"/>
    <w:rsid w:val="00D81E86"/>
    <w:rsid w:val="00D81E98"/>
    <w:rsid w:val="00D839C9"/>
    <w:rsid w:val="00D8567D"/>
    <w:rsid w:val="00D859F3"/>
    <w:rsid w:val="00D87FF5"/>
    <w:rsid w:val="00D90EBC"/>
    <w:rsid w:val="00D919C7"/>
    <w:rsid w:val="00D91FD4"/>
    <w:rsid w:val="00D925B6"/>
    <w:rsid w:val="00D94341"/>
    <w:rsid w:val="00D94A7C"/>
    <w:rsid w:val="00D95896"/>
    <w:rsid w:val="00D9595D"/>
    <w:rsid w:val="00DA0B3D"/>
    <w:rsid w:val="00DA1E59"/>
    <w:rsid w:val="00DA3E98"/>
    <w:rsid w:val="00DA4392"/>
    <w:rsid w:val="00DA69CB"/>
    <w:rsid w:val="00DA7A90"/>
    <w:rsid w:val="00DB0E17"/>
    <w:rsid w:val="00DB2983"/>
    <w:rsid w:val="00DB2BC0"/>
    <w:rsid w:val="00DB3DE2"/>
    <w:rsid w:val="00DB5D2B"/>
    <w:rsid w:val="00DB69A4"/>
    <w:rsid w:val="00DB7B82"/>
    <w:rsid w:val="00DC1257"/>
    <w:rsid w:val="00DC3DC0"/>
    <w:rsid w:val="00DC4876"/>
    <w:rsid w:val="00DC48B7"/>
    <w:rsid w:val="00DC4B27"/>
    <w:rsid w:val="00DC5B2B"/>
    <w:rsid w:val="00DC6033"/>
    <w:rsid w:val="00DD138E"/>
    <w:rsid w:val="00DD1BB6"/>
    <w:rsid w:val="00DD2DD5"/>
    <w:rsid w:val="00DD318D"/>
    <w:rsid w:val="00DD38DB"/>
    <w:rsid w:val="00DD5275"/>
    <w:rsid w:val="00DE13F9"/>
    <w:rsid w:val="00DE41B1"/>
    <w:rsid w:val="00DE4536"/>
    <w:rsid w:val="00DF02F2"/>
    <w:rsid w:val="00DF0FE9"/>
    <w:rsid w:val="00DF2595"/>
    <w:rsid w:val="00DF2B64"/>
    <w:rsid w:val="00DF2E12"/>
    <w:rsid w:val="00DF30CA"/>
    <w:rsid w:val="00DF514A"/>
    <w:rsid w:val="00DF6690"/>
    <w:rsid w:val="00DF66B5"/>
    <w:rsid w:val="00DF6804"/>
    <w:rsid w:val="00E0034C"/>
    <w:rsid w:val="00E00B94"/>
    <w:rsid w:val="00E0358D"/>
    <w:rsid w:val="00E03C92"/>
    <w:rsid w:val="00E04323"/>
    <w:rsid w:val="00E04862"/>
    <w:rsid w:val="00E05555"/>
    <w:rsid w:val="00E070A2"/>
    <w:rsid w:val="00E07903"/>
    <w:rsid w:val="00E112D5"/>
    <w:rsid w:val="00E13917"/>
    <w:rsid w:val="00E13970"/>
    <w:rsid w:val="00E13B94"/>
    <w:rsid w:val="00E1497F"/>
    <w:rsid w:val="00E15EFB"/>
    <w:rsid w:val="00E15FF2"/>
    <w:rsid w:val="00E2042A"/>
    <w:rsid w:val="00E21437"/>
    <w:rsid w:val="00E23908"/>
    <w:rsid w:val="00E2656A"/>
    <w:rsid w:val="00E30AB2"/>
    <w:rsid w:val="00E31435"/>
    <w:rsid w:val="00E31A79"/>
    <w:rsid w:val="00E326D5"/>
    <w:rsid w:val="00E32A56"/>
    <w:rsid w:val="00E33EFC"/>
    <w:rsid w:val="00E367C3"/>
    <w:rsid w:val="00E37B0F"/>
    <w:rsid w:val="00E406B5"/>
    <w:rsid w:val="00E412D0"/>
    <w:rsid w:val="00E4190B"/>
    <w:rsid w:val="00E42E84"/>
    <w:rsid w:val="00E45AFB"/>
    <w:rsid w:val="00E4657F"/>
    <w:rsid w:val="00E47380"/>
    <w:rsid w:val="00E50F36"/>
    <w:rsid w:val="00E519BC"/>
    <w:rsid w:val="00E56322"/>
    <w:rsid w:val="00E6035A"/>
    <w:rsid w:val="00E60982"/>
    <w:rsid w:val="00E6102A"/>
    <w:rsid w:val="00E61274"/>
    <w:rsid w:val="00E61674"/>
    <w:rsid w:val="00E6268D"/>
    <w:rsid w:val="00E629F0"/>
    <w:rsid w:val="00E62C62"/>
    <w:rsid w:val="00E654C1"/>
    <w:rsid w:val="00E65D97"/>
    <w:rsid w:val="00E667A1"/>
    <w:rsid w:val="00E66A2A"/>
    <w:rsid w:val="00E67040"/>
    <w:rsid w:val="00E71E2A"/>
    <w:rsid w:val="00E72A5A"/>
    <w:rsid w:val="00E73354"/>
    <w:rsid w:val="00E73F9F"/>
    <w:rsid w:val="00E75177"/>
    <w:rsid w:val="00E751D0"/>
    <w:rsid w:val="00E8082D"/>
    <w:rsid w:val="00E8276B"/>
    <w:rsid w:val="00E84CB0"/>
    <w:rsid w:val="00E854B2"/>
    <w:rsid w:val="00E86382"/>
    <w:rsid w:val="00E90297"/>
    <w:rsid w:val="00E903BF"/>
    <w:rsid w:val="00E9242D"/>
    <w:rsid w:val="00E95E21"/>
    <w:rsid w:val="00E9648D"/>
    <w:rsid w:val="00EA4C0B"/>
    <w:rsid w:val="00EA4E76"/>
    <w:rsid w:val="00EA502C"/>
    <w:rsid w:val="00EA5388"/>
    <w:rsid w:val="00EB0304"/>
    <w:rsid w:val="00EB0571"/>
    <w:rsid w:val="00EB13F1"/>
    <w:rsid w:val="00EB2596"/>
    <w:rsid w:val="00EB414C"/>
    <w:rsid w:val="00EB51EB"/>
    <w:rsid w:val="00EB5255"/>
    <w:rsid w:val="00EB53A5"/>
    <w:rsid w:val="00EB5C47"/>
    <w:rsid w:val="00EB6929"/>
    <w:rsid w:val="00EB6A7B"/>
    <w:rsid w:val="00EB757D"/>
    <w:rsid w:val="00EB77D0"/>
    <w:rsid w:val="00EC2C51"/>
    <w:rsid w:val="00EC311E"/>
    <w:rsid w:val="00EC32A4"/>
    <w:rsid w:val="00EC3DE4"/>
    <w:rsid w:val="00EC3E96"/>
    <w:rsid w:val="00EC5785"/>
    <w:rsid w:val="00EC71F8"/>
    <w:rsid w:val="00ED0639"/>
    <w:rsid w:val="00ED0F61"/>
    <w:rsid w:val="00ED14BE"/>
    <w:rsid w:val="00ED3CE1"/>
    <w:rsid w:val="00ED4C24"/>
    <w:rsid w:val="00ED54F2"/>
    <w:rsid w:val="00ED5C8F"/>
    <w:rsid w:val="00ED69F2"/>
    <w:rsid w:val="00ED784C"/>
    <w:rsid w:val="00EE0BD7"/>
    <w:rsid w:val="00EE0DD0"/>
    <w:rsid w:val="00EE196D"/>
    <w:rsid w:val="00EE4BD9"/>
    <w:rsid w:val="00EE4ED5"/>
    <w:rsid w:val="00EE7948"/>
    <w:rsid w:val="00EE7ACE"/>
    <w:rsid w:val="00EE7FE2"/>
    <w:rsid w:val="00EF328F"/>
    <w:rsid w:val="00EF3424"/>
    <w:rsid w:val="00EF4650"/>
    <w:rsid w:val="00EF4755"/>
    <w:rsid w:val="00EF6A9C"/>
    <w:rsid w:val="00EF6DDA"/>
    <w:rsid w:val="00EF7135"/>
    <w:rsid w:val="00EF798F"/>
    <w:rsid w:val="00F027DB"/>
    <w:rsid w:val="00F04795"/>
    <w:rsid w:val="00F04D30"/>
    <w:rsid w:val="00F053E1"/>
    <w:rsid w:val="00F06AFE"/>
    <w:rsid w:val="00F07673"/>
    <w:rsid w:val="00F10598"/>
    <w:rsid w:val="00F1178F"/>
    <w:rsid w:val="00F14A7A"/>
    <w:rsid w:val="00F15906"/>
    <w:rsid w:val="00F167E4"/>
    <w:rsid w:val="00F169D2"/>
    <w:rsid w:val="00F173C1"/>
    <w:rsid w:val="00F17486"/>
    <w:rsid w:val="00F22925"/>
    <w:rsid w:val="00F22985"/>
    <w:rsid w:val="00F2527E"/>
    <w:rsid w:val="00F26799"/>
    <w:rsid w:val="00F311AA"/>
    <w:rsid w:val="00F31AA1"/>
    <w:rsid w:val="00F324F0"/>
    <w:rsid w:val="00F32F43"/>
    <w:rsid w:val="00F3383E"/>
    <w:rsid w:val="00F33D66"/>
    <w:rsid w:val="00F344C1"/>
    <w:rsid w:val="00F36CAB"/>
    <w:rsid w:val="00F40DDB"/>
    <w:rsid w:val="00F40EA8"/>
    <w:rsid w:val="00F426C0"/>
    <w:rsid w:val="00F43605"/>
    <w:rsid w:val="00F44836"/>
    <w:rsid w:val="00F4617C"/>
    <w:rsid w:val="00F465A7"/>
    <w:rsid w:val="00F46B72"/>
    <w:rsid w:val="00F46F8F"/>
    <w:rsid w:val="00F47FED"/>
    <w:rsid w:val="00F505A5"/>
    <w:rsid w:val="00F50B7C"/>
    <w:rsid w:val="00F519E2"/>
    <w:rsid w:val="00F51A70"/>
    <w:rsid w:val="00F51A93"/>
    <w:rsid w:val="00F547CF"/>
    <w:rsid w:val="00F54B0D"/>
    <w:rsid w:val="00F550E6"/>
    <w:rsid w:val="00F55B37"/>
    <w:rsid w:val="00F568E2"/>
    <w:rsid w:val="00F60C3F"/>
    <w:rsid w:val="00F61765"/>
    <w:rsid w:val="00F62F10"/>
    <w:rsid w:val="00F63E7D"/>
    <w:rsid w:val="00F65B1F"/>
    <w:rsid w:val="00F670D9"/>
    <w:rsid w:val="00F6753E"/>
    <w:rsid w:val="00F70743"/>
    <w:rsid w:val="00F716B9"/>
    <w:rsid w:val="00F729C0"/>
    <w:rsid w:val="00F74345"/>
    <w:rsid w:val="00F74A64"/>
    <w:rsid w:val="00F74E2F"/>
    <w:rsid w:val="00F765D0"/>
    <w:rsid w:val="00F76EF0"/>
    <w:rsid w:val="00F77B69"/>
    <w:rsid w:val="00F77E18"/>
    <w:rsid w:val="00F80A0A"/>
    <w:rsid w:val="00F80DCB"/>
    <w:rsid w:val="00F818F8"/>
    <w:rsid w:val="00F82882"/>
    <w:rsid w:val="00F82B19"/>
    <w:rsid w:val="00F843A9"/>
    <w:rsid w:val="00F85ACF"/>
    <w:rsid w:val="00F9212D"/>
    <w:rsid w:val="00F92145"/>
    <w:rsid w:val="00F936B6"/>
    <w:rsid w:val="00F93D03"/>
    <w:rsid w:val="00F965DA"/>
    <w:rsid w:val="00F96B2E"/>
    <w:rsid w:val="00F96E54"/>
    <w:rsid w:val="00F97022"/>
    <w:rsid w:val="00FA159B"/>
    <w:rsid w:val="00FA406A"/>
    <w:rsid w:val="00FA40A8"/>
    <w:rsid w:val="00FA636C"/>
    <w:rsid w:val="00FA6839"/>
    <w:rsid w:val="00FA69F5"/>
    <w:rsid w:val="00FA6B7E"/>
    <w:rsid w:val="00FA6C86"/>
    <w:rsid w:val="00FA7231"/>
    <w:rsid w:val="00FA7495"/>
    <w:rsid w:val="00FA795A"/>
    <w:rsid w:val="00FB2AD0"/>
    <w:rsid w:val="00FB3974"/>
    <w:rsid w:val="00FB491A"/>
    <w:rsid w:val="00FB503A"/>
    <w:rsid w:val="00FB516C"/>
    <w:rsid w:val="00FB5260"/>
    <w:rsid w:val="00FB5D3D"/>
    <w:rsid w:val="00FC2492"/>
    <w:rsid w:val="00FC2F09"/>
    <w:rsid w:val="00FC32A6"/>
    <w:rsid w:val="00FC37AC"/>
    <w:rsid w:val="00FC66B9"/>
    <w:rsid w:val="00FC7A63"/>
    <w:rsid w:val="00FD0236"/>
    <w:rsid w:val="00FD18F4"/>
    <w:rsid w:val="00FD5015"/>
    <w:rsid w:val="00FD54DB"/>
    <w:rsid w:val="00FD5525"/>
    <w:rsid w:val="00FD5660"/>
    <w:rsid w:val="00FD619F"/>
    <w:rsid w:val="00FD61A2"/>
    <w:rsid w:val="00FD6B81"/>
    <w:rsid w:val="00FD74AA"/>
    <w:rsid w:val="00FD7741"/>
    <w:rsid w:val="00FD7BC1"/>
    <w:rsid w:val="00FE2528"/>
    <w:rsid w:val="00FE3E18"/>
    <w:rsid w:val="00FE7044"/>
    <w:rsid w:val="00FF20E9"/>
    <w:rsid w:val="00FF3C36"/>
    <w:rsid w:val="01151A86"/>
    <w:rsid w:val="011D7ED9"/>
    <w:rsid w:val="01290F7E"/>
    <w:rsid w:val="013B03F2"/>
    <w:rsid w:val="01483C19"/>
    <w:rsid w:val="01564D2E"/>
    <w:rsid w:val="015D1E09"/>
    <w:rsid w:val="01635F4F"/>
    <w:rsid w:val="016471F9"/>
    <w:rsid w:val="018E0B6C"/>
    <w:rsid w:val="019F18DD"/>
    <w:rsid w:val="01C74A5B"/>
    <w:rsid w:val="01CA74F1"/>
    <w:rsid w:val="01CC04F0"/>
    <w:rsid w:val="01CD4264"/>
    <w:rsid w:val="01CE4FA4"/>
    <w:rsid w:val="01D627DD"/>
    <w:rsid w:val="01E441AB"/>
    <w:rsid w:val="01F54D59"/>
    <w:rsid w:val="020661C5"/>
    <w:rsid w:val="021155D0"/>
    <w:rsid w:val="02330EDE"/>
    <w:rsid w:val="023714CD"/>
    <w:rsid w:val="0239119C"/>
    <w:rsid w:val="02545E9B"/>
    <w:rsid w:val="02697903"/>
    <w:rsid w:val="027D6939"/>
    <w:rsid w:val="028D27EE"/>
    <w:rsid w:val="028F4158"/>
    <w:rsid w:val="029078AC"/>
    <w:rsid w:val="029E5A65"/>
    <w:rsid w:val="02A10A58"/>
    <w:rsid w:val="02E8241A"/>
    <w:rsid w:val="02F04FB4"/>
    <w:rsid w:val="02F96569"/>
    <w:rsid w:val="031C0CFC"/>
    <w:rsid w:val="031C6245"/>
    <w:rsid w:val="03373D6B"/>
    <w:rsid w:val="034A125F"/>
    <w:rsid w:val="035B5D33"/>
    <w:rsid w:val="036172C7"/>
    <w:rsid w:val="038D179E"/>
    <w:rsid w:val="03AB5AC6"/>
    <w:rsid w:val="03D870A6"/>
    <w:rsid w:val="03E60EA6"/>
    <w:rsid w:val="03EA7B21"/>
    <w:rsid w:val="03FE1F22"/>
    <w:rsid w:val="04036885"/>
    <w:rsid w:val="041670AD"/>
    <w:rsid w:val="041C0D18"/>
    <w:rsid w:val="04657DEE"/>
    <w:rsid w:val="047C0F5A"/>
    <w:rsid w:val="047C3EFE"/>
    <w:rsid w:val="048327F1"/>
    <w:rsid w:val="04933BA7"/>
    <w:rsid w:val="04951FD9"/>
    <w:rsid w:val="04A33563"/>
    <w:rsid w:val="04AE4573"/>
    <w:rsid w:val="04B07CB0"/>
    <w:rsid w:val="04B550D9"/>
    <w:rsid w:val="04C17856"/>
    <w:rsid w:val="04C869F8"/>
    <w:rsid w:val="04C9117A"/>
    <w:rsid w:val="05217612"/>
    <w:rsid w:val="052D1224"/>
    <w:rsid w:val="05726DA2"/>
    <w:rsid w:val="057E5BAF"/>
    <w:rsid w:val="05854340"/>
    <w:rsid w:val="05BD0650"/>
    <w:rsid w:val="05F83EAE"/>
    <w:rsid w:val="063E7D85"/>
    <w:rsid w:val="065908B0"/>
    <w:rsid w:val="065C2940"/>
    <w:rsid w:val="06731798"/>
    <w:rsid w:val="06897498"/>
    <w:rsid w:val="068C7CC7"/>
    <w:rsid w:val="06CB0695"/>
    <w:rsid w:val="06CC7E8A"/>
    <w:rsid w:val="06DE797D"/>
    <w:rsid w:val="06EE5E44"/>
    <w:rsid w:val="06F169B2"/>
    <w:rsid w:val="06FB0773"/>
    <w:rsid w:val="070B603E"/>
    <w:rsid w:val="07233B4D"/>
    <w:rsid w:val="07293586"/>
    <w:rsid w:val="07295285"/>
    <w:rsid w:val="074E4E7E"/>
    <w:rsid w:val="075A3C87"/>
    <w:rsid w:val="075D3719"/>
    <w:rsid w:val="07636392"/>
    <w:rsid w:val="0768720D"/>
    <w:rsid w:val="07770C56"/>
    <w:rsid w:val="078B22FB"/>
    <w:rsid w:val="078B5A8E"/>
    <w:rsid w:val="078F460C"/>
    <w:rsid w:val="07BB4CD7"/>
    <w:rsid w:val="07C0646D"/>
    <w:rsid w:val="07DD3BB4"/>
    <w:rsid w:val="08543A57"/>
    <w:rsid w:val="088256F2"/>
    <w:rsid w:val="089E6879"/>
    <w:rsid w:val="08AC139C"/>
    <w:rsid w:val="08B614CB"/>
    <w:rsid w:val="08C73E56"/>
    <w:rsid w:val="08DD536A"/>
    <w:rsid w:val="08DF53C7"/>
    <w:rsid w:val="08F0219D"/>
    <w:rsid w:val="091D4D9F"/>
    <w:rsid w:val="092217DD"/>
    <w:rsid w:val="0924216F"/>
    <w:rsid w:val="09253129"/>
    <w:rsid w:val="093A7294"/>
    <w:rsid w:val="09475104"/>
    <w:rsid w:val="096B124E"/>
    <w:rsid w:val="09907288"/>
    <w:rsid w:val="099643C6"/>
    <w:rsid w:val="09A25A3F"/>
    <w:rsid w:val="09B95016"/>
    <w:rsid w:val="09C06119"/>
    <w:rsid w:val="09CC7CC2"/>
    <w:rsid w:val="09FA6B2A"/>
    <w:rsid w:val="0A0477EE"/>
    <w:rsid w:val="0A0B3E3F"/>
    <w:rsid w:val="0A150683"/>
    <w:rsid w:val="0A2001CA"/>
    <w:rsid w:val="0A263993"/>
    <w:rsid w:val="0A2C397A"/>
    <w:rsid w:val="0A2D3AC2"/>
    <w:rsid w:val="0A3D7608"/>
    <w:rsid w:val="0AA04365"/>
    <w:rsid w:val="0AA755DF"/>
    <w:rsid w:val="0AC23EAC"/>
    <w:rsid w:val="0ACA01BE"/>
    <w:rsid w:val="0AD321E4"/>
    <w:rsid w:val="0AE540B8"/>
    <w:rsid w:val="0AE95D18"/>
    <w:rsid w:val="0AFB441E"/>
    <w:rsid w:val="0B120D44"/>
    <w:rsid w:val="0B1C1AC5"/>
    <w:rsid w:val="0B315A5B"/>
    <w:rsid w:val="0B4B7E65"/>
    <w:rsid w:val="0B7D68D3"/>
    <w:rsid w:val="0BA964BA"/>
    <w:rsid w:val="0BD27BF6"/>
    <w:rsid w:val="0BD30E28"/>
    <w:rsid w:val="0BD31881"/>
    <w:rsid w:val="0BE2030A"/>
    <w:rsid w:val="0C22131A"/>
    <w:rsid w:val="0C2F1ECB"/>
    <w:rsid w:val="0C301ADE"/>
    <w:rsid w:val="0C307938"/>
    <w:rsid w:val="0C3B3C7D"/>
    <w:rsid w:val="0C3E50C2"/>
    <w:rsid w:val="0C654279"/>
    <w:rsid w:val="0C675B15"/>
    <w:rsid w:val="0C705186"/>
    <w:rsid w:val="0C9D031A"/>
    <w:rsid w:val="0C9E388B"/>
    <w:rsid w:val="0CAB2EAE"/>
    <w:rsid w:val="0CC06E3D"/>
    <w:rsid w:val="0CC14234"/>
    <w:rsid w:val="0CC36C0B"/>
    <w:rsid w:val="0CD71D44"/>
    <w:rsid w:val="0CDD530C"/>
    <w:rsid w:val="0CF708C6"/>
    <w:rsid w:val="0D075F5B"/>
    <w:rsid w:val="0D13463B"/>
    <w:rsid w:val="0D3437E6"/>
    <w:rsid w:val="0D46182C"/>
    <w:rsid w:val="0D4D65BC"/>
    <w:rsid w:val="0D621C7D"/>
    <w:rsid w:val="0D750080"/>
    <w:rsid w:val="0D867B3B"/>
    <w:rsid w:val="0D8E01E2"/>
    <w:rsid w:val="0D944EB5"/>
    <w:rsid w:val="0D9B4201"/>
    <w:rsid w:val="0DC73897"/>
    <w:rsid w:val="0DFE7E82"/>
    <w:rsid w:val="0E0234B9"/>
    <w:rsid w:val="0E05120C"/>
    <w:rsid w:val="0E2309AA"/>
    <w:rsid w:val="0E2575A5"/>
    <w:rsid w:val="0E2A6F86"/>
    <w:rsid w:val="0E391378"/>
    <w:rsid w:val="0E484A57"/>
    <w:rsid w:val="0E6D75A5"/>
    <w:rsid w:val="0E73034D"/>
    <w:rsid w:val="0E81324C"/>
    <w:rsid w:val="0E8B47E0"/>
    <w:rsid w:val="0E9E6E44"/>
    <w:rsid w:val="0ED15D3F"/>
    <w:rsid w:val="0EE014AB"/>
    <w:rsid w:val="0EEC7A4A"/>
    <w:rsid w:val="0F0D58A5"/>
    <w:rsid w:val="0F13775A"/>
    <w:rsid w:val="0F1A0834"/>
    <w:rsid w:val="0F3C188C"/>
    <w:rsid w:val="0F540C8F"/>
    <w:rsid w:val="0F5C2417"/>
    <w:rsid w:val="0F5F45FE"/>
    <w:rsid w:val="0F6C1628"/>
    <w:rsid w:val="0F91626A"/>
    <w:rsid w:val="0F9A112B"/>
    <w:rsid w:val="0FB6503F"/>
    <w:rsid w:val="0FCE13E2"/>
    <w:rsid w:val="0FD40AD7"/>
    <w:rsid w:val="0FE470E4"/>
    <w:rsid w:val="0FF2745E"/>
    <w:rsid w:val="0FFD062A"/>
    <w:rsid w:val="100C5334"/>
    <w:rsid w:val="1019556A"/>
    <w:rsid w:val="10234B95"/>
    <w:rsid w:val="102568A6"/>
    <w:rsid w:val="10262A1F"/>
    <w:rsid w:val="105B7E72"/>
    <w:rsid w:val="10634575"/>
    <w:rsid w:val="106D2F64"/>
    <w:rsid w:val="107E550C"/>
    <w:rsid w:val="10857AC3"/>
    <w:rsid w:val="1086095E"/>
    <w:rsid w:val="10AC5B0F"/>
    <w:rsid w:val="10B63710"/>
    <w:rsid w:val="10C25E2E"/>
    <w:rsid w:val="10C65D8A"/>
    <w:rsid w:val="10CC7D28"/>
    <w:rsid w:val="10D03D32"/>
    <w:rsid w:val="10D13155"/>
    <w:rsid w:val="10E26311"/>
    <w:rsid w:val="10E93803"/>
    <w:rsid w:val="10EA4BB9"/>
    <w:rsid w:val="10EF40E1"/>
    <w:rsid w:val="10F10820"/>
    <w:rsid w:val="111C2F7A"/>
    <w:rsid w:val="1131135A"/>
    <w:rsid w:val="11360403"/>
    <w:rsid w:val="11364CD5"/>
    <w:rsid w:val="113A2452"/>
    <w:rsid w:val="113B0F57"/>
    <w:rsid w:val="11665CA1"/>
    <w:rsid w:val="116B107E"/>
    <w:rsid w:val="117A38DD"/>
    <w:rsid w:val="117D69B0"/>
    <w:rsid w:val="118D636F"/>
    <w:rsid w:val="119B58C1"/>
    <w:rsid w:val="11AD2F04"/>
    <w:rsid w:val="11C02D36"/>
    <w:rsid w:val="11C06C10"/>
    <w:rsid w:val="11CA3DDF"/>
    <w:rsid w:val="11F810D0"/>
    <w:rsid w:val="11FB3EED"/>
    <w:rsid w:val="12110C06"/>
    <w:rsid w:val="123F5326"/>
    <w:rsid w:val="125A7680"/>
    <w:rsid w:val="12723505"/>
    <w:rsid w:val="128C10F6"/>
    <w:rsid w:val="128D03D9"/>
    <w:rsid w:val="129B6E24"/>
    <w:rsid w:val="12C54E79"/>
    <w:rsid w:val="12E62663"/>
    <w:rsid w:val="12F1227E"/>
    <w:rsid w:val="12F52F8D"/>
    <w:rsid w:val="12FE3FDC"/>
    <w:rsid w:val="1310212B"/>
    <w:rsid w:val="135E57D8"/>
    <w:rsid w:val="13802474"/>
    <w:rsid w:val="13901FC7"/>
    <w:rsid w:val="13926A72"/>
    <w:rsid w:val="13951726"/>
    <w:rsid w:val="139A7F31"/>
    <w:rsid w:val="13AE2B12"/>
    <w:rsid w:val="13AE71F7"/>
    <w:rsid w:val="13AF7542"/>
    <w:rsid w:val="13D476F5"/>
    <w:rsid w:val="140116EE"/>
    <w:rsid w:val="140B0653"/>
    <w:rsid w:val="14163719"/>
    <w:rsid w:val="141A5AC4"/>
    <w:rsid w:val="14396509"/>
    <w:rsid w:val="14A85D17"/>
    <w:rsid w:val="14AA3A23"/>
    <w:rsid w:val="14C525C6"/>
    <w:rsid w:val="14D014A7"/>
    <w:rsid w:val="14D47B73"/>
    <w:rsid w:val="14DD2C3C"/>
    <w:rsid w:val="14F07812"/>
    <w:rsid w:val="14FE66DD"/>
    <w:rsid w:val="15011995"/>
    <w:rsid w:val="15337098"/>
    <w:rsid w:val="153D5405"/>
    <w:rsid w:val="15552F44"/>
    <w:rsid w:val="155645E1"/>
    <w:rsid w:val="15650D72"/>
    <w:rsid w:val="15751CF2"/>
    <w:rsid w:val="157C683F"/>
    <w:rsid w:val="15895580"/>
    <w:rsid w:val="158E70CB"/>
    <w:rsid w:val="15956207"/>
    <w:rsid w:val="15964CF9"/>
    <w:rsid w:val="159F4807"/>
    <w:rsid w:val="16087E1D"/>
    <w:rsid w:val="16164F32"/>
    <w:rsid w:val="16186DB5"/>
    <w:rsid w:val="16386528"/>
    <w:rsid w:val="163F31E4"/>
    <w:rsid w:val="1649568A"/>
    <w:rsid w:val="16591028"/>
    <w:rsid w:val="167C0930"/>
    <w:rsid w:val="168E0F81"/>
    <w:rsid w:val="168F6C4A"/>
    <w:rsid w:val="16C65B52"/>
    <w:rsid w:val="16E80E93"/>
    <w:rsid w:val="17025956"/>
    <w:rsid w:val="17185C44"/>
    <w:rsid w:val="173322BB"/>
    <w:rsid w:val="17361551"/>
    <w:rsid w:val="176C040D"/>
    <w:rsid w:val="17701D14"/>
    <w:rsid w:val="17735226"/>
    <w:rsid w:val="1779567C"/>
    <w:rsid w:val="179A6FD9"/>
    <w:rsid w:val="17AB124D"/>
    <w:rsid w:val="17B761E1"/>
    <w:rsid w:val="1818791B"/>
    <w:rsid w:val="1826051D"/>
    <w:rsid w:val="1857363F"/>
    <w:rsid w:val="18596658"/>
    <w:rsid w:val="18675440"/>
    <w:rsid w:val="186B3307"/>
    <w:rsid w:val="188774DD"/>
    <w:rsid w:val="189A4AE9"/>
    <w:rsid w:val="189D151D"/>
    <w:rsid w:val="189F624C"/>
    <w:rsid w:val="18BB267A"/>
    <w:rsid w:val="18C53FFD"/>
    <w:rsid w:val="18CD1176"/>
    <w:rsid w:val="19261509"/>
    <w:rsid w:val="19650D5B"/>
    <w:rsid w:val="197F07A8"/>
    <w:rsid w:val="19AA00B8"/>
    <w:rsid w:val="19EB21B3"/>
    <w:rsid w:val="19F3145F"/>
    <w:rsid w:val="1A090538"/>
    <w:rsid w:val="1A0C42BD"/>
    <w:rsid w:val="1A1C66C0"/>
    <w:rsid w:val="1A2B64A1"/>
    <w:rsid w:val="1A317F88"/>
    <w:rsid w:val="1A42393B"/>
    <w:rsid w:val="1A6110AB"/>
    <w:rsid w:val="1A640A2C"/>
    <w:rsid w:val="1A646CD3"/>
    <w:rsid w:val="1A7635CD"/>
    <w:rsid w:val="1A8C3213"/>
    <w:rsid w:val="1AAD45DE"/>
    <w:rsid w:val="1AAE4BB5"/>
    <w:rsid w:val="1ABE27BD"/>
    <w:rsid w:val="1AEB6A37"/>
    <w:rsid w:val="1AF346EC"/>
    <w:rsid w:val="1B046F80"/>
    <w:rsid w:val="1B096EA8"/>
    <w:rsid w:val="1B27104C"/>
    <w:rsid w:val="1B3267B5"/>
    <w:rsid w:val="1B40161D"/>
    <w:rsid w:val="1B441859"/>
    <w:rsid w:val="1B520EDD"/>
    <w:rsid w:val="1B540A7A"/>
    <w:rsid w:val="1B541B72"/>
    <w:rsid w:val="1B614B9E"/>
    <w:rsid w:val="1B637E22"/>
    <w:rsid w:val="1B6606B1"/>
    <w:rsid w:val="1B750723"/>
    <w:rsid w:val="1B8C511B"/>
    <w:rsid w:val="1B9F47AD"/>
    <w:rsid w:val="1BB22D0C"/>
    <w:rsid w:val="1BB6133F"/>
    <w:rsid w:val="1C0C03DA"/>
    <w:rsid w:val="1C2A1E32"/>
    <w:rsid w:val="1C383B04"/>
    <w:rsid w:val="1C58217F"/>
    <w:rsid w:val="1C5E7925"/>
    <w:rsid w:val="1C7919B6"/>
    <w:rsid w:val="1C9C2C0F"/>
    <w:rsid w:val="1C9F5CF3"/>
    <w:rsid w:val="1CCB791D"/>
    <w:rsid w:val="1CD4624C"/>
    <w:rsid w:val="1CDA1502"/>
    <w:rsid w:val="1CDB0038"/>
    <w:rsid w:val="1CE95FF0"/>
    <w:rsid w:val="1CED6265"/>
    <w:rsid w:val="1CFC5F83"/>
    <w:rsid w:val="1CFD070F"/>
    <w:rsid w:val="1D1D11C3"/>
    <w:rsid w:val="1D232B28"/>
    <w:rsid w:val="1D37405B"/>
    <w:rsid w:val="1D562DF6"/>
    <w:rsid w:val="1D593EC3"/>
    <w:rsid w:val="1D5F6196"/>
    <w:rsid w:val="1D6132A5"/>
    <w:rsid w:val="1D7C4625"/>
    <w:rsid w:val="1D7E40DE"/>
    <w:rsid w:val="1D8E56D5"/>
    <w:rsid w:val="1DA414BE"/>
    <w:rsid w:val="1DA554B6"/>
    <w:rsid w:val="1DA67799"/>
    <w:rsid w:val="1DBA4F22"/>
    <w:rsid w:val="1DDE6CB7"/>
    <w:rsid w:val="1E091DC0"/>
    <w:rsid w:val="1E1937D9"/>
    <w:rsid w:val="1E6E1031"/>
    <w:rsid w:val="1E7A43DA"/>
    <w:rsid w:val="1E8C21F0"/>
    <w:rsid w:val="1E8F28C7"/>
    <w:rsid w:val="1EA03D49"/>
    <w:rsid w:val="1EA36A07"/>
    <w:rsid w:val="1EA46D05"/>
    <w:rsid w:val="1EAA6C58"/>
    <w:rsid w:val="1ED50EE2"/>
    <w:rsid w:val="1ED50F0F"/>
    <w:rsid w:val="1ED573EF"/>
    <w:rsid w:val="1EFC16D8"/>
    <w:rsid w:val="1EFC4C0E"/>
    <w:rsid w:val="1F0873A5"/>
    <w:rsid w:val="1F0A2C83"/>
    <w:rsid w:val="1F0A69BD"/>
    <w:rsid w:val="1F206612"/>
    <w:rsid w:val="1F6C0B20"/>
    <w:rsid w:val="1FB90D12"/>
    <w:rsid w:val="1FD02502"/>
    <w:rsid w:val="1FE7539E"/>
    <w:rsid w:val="1FFC400A"/>
    <w:rsid w:val="200C03B0"/>
    <w:rsid w:val="20177990"/>
    <w:rsid w:val="20215A75"/>
    <w:rsid w:val="202A2BB1"/>
    <w:rsid w:val="202D64DE"/>
    <w:rsid w:val="203B7A4B"/>
    <w:rsid w:val="204A29DF"/>
    <w:rsid w:val="20655C66"/>
    <w:rsid w:val="20671BE0"/>
    <w:rsid w:val="206E22E5"/>
    <w:rsid w:val="208B3C49"/>
    <w:rsid w:val="20963CB8"/>
    <w:rsid w:val="20A81A1B"/>
    <w:rsid w:val="20B07FB6"/>
    <w:rsid w:val="20B25A42"/>
    <w:rsid w:val="20B646FB"/>
    <w:rsid w:val="20E07432"/>
    <w:rsid w:val="20E410DA"/>
    <w:rsid w:val="20F76F03"/>
    <w:rsid w:val="2104296D"/>
    <w:rsid w:val="21110B1A"/>
    <w:rsid w:val="21254EB4"/>
    <w:rsid w:val="212B2C2D"/>
    <w:rsid w:val="212B69C6"/>
    <w:rsid w:val="213B74B1"/>
    <w:rsid w:val="21517B42"/>
    <w:rsid w:val="215A2310"/>
    <w:rsid w:val="2162257A"/>
    <w:rsid w:val="21A81043"/>
    <w:rsid w:val="21C16DA5"/>
    <w:rsid w:val="21CD6807"/>
    <w:rsid w:val="21DE318A"/>
    <w:rsid w:val="21EF5B80"/>
    <w:rsid w:val="21EF6821"/>
    <w:rsid w:val="22054928"/>
    <w:rsid w:val="220B3D6B"/>
    <w:rsid w:val="22124C0F"/>
    <w:rsid w:val="221B4E60"/>
    <w:rsid w:val="22372685"/>
    <w:rsid w:val="224A5CEC"/>
    <w:rsid w:val="22544D46"/>
    <w:rsid w:val="225649CD"/>
    <w:rsid w:val="22576990"/>
    <w:rsid w:val="22736A44"/>
    <w:rsid w:val="22760BC8"/>
    <w:rsid w:val="22963853"/>
    <w:rsid w:val="22A43A3F"/>
    <w:rsid w:val="22B27316"/>
    <w:rsid w:val="22C571C7"/>
    <w:rsid w:val="22EF78AB"/>
    <w:rsid w:val="22F47480"/>
    <w:rsid w:val="231757C6"/>
    <w:rsid w:val="23422496"/>
    <w:rsid w:val="234A591A"/>
    <w:rsid w:val="23551BE5"/>
    <w:rsid w:val="236938C8"/>
    <w:rsid w:val="237E5114"/>
    <w:rsid w:val="237F2615"/>
    <w:rsid w:val="239F31AE"/>
    <w:rsid w:val="23B31F4D"/>
    <w:rsid w:val="23B36B66"/>
    <w:rsid w:val="23B73731"/>
    <w:rsid w:val="23BC4D7D"/>
    <w:rsid w:val="23C57924"/>
    <w:rsid w:val="23DC60FB"/>
    <w:rsid w:val="23DE1C48"/>
    <w:rsid w:val="240210CD"/>
    <w:rsid w:val="24053071"/>
    <w:rsid w:val="240F7654"/>
    <w:rsid w:val="2417578B"/>
    <w:rsid w:val="242D0222"/>
    <w:rsid w:val="243A2058"/>
    <w:rsid w:val="245F305C"/>
    <w:rsid w:val="2461620E"/>
    <w:rsid w:val="24656A71"/>
    <w:rsid w:val="247F2F17"/>
    <w:rsid w:val="249510B0"/>
    <w:rsid w:val="24A53CC8"/>
    <w:rsid w:val="24B9101B"/>
    <w:rsid w:val="24BD1936"/>
    <w:rsid w:val="24BF09F7"/>
    <w:rsid w:val="24D54EDC"/>
    <w:rsid w:val="24E85F86"/>
    <w:rsid w:val="24F67C8C"/>
    <w:rsid w:val="24F75FFE"/>
    <w:rsid w:val="24FC377B"/>
    <w:rsid w:val="24FD5779"/>
    <w:rsid w:val="250418A3"/>
    <w:rsid w:val="25063F87"/>
    <w:rsid w:val="250E69C9"/>
    <w:rsid w:val="252D53FE"/>
    <w:rsid w:val="254722C5"/>
    <w:rsid w:val="25600A28"/>
    <w:rsid w:val="257305B6"/>
    <w:rsid w:val="258C41BF"/>
    <w:rsid w:val="25A00629"/>
    <w:rsid w:val="25AB797B"/>
    <w:rsid w:val="25B6461C"/>
    <w:rsid w:val="25C265E0"/>
    <w:rsid w:val="25C30941"/>
    <w:rsid w:val="25C94193"/>
    <w:rsid w:val="25EC2D81"/>
    <w:rsid w:val="25EF0EB8"/>
    <w:rsid w:val="26026688"/>
    <w:rsid w:val="261D6F5E"/>
    <w:rsid w:val="261E3AE0"/>
    <w:rsid w:val="262D68AC"/>
    <w:rsid w:val="26312065"/>
    <w:rsid w:val="268612F3"/>
    <w:rsid w:val="268C7EAC"/>
    <w:rsid w:val="26A03D97"/>
    <w:rsid w:val="26A91B17"/>
    <w:rsid w:val="26AA7124"/>
    <w:rsid w:val="26B27F99"/>
    <w:rsid w:val="26E75939"/>
    <w:rsid w:val="27034987"/>
    <w:rsid w:val="272C47EE"/>
    <w:rsid w:val="27316674"/>
    <w:rsid w:val="27513822"/>
    <w:rsid w:val="275D2594"/>
    <w:rsid w:val="275F59E9"/>
    <w:rsid w:val="27680523"/>
    <w:rsid w:val="277057A2"/>
    <w:rsid w:val="27725E5B"/>
    <w:rsid w:val="27973758"/>
    <w:rsid w:val="27AF4483"/>
    <w:rsid w:val="27B4085D"/>
    <w:rsid w:val="27B96488"/>
    <w:rsid w:val="27D76821"/>
    <w:rsid w:val="27E61E33"/>
    <w:rsid w:val="27FD4146"/>
    <w:rsid w:val="281921FE"/>
    <w:rsid w:val="2821095A"/>
    <w:rsid w:val="283529F6"/>
    <w:rsid w:val="284145E4"/>
    <w:rsid w:val="2845558D"/>
    <w:rsid w:val="284B52A1"/>
    <w:rsid w:val="285F01B5"/>
    <w:rsid w:val="287642C9"/>
    <w:rsid w:val="28875AE7"/>
    <w:rsid w:val="288B2715"/>
    <w:rsid w:val="28C76F96"/>
    <w:rsid w:val="28CA7800"/>
    <w:rsid w:val="28D92A19"/>
    <w:rsid w:val="291512BE"/>
    <w:rsid w:val="291773D4"/>
    <w:rsid w:val="29206EB8"/>
    <w:rsid w:val="292C7771"/>
    <w:rsid w:val="293E0BC6"/>
    <w:rsid w:val="29466F6F"/>
    <w:rsid w:val="29541B3D"/>
    <w:rsid w:val="29553DF3"/>
    <w:rsid w:val="29595666"/>
    <w:rsid w:val="29670F35"/>
    <w:rsid w:val="296B6C88"/>
    <w:rsid w:val="29731D01"/>
    <w:rsid w:val="29874881"/>
    <w:rsid w:val="299B4D10"/>
    <w:rsid w:val="29AF2360"/>
    <w:rsid w:val="29B54931"/>
    <w:rsid w:val="29CB1898"/>
    <w:rsid w:val="29D97BD4"/>
    <w:rsid w:val="29E325E0"/>
    <w:rsid w:val="29ED489A"/>
    <w:rsid w:val="29F0127C"/>
    <w:rsid w:val="2A0F7D89"/>
    <w:rsid w:val="2A112F51"/>
    <w:rsid w:val="2A452503"/>
    <w:rsid w:val="2A68275A"/>
    <w:rsid w:val="2A6D3A84"/>
    <w:rsid w:val="2A832131"/>
    <w:rsid w:val="2AA01C58"/>
    <w:rsid w:val="2AC71376"/>
    <w:rsid w:val="2ACF3185"/>
    <w:rsid w:val="2AD91A9E"/>
    <w:rsid w:val="2AE3038E"/>
    <w:rsid w:val="2AF75771"/>
    <w:rsid w:val="2AFD022D"/>
    <w:rsid w:val="2B0B5187"/>
    <w:rsid w:val="2B186B09"/>
    <w:rsid w:val="2B1942E9"/>
    <w:rsid w:val="2B262B3E"/>
    <w:rsid w:val="2B265A0A"/>
    <w:rsid w:val="2B276CB6"/>
    <w:rsid w:val="2B396E93"/>
    <w:rsid w:val="2B3E564F"/>
    <w:rsid w:val="2BA936A8"/>
    <w:rsid w:val="2BAE73DD"/>
    <w:rsid w:val="2BC317F0"/>
    <w:rsid w:val="2BD32A3A"/>
    <w:rsid w:val="2C261003"/>
    <w:rsid w:val="2C2C777C"/>
    <w:rsid w:val="2C2D7878"/>
    <w:rsid w:val="2C2F7381"/>
    <w:rsid w:val="2C315A5A"/>
    <w:rsid w:val="2C366D4E"/>
    <w:rsid w:val="2C4B1C25"/>
    <w:rsid w:val="2C5C5FDE"/>
    <w:rsid w:val="2C6C5FD7"/>
    <w:rsid w:val="2C812FA6"/>
    <w:rsid w:val="2C8C0CE9"/>
    <w:rsid w:val="2CC1423F"/>
    <w:rsid w:val="2CD20ACD"/>
    <w:rsid w:val="2CDE404E"/>
    <w:rsid w:val="2CEC5EAA"/>
    <w:rsid w:val="2D0A4EF3"/>
    <w:rsid w:val="2D1A0BEC"/>
    <w:rsid w:val="2D464684"/>
    <w:rsid w:val="2D900F7A"/>
    <w:rsid w:val="2D9E56F5"/>
    <w:rsid w:val="2DE82A20"/>
    <w:rsid w:val="2E001437"/>
    <w:rsid w:val="2E0A6642"/>
    <w:rsid w:val="2E2030C9"/>
    <w:rsid w:val="2E224559"/>
    <w:rsid w:val="2E2619D5"/>
    <w:rsid w:val="2E300657"/>
    <w:rsid w:val="2E342E7F"/>
    <w:rsid w:val="2E4916AF"/>
    <w:rsid w:val="2E5A3740"/>
    <w:rsid w:val="2E667F96"/>
    <w:rsid w:val="2E6D4DDA"/>
    <w:rsid w:val="2E8226AB"/>
    <w:rsid w:val="2E944BCE"/>
    <w:rsid w:val="2EC06EB1"/>
    <w:rsid w:val="2EE32ACE"/>
    <w:rsid w:val="2F005667"/>
    <w:rsid w:val="2F043F88"/>
    <w:rsid w:val="2F0D6935"/>
    <w:rsid w:val="2F1E7A08"/>
    <w:rsid w:val="2F524C3D"/>
    <w:rsid w:val="2F7A7919"/>
    <w:rsid w:val="2F8669B3"/>
    <w:rsid w:val="2F965A84"/>
    <w:rsid w:val="2FBA6381"/>
    <w:rsid w:val="2FD065E6"/>
    <w:rsid w:val="2FD5275D"/>
    <w:rsid w:val="2FD96870"/>
    <w:rsid w:val="2FF37A28"/>
    <w:rsid w:val="2FF83845"/>
    <w:rsid w:val="2FFD0ECD"/>
    <w:rsid w:val="302030E7"/>
    <w:rsid w:val="30270434"/>
    <w:rsid w:val="302D4346"/>
    <w:rsid w:val="30580BC9"/>
    <w:rsid w:val="307A7F75"/>
    <w:rsid w:val="308D3B18"/>
    <w:rsid w:val="309B4030"/>
    <w:rsid w:val="30A61B3A"/>
    <w:rsid w:val="30C61E9F"/>
    <w:rsid w:val="30C649C0"/>
    <w:rsid w:val="30C92A79"/>
    <w:rsid w:val="30CA3D6C"/>
    <w:rsid w:val="30CD4614"/>
    <w:rsid w:val="30D1366A"/>
    <w:rsid w:val="30E13A32"/>
    <w:rsid w:val="30E91D9D"/>
    <w:rsid w:val="30EC03E9"/>
    <w:rsid w:val="30F8531A"/>
    <w:rsid w:val="311415A1"/>
    <w:rsid w:val="311830ED"/>
    <w:rsid w:val="311B6633"/>
    <w:rsid w:val="311E2ED7"/>
    <w:rsid w:val="31284CA6"/>
    <w:rsid w:val="31307DF4"/>
    <w:rsid w:val="31384BBA"/>
    <w:rsid w:val="31392600"/>
    <w:rsid w:val="315619EE"/>
    <w:rsid w:val="315C449C"/>
    <w:rsid w:val="31B82709"/>
    <w:rsid w:val="31CA2D37"/>
    <w:rsid w:val="31CB2DA4"/>
    <w:rsid w:val="31D05482"/>
    <w:rsid w:val="31D54B60"/>
    <w:rsid w:val="31DD67D8"/>
    <w:rsid w:val="31FA4052"/>
    <w:rsid w:val="32015A83"/>
    <w:rsid w:val="321F0F3D"/>
    <w:rsid w:val="322D11A4"/>
    <w:rsid w:val="322D54BA"/>
    <w:rsid w:val="32400B34"/>
    <w:rsid w:val="3250677A"/>
    <w:rsid w:val="32557BB6"/>
    <w:rsid w:val="325D2393"/>
    <w:rsid w:val="32662B39"/>
    <w:rsid w:val="327118E5"/>
    <w:rsid w:val="32833340"/>
    <w:rsid w:val="32871A1A"/>
    <w:rsid w:val="32967221"/>
    <w:rsid w:val="329E6876"/>
    <w:rsid w:val="32B03549"/>
    <w:rsid w:val="330D5390"/>
    <w:rsid w:val="33273DAD"/>
    <w:rsid w:val="332B7C95"/>
    <w:rsid w:val="333015F2"/>
    <w:rsid w:val="333328B7"/>
    <w:rsid w:val="33420D2A"/>
    <w:rsid w:val="334B6320"/>
    <w:rsid w:val="336E0567"/>
    <w:rsid w:val="33946955"/>
    <w:rsid w:val="33996B90"/>
    <w:rsid w:val="339A0A8F"/>
    <w:rsid w:val="33BA36D7"/>
    <w:rsid w:val="33BC4A9A"/>
    <w:rsid w:val="33D03302"/>
    <w:rsid w:val="33D934D4"/>
    <w:rsid w:val="33E00CAE"/>
    <w:rsid w:val="33E30A91"/>
    <w:rsid w:val="33EF6261"/>
    <w:rsid w:val="33FD31A5"/>
    <w:rsid w:val="33FE2F6A"/>
    <w:rsid w:val="340A5F2C"/>
    <w:rsid w:val="340D2243"/>
    <w:rsid w:val="340E07E5"/>
    <w:rsid w:val="34235BF7"/>
    <w:rsid w:val="344346CB"/>
    <w:rsid w:val="34441597"/>
    <w:rsid w:val="34546DDE"/>
    <w:rsid w:val="345617D6"/>
    <w:rsid w:val="346305EC"/>
    <w:rsid w:val="34686A05"/>
    <w:rsid w:val="34744A3F"/>
    <w:rsid w:val="347A0669"/>
    <w:rsid w:val="34837700"/>
    <w:rsid w:val="34A77126"/>
    <w:rsid w:val="34AF7221"/>
    <w:rsid w:val="34B013C8"/>
    <w:rsid w:val="34C529A2"/>
    <w:rsid w:val="34C557D0"/>
    <w:rsid w:val="34C7487B"/>
    <w:rsid w:val="34E462F1"/>
    <w:rsid w:val="35155F91"/>
    <w:rsid w:val="353D5FA8"/>
    <w:rsid w:val="355A5CA4"/>
    <w:rsid w:val="35857F92"/>
    <w:rsid w:val="358C5FA8"/>
    <w:rsid w:val="359C65D2"/>
    <w:rsid w:val="359E6D89"/>
    <w:rsid w:val="35B30765"/>
    <w:rsid w:val="35BC671A"/>
    <w:rsid w:val="35C15DF1"/>
    <w:rsid w:val="36074A7F"/>
    <w:rsid w:val="360E23BF"/>
    <w:rsid w:val="361032C0"/>
    <w:rsid w:val="361D327C"/>
    <w:rsid w:val="361E301B"/>
    <w:rsid w:val="362D4751"/>
    <w:rsid w:val="3640686D"/>
    <w:rsid w:val="36460886"/>
    <w:rsid w:val="365D676B"/>
    <w:rsid w:val="365F25ED"/>
    <w:rsid w:val="36672F6A"/>
    <w:rsid w:val="366D7328"/>
    <w:rsid w:val="3677665C"/>
    <w:rsid w:val="368158FA"/>
    <w:rsid w:val="368B40A1"/>
    <w:rsid w:val="36923549"/>
    <w:rsid w:val="36B411AD"/>
    <w:rsid w:val="36B75FBF"/>
    <w:rsid w:val="36BD0C45"/>
    <w:rsid w:val="36D62D5A"/>
    <w:rsid w:val="36D970ED"/>
    <w:rsid w:val="36DB26DE"/>
    <w:rsid w:val="36E95066"/>
    <w:rsid w:val="36FE1527"/>
    <w:rsid w:val="37205F31"/>
    <w:rsid w:val="372D6648"/>
    <w:rsid w:val="374A477F"/>
    <w:rsid w:val="37501AB8"/>
    <w:rsid w:val="375367CD"/>
    <w:rsid w:val="3772339A"/>
    <w:rsid w:val="3777137A"/>
    <w:rsid w:val="37E00298"/>
    <w:rsid w:val="37E2570F"/>
    <w:rsid w:val="37E61D17"/>
    <w:rsid w:val="37F400EC"/>
    <w:rsid w:val="38156BE5"/>
    <w:rsid w:val="383D304C"/>
    <w:rsid w:val="3853476C"/>
    <w:rsid w:val="38537613"/>
    <w:rsid w:val="38673F1E"/>
    <w:rsid w:val="386A42B9"/>
    <w:rsid w:val="387027E3"/>
    <w:rsid w:val="388D4742"/>
    <w:rsid w:val="38B302F9"/>
    <w:rsid w:val="38CD6634"/>
    <w:rsid w:val="38E20448"/>
    <w:rsid w:val="38EE6B95"/>
    <w:rsid w:val="38F12CD3"/>
    <w:rsid w:val="38F94775"/>
    <w:rsid w:val="391208C7"/>
    <w:rsid w:val="39135B58"/>
    <w:rsid w:val="39161172"/>
    <w:rsid w:val="39257464"/>
    <w:rsid w:val="392971ED"/>
    <w:rsid w:val="39325651"/>
    <w:rsid w:val="394407AD"/>
    <w:rsid w:val="39471514"/>
    <w:rsid w:val="39655324"/>
    <w:rsid w:val="397612F3"/>
    <w:rsid w:val="397C2645"/>
    <w:rsid w:val="3992139A"/>
    <w:rsid w:val="399C5383"/>
    <w:rsid w:val="39C96862"/>
    <w:rsid w:val="39CB6284"/>
    <w:rsid w:val="39F41501"/>
    <w:rsid w:val="39FB629A"/>
    <w:rsid w:val="3A0476DA"/>
    <w:rsid w:val="3A065FE6"/>
    <w:rsid w:val="3A066DDA"/>
    <w:rsid w:val="3A166102"/>
    <w:rsid w:val="3A210252"/>
    <w:rsid w:val="3A3A7130"/>
    <w:rsid w:val="3A7779A4"/>
    <w:rsid w:val="3A872856"/>
    <w:rsid w:val="3A8B7C97"/>
    <w:rsid w:val="3A8C221C"/>
    <w:rsid w:val="3A937059"/>
    <w:rsid w:val="3A941C96"/>
    <w:rsid w:val="3AC3310E"/>
    <w:rsid w:val="3AC8452B"/>
    <w:rsid w:val="3AD777D8"/>
    <w:rsid w:val="3AE21CD4"/>
    <w:rsid w:val="3AE22F15"/>
    <w:rsid w:val="3AE9500F"/>
    <w:rsid w:val="3AEA7BD6"/>
    <w:rsid w:val="3B040C48"/>
    <w:rsid w:val="3B250244"/>
    <w:rsid w:val="3B264B7E"/>
    <w:rsid w:val="3B2711F9"/>
    <w:rsid w:val="3B3763D1"/>
    <w:rsid w:val="3B607A6E"/>
    <w:rsid w:val="3B7D0F02"/>
    <w:rsid w:val="3BD06446"/>
    <w:rsid w:val="3BE05393"/>
    <w:rsid w:val="3BFC2946"/>
    <w:rsid w:val="3BFE05BA"/>
    <w:rsid w:val="3C013EB7"/>
    <w:rsid w:val="3C0E6272"/>
    <w:rsid w:val="3C114C64"/>
    <w:rsid w:val="3C1E4520"/>
    <w:rsid w:val="3C20661B"/>
    <w:rsid w:val="3C24035B"/>
    <w:rsid w:val="3C2F6E1E"/>
    <w:rsid w:val="3C3C0AA3"/>
    <w:rsid w:val="3C494964"/>
    <w:rsid w:val="3C4F64BA"/>
    <w:rsid w:val="3C514C5D"/>
    <w:rsid w:val="3C522813"/>
    <w:rsid w:val="3C5462D7"/>
    <w:rsid w:val="3C5C4E33"/>
    <w:rsid w:val="3C7175D2"/>
    <w:rsid w:val="3C781F51"/>
    <w:rsid w:val="3C7F451E"/>
    <w:rsid w:val="3C827C9C"/>
    <w:rsid w:val="3C8E74C0"/>
    <w:rsid w:val="3CDA245A"/>
    <w:rsid w:val="3D090832"/>
    <w:rsid w:val="3D15789A"/>
    <w:rsid w:val="3D1E06B7"/>
    <w:rsid w:val="3D3F7E3F"/>
    <w:rsid w:val="3D42172F"/>
    <w:rsid w:val="3D5E281C"/>
    <w:rsid w:val="3D605157"/>
    <w:rsid w:val="3D873412"/>
    <w:rsid w:val="3DC03606"/>
    <w:rsid w:val="3DD15403"/>
    <w:rsid w:val="3DD32E96"/>
    <w:rsid w:val="3DDC1AE4"/>
    <w:rsid w:val="3E1D3DD0"/>
    <w:rsid w:val="3E27606E"/>
    <w:rsid w:val="3E2B2DA6"/>
    <w:rsid w:val="3E2E18F2"/>
    <w:rsid w:val="3E4B195C"/>
    <w:rsid w:val="3E5329FF"/>
    <w:rsid w:val="3E574D94"/>
    <w:rsid w:val="3E5C0115"/>
    <w:rsid w:val="3E710C34"/>
    <w:rsid w:val="3E896929"/>
    <w:rsid w:val="3E9B465D"/>
    <w:rsid w:val="3EB451D7"/>
    <w:rsid w:val="3EB856CC"/>
    <w:rsid w:val="3ECD2086"/>
    <w:rsid w:val="3EDA0523"/>
    <w:rsid w:val="3EE76063"/>
    <w:rsid w:val="3F167AB5"/>
    <w:rsid w:val="3F1E2A47"/>
    <w:rsid w:val="3F456755"/>
    <w:rsid w:val="3F5C71E1"/>
    <w:rsid w:val="3F7879BB"/>
    <w:rsid w:val="3FA86BF5"/>
    <w:rsid w:val="3FE54FDC"/>
    <w:rsid w:val="3FFC55B8"/>
    <w:rsid w:val="3FFF2603"/>
    <w:rsid w:val="400E4EF2"/>
    <w:rsid w:val="401951F7"/>
    <w:rsid w:val="40307C64"/>
    <w:rsid w:val="40354BEC"/>
    <w:rsid w:val="40361AD7"/>
    <w:rsid w:val="40432DB6"/>
    <w:rsid w:val="407A6407"/>
    <w:rsid w:val="407B0424"/>
    <w:rsid w:val="40831046"/>
    <w:rsid w:val="409841A1"/>
    <w:rsid w:val="40A22DDC"/>
    <w:rsid w:val="40B30274"/>
    <w:rsid w:val="40B9077F"/>
    <w:rsid w:val="40C31919"/>
    <w:rsid w:val="40F609AD"/>
    <w:rsid w:val="41006546"/>
    <w:rsid w:val="41200E85"/>
    <w:rsid w:val="4139618F"/>
    <w:rsid w:val="413B1439"/>
    <w:rsid w:val="414B7A68"/>
    <w:rsid w:val="414C4E8D"/>
    <w:rsid w:val="41651C42"/>
    <w:rsid w:val="416C3C05"/>
    <w:rsid w:val="417666E8"/>
    <w:rsid w:val="417C7460"/>
    <w:rsid w:val="418C1B94"/>
    <w:rsid w:val="41940D83"/>
    <w:rsid w:val="41ED3396"/>
    <w:rsid w:val="4200449D"/>
    <w:rsid w:val="420B751B"/>
    <w:rsid w:val="421B47EC"/>
    <w:rsid w:val="423A3BCC"/>
    <w:rsid w:val="42412A3D"/>
    <w:rsid w:val="42414DD2"/>
    <w:rsid w:val="424A0CE9"/>
    <w:rsid w:val="424E57D2"/>
    <w:rsid w:val="425F0FC4"/>
    <w:rsid w:val="42641E13"/>
    <w:rsid w:val="426B23E8"/>
    <w:rsid w:val="42822DF1"/>
    <w:rsid w:val="42A72ABD"/>
    <w:rsid w:val="42B13A33"/>
    <w:rsid w:val="42B26C49"/>
    <w:rsid w:val="42BB0710"/>
    <w:rsid w:val="42C814B9"/>
    <w:rsid w:val="42EA3430"/>
    <w:rsid w:val="42ED4852"/>
    <w:rsid w:val="431E0B8E"/>
    <w:rsid w:val="4325064B"/>
    <w:rsid w:val="432C2147"/>
    <w:rsid w:val="433A6FE6"/>
    <w:rsid w:val="43425404"/>
    <w:rsid w:val="43480868"/>
    <w:rsid w:val="4350713C"/>
    <w:rsid w:val="436653E0"/>
    <w:rsid w:val="437221CD"/>
    <w:rsid w:val="438515B8"/>
    <w:rsid w:val="43923F2F"/>
    <w:rsid w:val="43BC558C"/>
    <w:rsid w:val="43C31EAB"/>
    <w:rsid w:val="43C4431A"/>
    <w:rsid w:val="43D621CA"/>
    <w:rsid w:val="43D932B6"/>
    <w:rsid w:val="43DC1CF1"/>
    <w:rsid w:val="44097CE8"/>
    <w:rsid w:val="44124B4B"/>
    <w:rsid w:val="4428429B"/>
    <w:rsid w:val="44745535"/>
    <w:rsid w:val="44753EC6"/>
    <w:rsid w:val="44882FFD"/>
    <w:rsid w:val="449261EB"/>
    <w:rsid w:val="44B951CC"/>
    <w:rsid w:val="44BD0634"/>
    <w:rsid w:val="44CB5CEC"/>
    <w:rsid w:val="44CC0AAE"/>
    <w:rsid w:val="44CD14E0"/>
    <w:rsid w:val="44DE5A26"/>
    <w:rsid w:val="44E34C03"/>
    <w:rsid w:val="44F20B0B"/>
    <w:rsid w:val="44F805F1"/>
    <w:rsid w:val="44F9023C"/>
    <w:rsid w:val="45016F13"/>
    <w:rsid w:val="450412A5"/>
    <w:rsid w:val="45130853"/>
    <w:rsid w:val="452E5F4C"/>
    <w:rsid w:val="4532237A"/>
    <w:rsid w:val="455C7CAE"/>
    <w:rsid w:val="45612018"/>
    <w:rsid w:val="456D6BE9"/>
    <w:rsid w:val="45710276"/>
    <w:rsid w:val="45765517"/>
    <w:rsid w:val="457D75F5"/>
    <w:rsid w:val="458426DD"/>
    <w:rsid w:val="458946E9"/>
    <w:rsid w:val="45A47C0E"/>
    <w:rsid w:val="45A92A27"/>
    <w:rsid w:val="45C02B79"/>
    <w:rsid w:val="45C17BE2"/>
    <w:rsid w:val="45DA1917"/>
    <w:rsid w:val="45DF188F"/>
    <w:rsid w:val="45E914DF"/>
    <w:rsid w:val="45F24DF7"/>
    <w:rsid w:val="460E14CF"/>
    <w:rsid w:val="46297DC5"/>
    <w:rsid w:val="46577FD6"/>
    <w:rsid w:val="46603389"/>
    <w:rsid w:val="46623856"/>
    <w:rsid w:val="467B6217"/>
    <w:rsid w:val="468C4077"/>
    <w:rsid w:val="468D6709"/>
    <w:rsid w:val="469C193E"/>
    <w:rsid w:val="46AC0370"/>
    <w:rsid w:val="46BF40F4"/>
    <w:rsid w:val="46D955A7"/>
    <w:rsid w:val="46F30296"/>
    <w:rsid w:val="47024B89"/>
    <w:rsid w:val="47133957"/>
    <w:rsid w:val="47564B71"/>
    <w:rsid w:val="47760497"/>
    <w:rsid w:val="47933D18"/>
    <w:rsid w:val="47937714"/>
    <w:rsid w:val="47A07E0C"/>
    <w:rsid w:val="47A60552"/>
    <w:rsid w:val="47A62D54"/>
    <w:rsid w:val="47AF4671"/>
    <w:rsid w:val="47C90F40"/>
    <w:rsid w:val="48026B2E"/>
    <w:rsid w:val="481D0D3B"/>
    <w:rsid w:val="48226AEB"/>
    <w:rsid w:val="485B2ABA"/>
    <w:rsid w:val="485B40F6"/>
    <w:rsid w:val="485F4E54"/>
    <w:rsid w:val="4870272E"/>
    <w:rsid w:val="4870534D"/>
    <w:rsid w:val="487C5A0C"/>
    <w:rsid w:val="487E28B5"/>
    <w:rsid w:val="489F5B65"/>
    <w:rsid w:val="48B07385"/>
    <w:rsid w:val="48E5587D"/>
    <w:rsid w:val="48EF1994"/>
    <w:rsid w:val="48F97B9B"/>
    <w:rsid w:val="49095F38"/>
    <w:rsid w:val="490C755D"/>
    <w:rsid w:val="490D2866"/>
    <w:rsid w:val="49255F11"/>
    <w:rsid w:val="49473441"/>
    <w:rsid w:val="496E32BF"/>
    <w:rsid w:val="497479F4"/>
    <w:rsid w:val="497602B3"/>
    <w:rsid w:val="497B329E"/>
    <w:rsid w:val="497C469D"/>
    <w:rsid w:val="497D5B95"/>
    <w:rsid w:val="49AE6E38"/>
    <w:rsid w:val="49DC7715"/>
    <w:rsid w:val="49F429F8"/>
    <w:rsid w:val="4A023139"/>
    <w:rsid w:val="4A0F36D5"/>
    <w:rsid w:val="4A2940E6"/>
    <w:rsid w:val="4A4C13B1"/>
    <w:rsid w:val="4A782404"/>
    <w:rsid w:val="4A7B576F"/>
    <w:rsid w:val="4A7D4C52"/>
    <w:rsid w:val="4A8B31F1"/>
    <w:rsid w:val="4A8F4BF7"/>
    <w:rsid w:val="4A9307A8"/>
    <w:rsid w:val="4A982669"/>
    <w:rsid w:val="4A9A3D35"/>
    <w:rsid w:val="4A9C3861"/>
    <w:rsid w:val="4AA31425"/>
    <w:rsid w:val="4AF561A9"/>
    <w:rsid w:val="4AF95D34"/>
    <w:rsid w:val="4B062BD9"/>
    <w:rsid w:val="4B1B110F"/>
    <w:rsid w:val="4B1D6AC8"/>
    <w:rsid w:val="4B5E798D"/>
    <w:rsid w:val="4B7256AC"/>
    <w:rsid w:val="4B732B9B"/>
    <w:rsid w:val="4B977671"/>
    <w:rsid w:val="4BBA2CB3"/>
    <w:rsid w:val="4BD318E9"/>
    <w:rsid w:val="4BEF5BC8"/>
    <w:rsid w:val="4BF959C9"/>
    <w:rsid w:val="4C0474F9"/>
    <w:rsid w:val="4C211654"/>
    <w:rsid w:val="4C354369"/>
    <w:rsid w:val="4C382DEB"/>
    <w:rsid w:val="4C3B3AD6"/>
    <w:rsid w:val="4C3C5CFB"/>
    <w:rsid w:val="4C454F71"/>
    <w:rsid w:val="4C4A0649"/>
    <w:rsid w:val="4C621D61"/>
    <w:rsid w:val="4C655C05"/>
    <w:rsid w:val="4C6D5781"/>
    <w:rsid w:val="4C791E9B"/>
    <w:rsid w:val="4C7A7F44"/>
    <w:rsid w:val="4C7E5ECA"/>
    <w:rsid w:val="4C8147A2"/>
    <w:rsid w:val="4C876AA5"/>
    <w:rsid w:val="4CA22D8E"/>
    <w:rsid w:val="4CA86D05"/>
    <w:rsid w:val="4CCE75A8"/>
    <w:rsid w:val="4CDF1BBB"/>
    <w:rsid w:val="4CEB0EFC"/>
    <w:rsid w:val="4D033CB9"/>
    <w:rsid w:val="4D0E00FB"/>
    <w:rsid w:val="4D176606"/>
    <w:rsid w:val="4D3A0934"/>
    <w:rsid w:val="4D453326"/>
    <w:rsid w:val="4D6B2B70"/>
    <w:rsid w:val="4D7E4CF4"/>
    <w:rsid w:val="4D841D87"/>
    <w:rsid w:val="4D9610B8"/>
    <w:rsid w:val="4DA12160"/>
    <w:rsid w:val="4DB739E5"/>
    <w:rsid w:val="4DC52904"/>
    <w:rsid w:val="4DCA31A7"/>
    <w:rsid w:val="4DD04C7E"/>
    <w:rsid w:val="4DEC4FB0"/>
    <w:rsid w:val="4E075D8A"/>
    <w:rsid w:val="4E092DAA"/>
    <w:rsid w:val="4E1D1475"/>
    <w:rsid w:val="4E3166A6"/>
    <w:rsid w:val="4E371A1E"/>
    <w:rsid w:val="4E3A3DA0"/>
    <w:rsid w:val="4E4E70D5"/>
    <w:rsid w:val="4E6570C2"/>
    <w:rsid w:val="4E98673C"/>
    <w:rsid w:val="4E9A6BC2"/>
    <w:rsid w:val="4EBC0C7C"/>
    <w:rsid w:val="4EC00FAD"/>
    <w:rsid w:val="4EC74CDD"/>
    <w:rsid w:val="4ECC2794"/>
    <w:rsid w:val="4ED674C9"/>
    <w:rsid w:val="4EE91DC3"/>
    <w:rsid w:val="4F116EF0"/>
    <w:rsid w:val="4F124AEF"/>
    <w:rsid w:val="4F27141A"/>
    <w:rsid w:val="4F285BB6"/>
    <w:rsid w:val="4F4F638B"/>
    <w:rsid w:val="4F574F4A"/>
    <w:rsid w:val="4F693367"/>
    <w:rsid w:val="4F750C08"/>
    <w:rsid w:val="4F753077"/>
    <w:rsid w:val="4F760B4A"/>
    <w:rsid w:val="4F781939"/>
    <w:rsid w:val="4F8D2468"/>
    <w:rsid w:val="4F9843DC"/>
    <w:rsid w:val="4FB71678"/>
    <w:rsid w:val="4FC2252A"/>
    <w:rsid w:val="4FC62A8C"/>
    <w:rsid w:val="4FD94156"/>
    <w:rsid w:val="4FE20F0D"/>
    <w:rsid w:val="4FE51552"/>
    <w:rsid w:val="4FF10220"/>
    <w:rsid w:val="501F0D04"/>
    <w:rsid w:val="502E1B1D"/>
    <w:rsid w:val="503C0EC5"/>
    <w:rsid w:val="5046328D"/>
    <w:rsid w:val="50502B16"/>
    <w:rsid w:val="50504C4B"/>
    <w:rsid w:val="505B50E6"/>
    <w:rsid w:val="507E55E1"/>
    <w:rsid w:val="508640C4"/>
    <w:rsid w:val="50967FB5"/>
    <w:rsid w:val="509C6E7C"/>
    <w:rsid w:val="50BC51E9"/>
    <w:rsid w:val="50C963FC"/>
    <w:rsid w:val="50DE6798"/>
    <w:rsid w:val="50DF61AD"/>
    <w:rsid w:val="512865F8"/>
    <w:rsid w:val="51542DDC"/>
    <w:rsid w:val="515473E9"/>
    <w:rsid w:val="515825ED"/>
    <w:rsid w:val="515A36E1"/>
    <w:rsid w:val="5162104E"/>
    <w:rsid w:val="516D6E6B"/>
    <w:rsid w:val="5172617B"/>
    <w:rsid w:val="51740E2D"/>
    <w:rsid w:val="51D71606"/>
    <w:rsid w:val="51E5780A"/>
    <w:rsid w:val="51E82FDD"/>
    <w:rsid w:val="51F54297"/>
    <w:rsid w:val="51F629E9"/>
    <w:rsid w:val="520E44D7"/>
    <w:rsid w:val="52377C70"/>
    <w:rsid w:val="52452C22"/>
    <w:rsid w:val="52670470"/>
    <w:rsid w:val="52A31916"/>
    <w:rsid w:val="52B15A7E"/>
    <w:rsid w:val="52BC58F7"/>
    <w:rsid w:val="52C67770"/>
    <w:rsid w:val="52E822A2"/>
    <w:rsid w:val="52FC6C40"/>
    <w:rsid w:val="530B2970"/>
    <w:rsid w:val="53401DE8"/>
    <w:rsid w:val="53476A67"/>
    <w:rsid w:val="534975D0"/>
    <w:rsid w:val="534C2BE5"/>
    <w:rsid w:val="53742149"/>
    <w:rsid w:val="53810F4B"/>
    <w:rsid w:val="53A039CC"/>
    <w:rsid w:val="53A11FC7"/>
    <w:rsid w:val="53A1505A"/>
    <w:rsid w:val="53C70FB1"/>
    <w:rsid w:val="53C848F0"/>
    <w:rsid w:val="53D76C6C"/>
    <w:rsid w:val="53DE296E"/>
    <w:rsid w:val="53F40FB9"/>
    <w:rsid w:val="54063E08"/>
    <w:rsid w:val="542C50CD"/>
    <w:rsid w:val="543437E8"/>
    <w:rsid w:val="54546DA1"/>
    <w:rsid w:val="546253B1"/>
    <w:rsid w:val="5474301A"/>
    <w:rsid w:val="548B7489"/>
    <w:rsid w:val="54A24E32"/>
    <w:rsid w:val="54A90B8D"/>
    <w:rsid w:val="54AE7ED2"/>
    <w:rsid w:val="54B11A99"/>
    <w:rsid w:val="54C64145"/>
    <w:rsid w:val="54D62821"/>
    <w:rsid w:val="54EE25FF"/>
    <w:rsid w:val="54F73313"/>
    <w:rsid w:val="54F80955"/>
    <w:rsid w:val="550A7825"/>
    <w:rsid w:val="55447A92"/>
    <w:rsid w:val="554F0A7E"/>
    <w:rsid w:val="55501BB2"/>
    <w:rsid w:val="555170A7"/>
    <w:rsid w:val="5587536D"/>
    <w:rsid w:val="55951BFC"/>
    <w:rsid w:val="55952F09"/>
    <w:rsid w:val="559B174B"/>
    <w:rsid w:val="55A069B1"/>
    <w:rsid w:val="55A1246A"/>
    <w:rsid w:val="55A64D0A"/>
    <w:rsid w:val="55CE0CF4"/>
    <w:rsid w:val="55D94E42"/>
    <w:rsid w:val="55E02625"/>
    <w:rsid w:val="55E3153B"/>
    <w:rsid w:val="55ED7DE0"/>
    <w:rsid w:val="55F20870"/>
    <w:rsid w:val="561A2825"/>
    <w:rsid w:val="56230EA8"/>
    <w:rsid w:val="562501EE"/>
    <w:rsid w:val="56331F12"/>
    <w:rsid w:val="563C733C"/>
    <w:rsid w:val="56427D3E"/>
    <w:rsid w:val="564A44F6"/>
    <w:rsid w:val="565B77F3"/>
    <w:rsid w:val="566D5A2A"/>
    <w:rsid w:val="566E3FE9"/>
    <w:rsid w:val="56791DF4"/>
    <w:rsid w:val="568D446F"/>
    <w:rsid w:val="56A671C6"/>
    <w:rsid w:val="56AA1282"/>
    <w:rsid w:val="56B07C71"/>
    <w:rsid w:val="56B22A9C"/>
    <w:rsid w:val="56C2083D"/>
    <w:rsid w:val="56D8714B"/>
    <w:rsid w:val="56DD185F"/>
    <w:rsid w:val="56FF047C"/>
    <w:rsid w:val="570064A3"/>
    <w:rsid w:val="570221E2"/>
    <w:rsid w:val="57140C0A"/>
    <w:rsid w:val="571C582B"/>
    <w:rsid w:val="57310F0A"/>
    <w:rsid w:val="57480CFA"/>
    <w:rsid w:val="574A2657"/>
    <w:rsid w:val="57595E5F"/>
    <w:rsid w:val="57600001"/>
    <w:rsid w:val="57664DCD"/>
    <w:rsid w:val="5784141D"/>
    <w:rsid w:val="57865107"/>
    <w:rsid w:val="579502B5"/>
    <w:rsid w:val="579E1D7F"/>
    <w:rsid w:val="57B72A76"/>
    <w:rsid w:val="57C3426C"/>
    <w:rsid w:val="57CB5C5B"/>
    <w:rsid w:val="57CD310E"/>
    <w:rsid w:val="57CE1F93"/>
    <w:rsid w:val="57D86846"/>
    <w:rsid w:val="57DD6954"/>
    <w:rsid w:val="57E47675"/>
    <w:rsid w:val="580217A0"/>
    <w:rsid w:val="580537B7"/>
    <w:rsid w:val="582C3957"/>
    <w:rsid w:val="583F74D1"/>
    <w:rsid w:val="5868250E"/>
    <w:rsid w:val="586A1FDB"/>
    <w:rsid w:val="587A4400"/>
    <w:rsid w:val="587A7F96"/>
    <w:rsid w:val="588743D1"/>
    <w:rsid w:val="5887701A"/>
    <w:rsid w:val="58A26A35"/>
    <w:rsid w:val="58B06F1C"/>
    <w:rsid w:val="58BB5FDE"/>
    <w:rsid w:val="58D315EB"/>
    <w:rsid w:val="58D87972"/>
    <w:rsid w:val="58DE7B84"/>
    <w:rsid w:val="58EE24A8"/>
    <w:rsid w:val="59294AE3"/>
    <w:rsid w:val="592D3FD8"/>
    <w:rsid w:val="593315AB"/>
    <w:rsid w:val="59607023"/>
    <w:rsid w:val="597E42AD"/>
    <w:rsid w:val="59843B9E"/>
    <w:rsid w:val="59B9139E"/>
    <w:rsid w:val="59BB377E"/>
    <w:rsid w:val="59C0439F"/>
    <w:rsid w:val="59CE4765"/>
    <w:rsid w:val="59D8156B"/>
    <w:rsid w:val="59E21F91"/>
    <w:rsid w:val="59F20827"/>
    <w:rsid w:val="5A0E192D"/>
    <w:rsid w:val="5A174A74"/>
    <w:rsid w:val="5A1803E3"/>
    <w:rsid w:val="5A180C76"/>
    <w:rsid w:val="5A1B53BF"/>
    <w:rsid w:val="5A2049B8"/>
    <w:rsid w:val="5A2C79B8"/>
    <w:rsid w:val="5A301FFE"/>
    <w:rsid w:val="5A3F332B"/>
    <w:rsid w:val="5A4B333B"/>
    <w:rsid w:val="5A5F588C"/>
    <w:rsid w:val="5A6071D3"/>
    <w:rsid w:val="5A787CDC"/>
    <w:rsid w:val="5A852E3B"/>
    <w:rsid w:val="5ABE2233"/>
    <w:rsid w:val="5AC56286"/>
    <w:rsid w:val="5AD173F4"/>
    <w:rsid w:val="5AD933F8"/>
    <w:rsid w:val="5AF77A20"/>
    <w:rsid w:val="5B0929EB"/>
    <w:rsid w:val="5B1A5F65"/>
    <w:rsid w:val="5B2B5F5E"/>
    <w:rsid w:val="5B2D2DFB"/>
    <w:rsid w:val="5B2E2399"/>
    <w:rsid w:val="5B3B7561"/>
    <w:rsid w:val="5B3E37C9"/>
    <w:rsid w:val="5B493BC4"/>
    <w:rsid w:val="5B704CA9"/>
    <w:rsid w:val="5BAB0F10"/>
    <w:rsid w:val="5BBD5A30"/>
    <w:rsid w:val="5BD90FC8"/>
    <w:rsid w:val="5BDF5D95"/>
    <w:rsid w:val="5BF72443"/>
    <w:rsid w:val="5BFE7528"/>
    <w:rsid w:val="5C11090B"/>
    <w:rsid w:val="5C1B58C4"/>
    <w:rsid w:val="5C65558D"/>
    <w:rsid w:val="5C8153D5"/>
    <w:rsid w:val="5C953411"/>
    <w:rsid w:val="5CA2268E"/>
    <w:rsid w:val="5CAC11A8"/>
    <w:rsid w:val="5CAF41AD"/>
    <w:rsid w:val="5CB73125"/>
    <w:rsid w:val="5CBB5E29"/>
    <w:rsid w:val="5CC351E7"/>
    <w:rsid w:val="5D210A4D"/>
    <w:rsid w:val="5D211375"/>
    <w:rsid w:val="5D3C6B93"/>
    <w:rsid w:val="5D3E299D"/>
    <w:rsid w:val="5D487841"/>
    <w:rsid w:val="5D4C158D"/>
    <w:rsid w:val="5D8103B4"/>
    <w:rsid w:val="5DBE3E13"/>
    <w:rsid w:val="5DC93825"/>
    <w:rsid w:val="5DD91B2C"/>
    <w:rsid w:val="5DDE65F7"/>
    <w:rsid w:val="5DEF1262"/>
    <w:rsid w:val="5DF760F9"/>
    <w:rsid w:val="5E0033D3"/>
    <w:rsid w:val="5E0F5BC3"/>
    <w:rsid w:val="5E115F85"/>
    <w:rsid w:val="5E141F4C"/>
    <w:rsid w:val="5E2467F1"/>
    <w:rsid w:val="5E5C2B20"/>
    <w:rsid w:val="5E624DB0"/>
    <w:rsid w:val="5E652269"/>
    <w:rsid w:val="5E6D0664"/>
    <w:rsid w:val="5E89045C"/>
    <w:rsid w:val="5E8C3C1F"/>
    <w:rsid w:val="5EA51E0F"/>
    <w:rsid w:val="5EB669F7"/>
    <w:rsid w:val="5EC46ADC"/>
    <w:rsid w:val="5ED60BDE"/>
    <w:rsid w:val="5EFC1654"/>
    <w:rsid w:val="5F081568"/>
    <w:rsid w:val="5F175E79"/>
    <w:rsid w:val="5F1A2B43"/>
    <w:rsid w:val="5F213120"/>
    <w:rsid w:val="5F270251"/>
    <w:rsid w:val="5F320711"/>
    <w:rsid w:val="5F335795"/>
    <w:rsid w:val="5F494A17"/>
    <w:rsid w:val="5F4A3638"/>
    <w:rsid w:val="5F4E5CDF"/>
    <w:rsid w:val="5F5D71C4"/>
    <w:rsid w:val="5F7139F1"/>
    <w:rsid w:val="5F862B65"/>
    <w:rsid w:val="5F951E3D"/>
    <w:rsid w:val="5FA26017"/>
    <w:rsid w:val="5FB837BB"/>
    <w:rsid w:val="5FC07D7A"/>
    <w:rsid w:val="5FD668EA"/>
    <w:rsid w:val="5FE9338C"/>
    <w:rsid w:val="5FFD4DC7"/>
    <w:rsid w:val="601645AC"/>
    <w:rsid w:val="602E2B51"/>
    <w:rsid w:val="605C4AA9"/>
    <w:rsid w:val="60666746"/>
    <w:rsid w:val="60920727"/>
    <w:rsid w:val="60AE6F71"/>
    <w:rsid w:val="60B248CC"/>
    <w:rsid w:val="60B90AF4"/>
    <w:rsid w:val="60CC405A"/>
    <w:rsid w:val="60D1222A"/>
    <w:rsid w:val="61253220"/>
    <w:rsid w:val="613A780A"/>
    <w:rsid w:val="61441077"/>
    <w:rsid w:val="61490BF6"/>
    <w:rsid w:val="616A5C2D"/>
    <w:rsid w:val="61883215"/>
    <w:rsid w:val="61902AB8"/>
    <w:rsid w:val="61D00456"/>
    <w:rsid w:val="61D55D3E"/>
    <w:rsid w:val="61DA48A4"/>
    <w:rsid w:val="61E215D8"/>
    <w:rsid w:val="61ED1CC6"/>
    <w:rsid w:val="61F3791D"/>
    <w:rsid w:val="61FD1697"/>
    <w:rsid w:val="621B3775"/>
    <w:rsid w:val="621D6F14"/>
    <w:rsid w:val="6226514C"/>
    <w:rsid w:val="622A1533"/>
    <w:rsid w:val="62315591"/>
    <w:rsid w:val="62364782"/>
    <w:rsid w:val="623C692D"/>
    <w:rsid w:val="62402DC8"/>
    <w:rsid w:val="6245683D"/>
    <w:rsid w:val="624F35BD"/>
    <w:rsid w:val="62B16E03"/>
    <w:rsid w:val="62B173B1"/>
    <w:rsid w:val="62B7610A"/>
    <w:rsid w:val="62C05573"/>
    <w:rsid w:val="62D217BB"/>
    <w:rsid w:val="62DB6A69"/>
    <w:rsid w:val="630E463E"/>
    <w:rsid w:val="63156017"/>
    <w:rsid w:val="633B017D"/>
    <w:rsid w:val="63414E49"/>
    <w:rsid w:val="63542037"/>
    <w:rsid w:val="636F7515"/>
    <w:rsid w:val="63770884"/>
    <w:rsid w:val="637723F3"/>
    <w:rsid w:val="637D2216"/>
    <w:rsid w:val="6383596C"/>
    <w:rsid w:val="6394356A"/>
    <w:rsid w:val="63C61B2C"/>
    <w:rsid w:val="63CA4550"/>
    <w:rsid w:val="63CA5085"/>
    <w:rsid w:val="63D40BE9"/>
    <w:rsid w:val="63F41E87"/>
    <w:rsid w:val="63F75B07"/>
    <w:rsid w:val="63F85A8E"/>
    <w:rsid w:val="63F94AAF"/>
    <w:rsid w:val="64102431"/>
    <w:rsid w:val="645025B8"/>
    <w:rsid w:val="64857F43"/>
    <w:rsid w:val="64A5243A"/>
    <w:rsid w:val="64BE613B"/>
    <w:rsid w:val="64C6290E"/>
    <w:rsid w:val="64F531DE"/>
    <w:rsid w:val="64F607F4"/>
    <w:rsid w:val="650D656D"/>
    <w:rsid w:val="651842D4"/>
    <w:rsid w:val="65245047"/>
    <w:rsid w:val="652E611C"/>
    <w:rsid w:val="65373578"/>
    <w:rsid w:val="658574B1"/>
    <w:rsid w:val="659228EC"/>
    <w:rsid w:val="65BD6BAE"/>
    <w:rsid w:val="66213BC0"/>
    <w:rsid w:val="66415F5A"/>
    <w:rsid w:val="66560974"/>
    <w:rsid w:val="6668615D"/>
    <w:rsid w:val="66760D5D"/>
    <w:rsid w:val="66773186"/>
    <w:rsid w:val="66773DC5"/>
    <w:rsid w:val="66B52471"/>
    <w:rsid w:val="66C156E9"/>
    <w:rsid w:val="66CE5A7D"/>
    <w:rsid w:val="66E16445"/>
    <w:rsid w:val="66FA33C3"/>
    <w:rsid w:val="670426B7"/>
    <w:rsid w:val="671F124A"/>
    <w:rsid w:val="676A1B47"/>
    <w:rsid w:val="67787861"/>
    <w:rsid w:val="677A33C6"/>
    <w:rsid w:val="678B5466"/>
    <w:rsid w:val="679853C8"/>
    <w:rsid w:val="67CC38A3"/>
    <w:rsid w:val="680D24E0"/>
    <w:rsid w:val="681F6961"/>
    <w:rsid w:val="6832466A"/>
    <w:rsid w:val="68370E0E"/>
    <w:rsid w:val="684D33CC"/>
    <w:rsid w:val="68610A2F"/>
    <w:rsid w:val="6866241B"/>
    <w:rsid w:val="686A5715"/>
    <w:rsid w:val="687D1E1B"/>
    <w:rsid w:val="68805514"/>
    <w:rsid w:val="68825215"/>
    <w:rsid w:val="68A73ECA"/>
    <w:rsid w:val="68E46002"/>
    <w:rsid w:val="68E82003"/>
    <w:rsid w:val="68E97D1F"/>
    <w:rsid w:val="68F96C23"/>
    <w:rsid w:val="69102D01"/>
    <w:rsid w:val="691F023C"/>
    <w:rsid w:val="69275165"/>
    <w:rsid w:val="69316E2F"/>
    <w:rsid w:val="6947058C"/>
    <w:rsid w:val="694A110D"/>
    <w:rsid w:val="694E2071"/>
    <w:rsid w:val="69584793"/>
    <w:rsid w:val="69691235"/>
    <w:rsid w:val="6972263A"/>
    <w:rsid w:val="69766163"/>
    <w:rsid w:val="697A3B33"/>
    <w:rsid w:val="69BD7302"/>
    <w:rsid w:val="69C07F86"/>
    <w:rsid w:val="69D07DDE"/>
    <w:rsid w:val="69D44760"/>
    <w:rsid w:val="69D956B6"/>
    <w:rsid w:val="6A0357DC"/>
    <w:rsid w:val="6A241FF1"/>
    <w:rsid w:val="6A2C612E"/>
    <w:rsid w:val="6A51634F"/>
    <w:rsid w:val="6A520EC7"/>
    <w:rsid w:val="6A7655A7"/>
    <w:rsid w:val="6A95109C"/>
    <w:rsid w:val="6AAC5F60"/>
    <w:rsid w:val="6AB65CF8"/>
    <w:rsid w:val="6AD10D7E"/>
    <w:rsid w:val="6ADB07A8"/>
    <w:rsid w:val="6AF87E20"/>
    <w:rsid w:val="6B18070D"/>
    <w:rsid w:val="6B322639"/>
    <w:rsid w:val="6B3D4C87"/>
    <w:rsid w:val="6B3F29CA"/>
    <w:rsid w:val="6B413F2C"/>
    <w:rsid w:val="6B85727A"/>
    <w:rsid w:val="6BB06B60"/>
    <w:rsid w:val="6BB2280F"/>
    <w:rsid w:val="6BB53B23"/>
    <w:rsid w:val="6BCA6EE1"/>
    <w:rsid w:val="6BCB359A"/>
    <w:rsid w:val="6BCF28A7"/>
    <w:rsid w:val="6C045F40"/>
    <w:rsid w:val="6C076CC3"/>
    <w:rsid w:val="6C1873F8"/>
    <w:rsid w:val="6C1E76D9"/>
    <w:rsid w:val="6C21709B"/>
    <w:rsid w:val="6C374A62"/>
    <w:rsid w:val="6C3F0E14"/>
    <w:rsid w:val="6C5E0BA5"/>
    <w:rsid w:val="6C636C38"/>
    <w:rsid w:val="6C6C58DF"/>
    <w:rsid w:val="6C892245"/>
    <w:rsid w:val="6C9B1AC5"/>
    <w:rsid w:val="6CA654BB"/>
    <w:rsid w:val="6CD51C8F"/>
    <w:rsid w:val="6D1458E5"/>
    <w:rsid w:val="6D2161D8"/>
    <w:rsid w:val="6D4D1BD0"/>
    <w:rsid w:val="6D5A6390"/>
    <w:rsid w:val="6D5F7ED3"/>
    <w:rsid w:val="6D702F92"/>
    <w:rsid w:val="6D706250"/>
    <w:rsid w:val="6D7E20E8"/>
    <w:rsid w:val="6D8E5FA5"/>
    <w:rsid w:val="6DB34098"/>
    <w:rsid w:val="6DB545B6"/>
    <w:rsid w:val="6DC77E0C"/>
    <w:rsid w:val="6DE02FB4"/>
    <w:rsid w:val="6E06609E"/>
    <w:rsid w:val="6E195FAB"/>
    <w:rsid w:val="6E3E65B1"/>
    <w:rsid w:val="6E4D62C7"/>
    <w:rsid w:val="6E514CED"/>
    <w:rsid w:val="6E5E40B7"/>
    <w:rsid w:val="6E7002C2"/>
    <w:rsid w:val="6E710300"/>
    <w:rsid w:val="6E835555"/>
    <w:rsid w:val="6E88165B"/>
    <w:rsid w:val="6E9F1273"/>
    <w:rsid w:val="6EA005FB"/>
    <w:rsid w:val="6EB563D5"/>
    <w:rsid w:val="6EC345C3"/>
    <w:rsid w:val="6EC75776"/>
    <w:rsid w:val="6ED543ED"/>
    <w:rsid w:val="6ED92677"/>
    <w:rsid w:val="6EE8296D"/>
    <w:rsid w:val="6EF97D8C"/>
    <w:rsid w:val="6EFA2914"/>
    <w:rsid w:val="6EFF4EDA"/>
    <w:rsid w:val="6F1D7EC3"/>
    <w:rsid w:val="6F225983"/>
    <w:rsid w:val="6F4143D1"/>
    <w:rsid w:val="6F4A52B6"/>
    <w:rsid w:val="6F8414DC"/>
    <w:rsid w:val="6F8D58D0"/>
    <w:rsid w:val="6F9254A1"/>
    <w:rsid w:val="6F952696"/>
    <w:rsid w:val="6FA264F5"/>
    <w:rsid w:val="6FAE2718"/>
    <w:rsid w:val="6FBB18AC"/>
    <w:rsid w:val="6FC741AE"/>
    <w:rsid w:val="6FD3283F"/>
    <w:rsid w:val="6FDC1B86"/>
    <w:rsid w:val="6FDD0041"/>
    <w:rsid w:val="6FFC5590"/>
    <w:rsid w:val="704B11B4"/>
    <w:rsid w:val="70601FF4"/>
    <w:rsid w:val="706D1DD0"/>
    <w:rsid w:val="70731964"/>
    <w:rsid w:val="70796C72"/>
    <w:rsid w:val="70856B87"/>
    <w:rsid w:val="70AE0216"/>
    <w:rsid w:val="70AE169D"/>
    <w:rsid w:val="70BA364B"/>
    <w:rsid w:val="70CB4B10"/>
    <w:rsid w:val="70D23039"/>
    <w:rsid w:val="70D45599"/>
    <w:rsid w:val="70D527EE"/>
    <w:rsid w:val="70DB620D"/>
    <w:rsid w:val="70F43C34"/>
    <w:rsid w:val="70F43D44"/>
    <w:rsid w:val="710831E6"/>
    <w:rsid w:val="7144375C"/>
    <w:rsid w:val="71480F79"/>
    <w:rsid w:val="715B5300"/>
    <w:rsid w:val="715B6883"/>
    <w:rsid w:val="717A13F8"/>
    <w:rsid w:val="717C4F9D"/>
    <w:rsid w:val="71A83036"/>
    <w:rsid w:val="71CE780D"/>
    <w:rsid w:val="71D27F8A"/>
    <w:rsid w:val="721017FA"/>
    <w:rsid w:val="72184887"/>
    <w:rsid w:val="722064BB"/>
    <w:rsid w:val="7253083B"/>
    <w:rsid w:val="72553024"/>
    <w:rsid w:val="727A77AF"/>
    <w:rsid w:val="728F79C0"/>
    <w:rsid w:val="72B406CD"/>
    <w:rsid w:val="72CC2C9C"/>
    <w:rsid w:val="72E859B9"/>
    <w:rsid w:val="72F74706"/>
    <w:rsid w:val="72FE0E40"/>
    <w:rsid w:val="730A65C3"/>
    <w:rsid w:val="73122968"/>
    <w:rsid w:val="731F5D5E"/>
    <w:rsid w:val="734F6651"/>
    <w:rsid w:val="736A6025"/>
    <w:rsid w:val="736C56DE"/>
    <w:rsid w:val="736F4BF7"/>
    <w:rsid w:val="739606B3"/>
    <w:rsid w:val="73AA3A4F"/>
    <w:rsid w:val="73C51AD5"/>
    <w:rsid w:val="73D06060"/>
    <w:rsid w:val="73F74082"/>
    <w:rsid w:val="74015AFC"/>
    <w:rsid w:val="741220EF"/>
    <w:rsid w:val="74152692"/>
    <w:rsid w:val="741B3064"/>
    <w:rsid w:val="741E793C"/>
    <w:rsid w:val="74372CF8"/>
    <w:rsid w:val="74395DA7"/>
    <w:rsid w:val="745E3944"/>
    <w:rsid w:val="746344A8"/>
    <w:rsid w:val="74766C73"/>
    <w:rsid w:val="747E03C4"/>
    <w:rsid w:val="74D52946"/>
    <w:rsid w:val="74DC7C34"/>
    <w:rsid w:val="74E32445"/>
    <w:rsid w:val="74F15F57"/>
    <w:rsid w:val="75064C35"/>
    <w:rsid w:val="750E0599"/>
    <w:rsid w:val="75323540"/>
    <w:rsid w:val="75455E9B"/>
    <w:rsid w:val="7556650B"/>
    <w:rsid w:val="75641C89"/>
    <w:rsid w:val="757A2E58"/>
    <w:rsid w:val="75A16632"/>
    <w:rsid w:val="75C37A29"/>
    <w:rsid w:val="75EB169C"/>
    <w:rsid w:val="75ED4FDC"/>
    <w:rsid w:val="7602052F"/>
    <w:rsid w:val="76073062"/>
    <w:rsid w:val="7607577D"/>
    <w:rsid w:val="76092FD2"/>
    <w:rsid w:val="760F19E3"/>
    <w:rsid w:val="76191999"/>
    <w:rsid w:val="762F2771"/>
    <w:rsid w:val="7635099D"/>
    <w:rsid w:val="765B0445"/>
    <w:rsid w:val="765B265C"/>
    <w:rsid w:val="768C44CC"/>
    <w:rsid w:val="76910E20"/>
    <w:rsid w:val="76966F70"/>
    <w:rsid w:val="76AA1734"/>
    <w:rsid w:val="76E5393F"/>
    <w:rsid w:val="76EC7F2D"/>
    <w:rsid w:val="77050236"/>
    <w:rsid w:val="77084BA5"/>
    <w:rsid w:val="77347E5E"/>
    <w:rsid w:val="77385DE2"/>
    <w:rsid w:val="77762421"/>
    <w:rsid w:val="7798563F"/>
    <w:rsid w:val="77AF3E74"/>
    <w:rsid w:val="77B51464"/>
    <w:rsid w:val="77B56B1F"/>
    <w:rsid w:val="77BA0BC7"/>
    <w:rsid w:val="77BE5564"/>
    <w:rsid w:val="77EF048C"/>
    <w:rsid w:val="77F34ACD"/>
    <w:rsid w:val="7807418F"/>
    <w:rsid w:val="780F09F4"/>
    <w:rsid w:val="782405C3"/>
    <w:rsid w:val="782F781B"/>
    <w:rsid w:val="783612C4"/>
    <w:rsid w:val="78517C16"/>
    <w:rsid w:val="787A08FC"/>
    <w:rsid w:val="787D2C9D"/>
    <w:rsid w:val="789A46E9"/>
    <w:rsid w:val="78A90480"/>
    <w:rsid w:val="78CC0FFF"/>
    <w:rsid w:val="78D97FA9"/>
    <w:rsid w:val="78F32400"/>
    <w:rsid w:val="79036087"/>
    <w:rsid w:val="791372DF"/>
    <w:rsid w:val="791533BA"/>
    <w:rsid w:val="79177693"/>
    <w:rsid w:val="791A0BB8"/>
    <w:rsid w:val="792730A0"/>
    <w:rsid w:val="793F1722"/>
    <w:rsid w:val="79533982"/>
    <w:rsid w:val="798C0E50"/>
    <w:rsid w:val="79934CE3"/>
    <w:rsid w:val="79A00767"/>
    <w:rsid w:val="79A74593"/>
    <w:rsid w:val="79D234ED"/>
    <w:rsid w:val="79D43FE9"/>
    <w:rsid w:val="7A0E47CF"/>
    <w:rsid w:val="7A134990"/>
    <w:rsid w:val="7A364017"/>
    <w:rsid w:val="7A3F1452"/>
    <w:rsid w:val="7A8265E1"/>
    <w:rsid w:val="7A8544FB"/>
    <w:rsid w:val="7A8E3D7F"/>
    <w:rsid w:val="7AA113DC"/>
    <w:rsid w:val="7AB73A24"/>
    <w:rsid w:val="7AE3243B"/>
    <w:rsid w:val="7AFC15A0"/>
    <w:rsid w:val="7B074BF9"/>
    <w:rsid w:val="7B0D2A68"/>
    <w:rsid w:val="7B3A25A6"/>
    <w:rsid w:val="7B686D42"/>
    <w:rsid w:val="7B7B52E9"/>
    <w:rsid w:val="7B7E5964"/>
    <w:rsid w:val="7B841746"/>
    <w:rsid w:val="7BB20D3D"/>
    <w:rsid w:val="7BF61365"/>
    <w:rsid w:val="7C0004B9"/>
    <w:rsid w:val="7C241C5E"/>
    <w:rsid w:val="7C47029A"/>
    <w:rsid w:val="7C5B7CFF"/>
    <w:rsid w:val="7C6C5AC7"/>
    <w:rsid w:val="7C723E72"/>
    <w:rsid w:val="7C805A64"/>
    <w:rsid w:val="7CAC10E1"/>
    <w:rsid w:val="7CB816A0"/>
    <w:rsid w:val="7CBD7D7B"/>
    <w:rsid w:val="7CC6544B"/>
    <w:rsid w:val="7CC868D5"/>
    <w:rsid w:val="7CC900A8"/>
    <w:rsid w:val="7CEE5C2B"/>
    <w:rsid w:val="7CFA7D5B"/>
    <w:rsid w:val="7D0239FF"/>
    <w:rsid w:val="7D151D7D"/>
    <w:rsid w:val="7D1D3CE8"/>
    <w:rsid w:val="7D1F1C59"/>
    <w:rsid w:val="7D25205D"/>
    <w:rsid w:val="7D325E5F"/>
    <w:rsid w:val="7D5767D1"/>
    <w:rsid w:val="7D5B093B"/>
    <w:rsid w:val="7D5E40CD"/>
    <w:rsid w:val="7D6D1622"/>
    <w:rsid w:val="7D7D4731"/>
    <w:rsid w:val="7D8C3B44"/>
    <w:rsid w:val="7D9C03B0"/>
    <w:rsid w:val="7DA76509"/>
    <w:rsid w:val="7DBC34C9"/>
    <w:rsid w:val="7DC311BE"/>
    <w:rsid w:val="7DCD56F2"/>
    <w:rsid w:val="7DD32BE9"/>
    <w:rsid w:val="7DE95589"/>
    <w:rsid w:val="7DEA3BA1"/>
    <w:rsid w:val="7DF1571C"/>
    <w:rsid w:val="7DFE00CB"/>
    <w:rsid w:val="7E141198"/>
    <w:rsid w:val="7E2124F2"/>
    <w:rsid w:val="7E2D63B4"/>
    <w:rsid w:val="7E2D6DB0"/>
    <w:rsid w:val="7E3604CE"/>
    <w:rsid w:val="7E4258EC"/>
    <w:rsid w:val="7E8F120D"/>
    <w:rsid w:val="7EBF0E77"/>
    <w:rsid w:val="7EC5068B"/>
    <w:rsid w:val="7ED05532"/>
    <w:rsid w:val="7EED6814"/>
    <w:rsid w:val="7EF61719"/>
    <w:rsid w:val="7F001CE7"/>
    <w:rsid w:val="7F0C6E75"/>
    <w:rsid w:val="7F2D4365"/>
    <w:rsid w:val="7F2E0DEB"/>
    <w:rsid w:val="7F5758E4"/>
    <w:rsid w:val="7F634C3A"/>
    <w:rsid w:val="7F7A2A9A"/>
    <w:rsid w:val="7FA4154F"/>
    <w:rsid w:val="7FA5501C"/>
    <w:rsid w:val="7FC44B46"/>
    <w:rsid w:val="7FC952E2"/>
    <w:rsid w:val="7FE47E50"/>
    <w:rsid w:val="7FE9262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qFormat="1" w:uiPriority="0" w:semiHidden="0" w:name="index heading" w:locked="1"/>
    <w:lsdException w:qFormat="1" w:unhideWhenUsed="0" w:uiPriority="99" w:semiHidden="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99" w:semiHidden="0" w:name="Table Grid"/>
    <w:lsdException w:qFormat="1" w:unhideWhenUsed="0" w:uiPriority="0" w:semiHidden="0" w:name="Table Theme" w:locked="1"/>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3"/>
    <w:link w:val="52"/>
    <w:autoRedefine/>
    <w:qFormat/>
    <w:locked/>
    <w:uiPriority w:val="0"/>
    <w:pPr>
      <w:snapToGrid w:val="0"/>
      <w:outlineLvl w:val="0"/>
    </w:pPr>
    <w:rPr>
      <w:b/>
      <w:bCs/>
      <w:color w:val="000000"/>
      <w:kern w:val="44"/>
      <w:sz w:val="30"/>
      <w:szCs w:val="30"/>
    </w:rPr>
  </w:style>
  <w:style w:type="paragraph" w:styleId="4">
    <w:name w:val="heading 2"/>
    <w:basedOn w:val="1"/>
    <w:next w:val="5"/>
    <w:link w:val="55"/>
    <w:autoRedefine/>
    <w:qFormat/>
    <w:locked/>
    <w:uiPriority w:val="0"/>
    <w:pPr>
      <w:keepNext/>
      <w:keepLines/>
      <w:numPr>
        <w:ilvl w:val="1"/>
        <w:numId w:val="1"/>
      </w:numPr>
      <w:spacing w:beforeLines="50" w:afterLines="50"/>
      <w:ind w:firstLine="0"/>
      <w:jc w:val="left"/>
      <w:outlineLvl w:val="1"/>
    </w:pPr>
    <w:rPr>
      <w:b/>
      <w:bCs/>
      <w:kern w:val="0"/>
      <w:sz w:val="28"/>
      <w:szCs w:val="32"/>
    </w:rPr>
  </w:style>
  <w:style w:type="paragraph" w:styleId="9">
    <w:name w:val="heading 3"/>
    <w:basedOn w:val="1"/>
    <w:next w:val="1"/>
    <w:link w:val="56"/>
    <w:autoRedefine/>
    <w:qFormat/>
    <w:locked/>
    <w:uiPriority w:val="0"/>
    <w:pPr>
      <w:keepNext/>
      <w:keepLines/>
      <w:numPr>
        <w:ilvl w:val="2"/>
        <w:numId w:val="1"/>
      </w:numPr>
      <w:outlineLvl w:val="2"/>
    </w:pPr>
    <w:rPr>
      <w:bCs/>
      <w:kern w:val="0"/>
      <w:szCs w:val="32"/>
    </w:rPr>
  </w:style>
  <w:style w:type="paragraph" w:styleId="10">
    <w:name w:val="heading 4"/>
    <w:basedOn w:val="1"/>
    <w:next w:val="1"/>
    <w:link w:val="57"/>
    <w:autoRedefine/>
    <w:qFormat/>
    <w:locked/>
    <w:uiPriority w:val="0"/>
    <w:pPr>
      <w:keepNext/>
      <w:keepLines/>
      <w:spacing w:before="280" w:after="290" w:line="376" w:lineRule="auto"/>
      <w:outlineLvl w:val="3"/>
    </w:pPr>
    <w:rPr>
      <w:rFonts w:ascii="等线 Light" w:hAnsi="等线 Light" w:eastAsia="等线 Light"/>
      <w:b/>
      <w:bCs/>
      <w:sz w:val="28"/>
      <w:szCs w:val="28"/>
    </w:rPr>
  </w:style>
  <w:style w:type="paragraph" w:styleId="11">
    <w:name w:val="heading 5"/>
    <w:basedOn w:val="1"/>
    <w:next w:val="1"/>
    <w:link w:val="58"/>
    <w:autoRedefine/>
    <w:qFormat/>
    <w:locked/>
    <w:uiPriority w:val="0"/>
    <w:pPr>
      <w:keepNext/>
      <w:keepLines/>
      <w:widowControl/>
      <w:adjustRightInd w:val="0"/>
      <w:snapToGrid w:val="0"/>
      <w:spacing w:before="280" w:after="290" w:line="372" w:lineRule="auto"/>
      <w:ind w:left="1008" w:hanging="1008"/>
      <w:outlineLvl w:val="4"/>
    </w:pPr>
    <w:rPr>
      <w:rFonts w:ascii="Calibri" w:hAnsi="Calibri"/>
      <w:b/>
      <w:sz w:val="28"/>
      <w:szCs w:val="21"/>
    </w:rPr>
  </w:style>
  <w:style w:type="paragraph" w:styleId="12">
    <w:name w:val="heading 6"/>
    <w:basedOn w:val="1"/>
    <w:next w:val="1"/>
    <w:link w:val="59"/>
    <w:autoRedefine/>
    <w:qFormat/>
    <w:locked/>
    <w:uiPriority w:val="0"/>
    <w:pPr>
      <w:keepNext/>
      <w:keepLines/>
      <w:widowControl/>
      <w:adjustRightInd w:val="0"/>
      <w:snapToGrid w:val="0"/>
      <w:spacing w:before="240" w:after="64" w:line="317" w:lineRule="auto"/>
      <w:ind w:left="1151" w:hanging="1151"/>
      <w:outlineLvl w:val="5"/>
    </w:pPr>
    <w:rPr>
      <w:rFonts w:ascii="Arial" w:hAnsi="Arial" w:eastAsia="黑体"/>
      <w:b/>
      <w:szCs w:val="21"/>
    </w:rPr>
  </w:style>
  <w:style w:type="paragraph" w:styleId="13">
    <w:name w:val="heading 7"/>
    <w:basedOn w:val="1"/>
    <w:next w:val="1"/>
    <w:link w:val="60"/>
    <w:autoRedefine/>
    <w:qFormat/>
    <w:locked/>
    <w:uiPriority w:val="0"/>
    <w:pPr>
      <w:keepNext/>
      <w:keepLines/>
      <w:widowControl/>
      <w:adjustRightInd w:val="0"/>
      <w:snapToGrid w:val="0"/>
      <w:spacing w:before="240" w:after="64" w:line="317" w:lineRule="auto"/>
      <w:ind w:left="1296" w:hanging="1296"/>
      <w:outlineLvl w:val="6"/>
    </w:pPr>
    <w:rPr>
      <w:rFonts w:ascii="Calibri" w:hAnsi="Calibri"/>
      <w:b/>
      <w:szCs w:val="21"/>
    </w:rPr>
  </w:style>
  <w:style w:type="paragraph" w:styleId="14">
    <w:name w:val="heading 8"/>
    <w:basedOn w:val="1"/>
    <w:next w:val="1"/>
    <w:link w:val="61"/>
    <w:autoRedefine/>
    <w:qFormat/>
    <w:locked/>
    <w:uiPriority w:val="0"/>
    <w:pPr>
      <w:keepNext/>
      <w:keepLines/>
      <w:widowControl/>
      <w:adjustRightInd w:val="0"/>
      <w:snapToGrid w:val="0"/>
      <w:spacing w:before="240" w:after="64" w:line="317" w:lineRule="auto"/>
      <w:ind w:left="1440" w:hanging="1440"/>
      <w:outlineLvl w:val="7"/>
    </w:pPr>
    <w:rPr>
      <w:rFonts w:ascii="Arial" w:hAnsi="Arial" w:eastAsia="黑体"/>
      <w:szCs w:val="21"/>
    </w:rPr>
  </w:style>
  <w:style w:type="paragraph" w:styleId="15">
    <w:name w:val="heading 9"/>
    <w:basedOn w:val="1"/>
    <w:next w:val="1"/>
    <w:link w:val="62"/>
    <w:autoRedefine/>
    <w:qFormat/>
    <w:locked/>
    <w:uiPriority w:val="0"/>
    <w:pPr>
      <w:keepNext/>
      <w:keepLines/>
      <w:widowControl/>
      <w:adjustRightInd w:val="0"/>
      <w:snapToGrid w:val="0"/>
      <w:spacing w:before="240" w:after="64" w:line="317" w:lineRule="auto"/>
      <w:ind w:left="1583" w:hanging="1583"/>
      <w:outlineLvl w:val="8"/>
    </w:pPr>
    <w:rPr>
      <w:rFonts w:ascii="Arial" w:hAnsi="Arial" w:eastAsia="黑体"/>
      <w:szCs w:val="21"/>
    </w:rPr>
  </w:style>
  <w:style w:type="character" w:default="1" w:styleId="45">
    <w:name w:val="Default Paragraph Font"/>
    <w:autoRedefine/>
    <w:semiHidden/>
    <w:unhideWhenUsed/>
    <w:qFormat/>
    <w:uiPriority w:val="1"/>
  </w:style>
  <w:style w:type="table" w:default="1" w:styleId="42">
    <w:name w:val="Normal Table"/>
    <w:autoRedefine/>
    <w:semiHidden/>
    <w:unhideWhenUsed/>
    <w:qFormat/>
    <w:uiPriority w:val="99"/>
    <w:tblPr>
      <w:tblCellMar>
        <w:top w:w="0" w:type="dxa"/>
        <w:left w:w="108" w:type="dxa"/>
        <w:bottom w:w="0" w:type="dxa"/>
        <w:right w:w="108" w:type="dxa"/>
      </w:tblCellMar>
    </w:tblPr>
  </w:style>
  <w:style w:type="paragraph" w:customStyle="1" w:styleId="3">
    <w:name w:val="报告表正文"/>
    <w:basedOn w:val="1"/>
    <w:autoRedefine/>
    <w:qFormat/>
    <w:uiPriority w:val="0"/>
    <w:pPr>
      <w:ind w:firstLine="200"/>
    </w:pPr>
    <w:rPr>
      <w:rFonts w:eastAsia="楷体_GB2312"/>
    </w:rPr>
  </w:style>
  <w:style w:type="paragraph" w:styleId="5">
    <w:name w:val="Body Text First Indent"/>
    <w:basedOn w:val="6"/>
    <w:next w:val="8"/>
    <w:link w:val="54"/>
    <w:autoRedefine/>
    <w:qFormat/>
    <w:locked/>
    <w:uiPriority w:val="0"/>
    <w:pPr>
      <w:spacing w:after="0" w:line="360" w:lineRule="auto"/>
      <w:ind w:firstLine="200"/>
    </w:pPr>
    <w:rPr>
      <w:sz w:val="24"/>
    </w:rPr>
  </w:style>
  <w:style w:type="paragraph" w:styleId="6">
    <w:name w:val="Body Text"/>
    <w:basedOn w:val="1"/>
    <w:next w:val="7"/>
    <w:link w:val="53"/>
    <w:autoRedefine/>
    <w:qFormat/>
    <w:uiPriority w:val="0"/>
    <w:pPr>
      <w:widowControl/>
      <w:snapToGrid w:val="0"/>
      <w:spacing w:before="60" w:after="160" w:line="259" w:lineRule="auto"/>
      <w:ind w:right="113"/>
    </w:pPr>
    <w:rPr>
      <w:kern w:val="0"/>
      <w:sz w:val="18"/>
      <w:szCs w:val="20"/>
    </w:rPr>
  </w:style>
  <w:style w:type="paragraph" w:customStyle="1" w:styleId="7">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styleId="8">
    <w:name w:val="table of figures"/>
    <w:basedOn w:val="1"/>
    <w:next w:val="1"/>
    <w:autoRedefine/>
    <w:unhideWhenUsed/>
    <w:qFormat/>
    <w:locked/>
    <w:uiPriority w:val="99"/>
  </w:style>
  <w:style w:type="paragraph" w:styleId="16">
    <w:name w:val="Normal Indent"/>
    <w:basedOn w:val="1"/>
    <w:next w:val="1"/>
    <w:link w:val="63"/>
    <w:autoRedefine/>
    <w:qFormat/>
    <w:locked/>
    <w:uiPriority w:val="0"/>
    <w:pPr>
      <w:ind w:firstLine="420"/>
    </w:pPr>
    <w:rPr>
      <w:sz w:val="21"/>
    </w:rPr>
  </w:style>
  <w:style w:type="paragraph" w:styleId="17">
    <w:name w:val="caption"/>
    <w:basedOn w:val="1"/>
    <w:next w:val="1"/>
    <w:link w:val="64"/>
    <w:autoRedefine/>
    <w:qFormat/>
    <w:locked/>
    <w:uiPriority w:val="99"/>
    <w:pPr>
      <w:jc w:val="center"/>
    </w:pPr>
    <w:rPr>
      <w:rFonts w:eastAsia="黑体"/>
      <w:kern w:val="0"/>
      <w:szCs w:val="20"/>
    </w:rPr>
  </w:style>
  <w:style w:type="paragraph" w:styleId="18">
    <w:name w:val="Document Map"/>
    <w:basedOn w:val="1"/>
    <w:link w:val="65"/>
    <w:autoRedefine/>
    <w:qFormat/>
    <w:locked/>
    <w:uiPriority w:val="0"/>
    <w:rPr>
      <w:rFonts w:ascii="宋体"/>
      <w:sz w:val="18"/>
      <w:szCs w:val="18"/>
    </w:rPr>
  </w:style>
  <w:style w:type="paragraph" w:styleId="19">
    <w:name w:val="annotation text"/>
    <w:basedOn w:val="1"/>
    <w:link w:val="66"/>
    <w:autoRedefine/>
    <w:qFormat/>
    <w:uiPriority w:val="99"/>
    <w:pPr>
      <w:jc w:val="left"/>
    </w:pPr>
    <w:rPr>
      <w:kern w:val="0"/>
      <w:szCs w:val="20"/>
    </w:rPr>
  </w:style>
  <w:style w:type="paragraph" w:styleId="20">
    <w:name w:val="Body Text Indent"/>
    <w:basedOn w:val="1"/>
    <w:next w:val="21"/>
    <w:link w:val="68"/>
    <w:autoRedefine/>
    <w:qFormat/>
    <w:uiPriority w:val="0"/>
    <w:pPr>
      <w:spacing w:after="120"/>
      <w:ind w:left="420" w:leftChars="200"/>
    </w:pPr>
    <w:rPr>
      <w:kern w:val="0"/>
      <w:szCs w:val="20"/>
    </w:rPr>
  </w:style>
  <w:style w:type="paragraph" w:styleId="21">
    <w:name w:val="Body Text First Indent 2"/>
    <w:basedOn w:val="20"/>
    <w:next w:val="1"/>
    <w:link w:val="67"/>
    <w:autoRedefine/>
    <w:qFormat/>
    <w:locked/>
    <w:uiPriority w:val="0"/>
    <w:pPr>
      <w:ind w:firstLine="420"/>
    </w:pPr>
  </w:style>
  <w:style w:type="paragraph" w:styleId="22">
    <w:name w:val="Block Text"/>
    <w:basedOn w:val="1"/>
    <w:autoRedefine/>
    <w:qFormat/>
    <w:locked/>
    <w:uiPriority w:val="0"/>
    <w:pPr>
      <w:ind w:left="311" w:leftChars="148" w:right="210" w:rightChars="100" w:firstLine="560"/>
      <w:jc w:val="left"/>
    </w:pPr>
    <w:rPr>
      <w:rFonts w:ascii="宋体"/>
      <w:sz w:val="28"/>
      <w:szCs w:val="20"/>
    </w:rPr>
  </w:style>
  <w:style w:type="paragraph" w:styleId="23">
    <w:name w:val="toc 3"/>
    <w:basedOn w:val="1"/>
    <w:next w:val="1"/>
    <w:autoRedefine/>
    <w:qFormat/>
    <w:locked/>
    <w:uiPriority w:val="39"/>
    <w:pPr>
      <w:ind w:left="840" w:leftChars="400"/>
    </w:pPr>
  </w:style>
  <w:style w:type="paragraph" w:styleId="24">
    <w:name w:val="Plain Text"/>
    <w:basedOn w:val="1"/>
    <w:next w:val="25"/>
    <w:link w:val="69"/>
    <w:autoRedefine/>
    <w:qFormat/>
    <w:locked/>
    <w:uiPriority w:val="0"/>
    <w:pPr>
      <w:ind w:firstLine="200"/>
    </w:pPr>
    <w:rPr>
      <w:rFonts w:ascii="宋体" w:hAnsi="Courier New"/>
      <w:kern w:val="0"/>
      <w:sz w:val="20"/>
      <w:szCs w:val="20"/>
    </w:rPr>
  </w:style>
  <w:style w:type="paragraph" w:customStyle="1" w:styleId="25">
    <w:name w:val="Default"/>
    <w:basedOn w:val="26"/>
    <w:next w:val="1"/>
    <w:link w:val="51"/>
    <w:autoRedefine/>
    <w:qFormat/>
    <w:uiPriority w:val="0"/>
    <w:pPr>
      <w:autoSpaceDE w:val="0"/>
      <w:autoSpaceDN w:val="0"/>
    </w:pPr>
    <w:rPr>
      <w:rFonts w:ascii="仿宋_GB2312" w:hAnsi="仿宋_GB2312" w:eastAsia="仿宋_GB2312"/>
      <w:color w:val="000000"/>
      <w:sz w:val="24"/>
      <w:szCs w:val="22"/>
    </w:rPr>
  </w:style>
  <w:style w:type="paragraph" w:customStyle="1" w:styleId="26">
    <w:name w:val="文本"/>
    <w:basedOn w:val="1"/>
    <w:next w:val="1"/>
    <w:autoRedefine/>
    <w:qFormat/>
    <w:uiPriority w:val="0"/>
    <w:pPr>
      <w:ind w:firstLine="200"/>
    </w:pPr>
    <w:rPr>
      <w:rFonts w:ascii="宋体" w:hAnsi="宋体"/>
      <w:sz w:val="28"/>
      <w:szCs w:val="28"/>
    </w:rPr>
  </w:style>
  <w:style w:type="paragraph" w:styleId="27">
    <w:name w:val="Date"/>
    <w:basedOn w:val="1"/>
    <w:next w:val="1"/>
    <w:link w:val="70"/>
    <w:autoRedefine/>
    <w:qFormat/>
    <w:uiPriority w:val="0"/>
    <w:pPr>
      <w:ind w:left="100" w:leftChars="2500"/>
    </w:pPr>
    <w:rPr>
      <w:kern w:val="0"/>
      <w:szCs w:val="20"/>
    </w:rPr>
  </w:style>
  <w:style w:type="paragraph" w:styleId="28">
    <w:name w:val="Body Text Indent 2"/>
    <w:basedOn w:val="1"/>
    <w:link w:val="71"/>
    <w:autoRedefine/>
    <w:qFormat/>
    <w:locked/>
    <w:uiPriority w:val="0"/>
    <w:pPr>
      <w:widowControl/>
      <w:spacing w:after="120" w:line="480" w:lineRule="auto"/>
      <w:ind w:left="420" w:leftChars="200"/>
      <w:jc w:val="left"/>
    </w:pPr>
    <w:rPr>
      <w:rFonts w:ascii="Calibri" w:hAnsi="Calibri"/>
      <w:sz w:val="21"/>
    </w:rPr>
  </w:style>
  <w:style w:type="paragraph" w:styleId="29">
    <w:name w:val="Balloon Text"/>
    <w:basedOn w:val="1"/>
    <w:link w:val="72"/>
    <w:autoRedefine/>
    <w:qFormat/>
    <w:uiPriority w:val="0"/>
    <w:rPr>
      <w:kern w:val="0"/>
      <w:sz w:val="18"/>
      <w:szCs w:val="20"/>
    </w:rPr>
  </w:style>
  <w:style w:type="paragraph" w:styleId="30">
    <w:name w:val="footer"/>
    <w:basedOn w:val="1"/>
    <w:next w:val="1"/>
    <w:link w:val="73"/>
    <w:autoRedefine/>
    <w:qFormat/>
    <w:uiPriority w:val="99"/>
    <w:pPr>
      <w:tabs>
        <w:tab w:val="center" w:pos="4153"/>
        <w:tab w:val="right" w:pos="8306"/>
      </w:tabs>
      <w:snapToGrid w:val="0"/>
      <w:jc w:val="left"/>
    </w:pPr>
    <w:rPr>
      <w:kern w:val="0"/>
      <w:sz w:val="18"/>
      <w:szCs w:val="20"/>
    </w:rPr>
  </w:style>
  <w:style w:type="paragraph" w:styleId="31">
    <w:name w:val="header"/>
    <w:basedOn w:val="1"/>
    <w:next w:val="32"/>
    <w:link w:val="74"/>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32">
    <w:name w:val="List Paragraph"/>
    <w:basedOn w:val="1"/>
    <w:next w:val="1"/>
    <w:autoRedefine/>
    <w:qFormat/>
    <w:uiPriority w:val="1"/>
    <w:pPr>
      <w:snapToGrid w:val="0"/>
      <w:ind w:firstLine="420"/>
      <w:jc w:val="left"/>
    </w:pPr>
    <w:rPr>
      <w:rFonts w:ascii="宋体" w:hAnsi="宋体"/>
      <w:sz w:val="28"/>
      <w:szCs w:val="28"/>
    </w:rPr>
  </w:style>
  <w:style w:type="paragraph" w:styleId="33">
    <w:name w:val="toc 1"/>
    <w:basedOn w:val="1"/>
    <w:next w:val="1"/>
    <w:autoRedefine/>
    <w:qFormat/>
    <w:locked/>
    <w:uiPriority w:val="39"/>
  </w:style>
  <w:style w:type="paragraph" w:styleId="34">
    <w:name w:val="index heading"/>
    <w:basedOn w:val="1"/>
    <w:next w:val="35"/>
    <w:autoRedefine/>
    <w:unhideWhenUsed/>
    <w:qFormat/>
    <w:locked/>
    <w:uiPriority w:val="0"/>
    <w:rPr>
      <w:rFonts w:ascii="等线 Light" w:hAnsi="等线 Light" w:eastAsia="等线 Light"/>
      <w:b/>
      <w:bCs/>
      <w:szCs w:val="20"/>
    </w:rPr>
  </w:style>
  <w:style w:type="paragraph" w:styleId="35">
    <w:name w:val="index 1"/>
    <w:basedOn w:val="1"/>
    <w:next w:val="1"/>
    <w:autoRedefine/>
    <w:qFormat/>
    <w:locked/>
    <w:uiPriority w:val="0"/>
  </w:style>
  <w:style w:type="paragraph" w:styleId="36">
    <w:name w:val="Subtitle"/>
    <w:basedOn w:val="1"/>
    <w:next w:val="1"/>
    <w:link w:val="75"/>
    <w:autoRedefine/>
    <w:qFormat/>
    <w:locked/>
    <w:uiPriority w:val="0"/>
    <w:pPr>
      <w:widowControl/>
      <w:jc w:val="left"/>
      <w:outlineLvl w:val="1"/>
    </w:pPr>
    <w:rPr>
      <w:rFonts w:ascii="Calibri" w:hAnsi="Calibri"/>
      <w:b/>
      <w:bCs/>
      <w:kern w:val="28"/>
      <w:sz w:val="28"/>
      <w:szCs w:val="32"/>
    </w:rPr>
  </w:style>
  <w:style w:type="paragraph" w:styleId="37">
    <w:name w:val="List"/>
    <w:basedOn w:val="1"/>
    <w:autoRedefine/>
    <w:qFormat/>
    <w:locked/>
    <w:uiPriority w:val="0"/>
    <w:pPr>
      <w:overflowPunct w:val="0"/>
      <w:autoSpaceDE w:val="0"/>
      <w:autoSpaceDN w:val="0"/>
      <w:jc w:val="center"/>
      <w:textAlignment w:val="baseline"/>
    </w:pPr>
    <w:rPr>
      <w:kern w:val="0"/>
      <w:szCs w:val="20"/>
    </w:rPr>
  </w:style>
  <w:style w:type="paragraph" w:styleId="38">
    <w:name w:val="Body Text Indent 3"/>
    <w:basedOn w:val="1"/>
    <w:link w:val="76"/>
    <w:autoRedefine/>
    <w:qFormat/>
    <w:locked/>
    <w:uiPriority w:val="0"/>
    <w:pPr>
      <w:spacing w:after="120"/>
      <w:ind w:left="420" w:leftChars="200"/>
    </w:pPr>
    <w:rPr>
      <w:sz w:val="16"/>
      <w:szCs w:val="16"/>
    </w:rPr>
  </w:style>
  <w:style w:type="paragraph" w:styleId="39">
    <w:name w:val="toc 2"/>
    <w:basedOn w:val="1"/>
    <w:next w:val="1"/>
    <w:autoRedefine/>
    <w:qFormat/>
    <w:locked/>
    <w:uiPriority w:val="39"/>
    <w:pPr>
      <w:ind w:left="420" w:leftChars="200"/>
    </w:pPr>
  </w:style>
  <w:style w:type="paragraph" w:styleId="40">
    <w:name w:val="Normal (Web)"/>
    <w:basedOn w:val="1"/>
    <w:link w:val="77"/>
    <w:autoRedefine/>
    <w:qFormat/>
    <w:uiPriority w:val="0"/>
    <w:pPr>
      <w:widowControl/>
      <w:spacing w:before="100" w:beforeAutospacing="1" w:after="100" w:afterAutospacing="1"/>
      <w:jc w:val="left"/>
    </w:pPr>
    <w:rPr>
      <w:rFonts w:ascii="宋体" w:hAnsi="宋体"/>
      <w:kern w:val="0"/>
      <w:szCs w:val="20"/>
    </w:rPr>
  </w:style>
  <w:style w:type="paragraph" w:styleId="41">
    <w:name w:val="annotation subject"/>
    <w:basedOn w:val="19"/>
    <w:next w:val="19"/>
    <w:link w:val="78"/>
    <w:autoRedefine/>
    <w:qFormat/>
    <w:uiPriority w:val="0"/>
    <w:rPr>
      <w:b/>
      <w:kern w:val="2"/>
    </w:rPr>
  </w:style>
  <w:style w:type="table" w:styleId="43">
    <w:name w:val="Table Grid"/>
    <w:basedOn w:val="42"/>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44">
    <w:name w:val="Table Theme"/>
    <w:basedOn w:val="42"/>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6">
    <w:name w:val="Strong"/>
    <w:basedOn w:val="45"/>
    <w:autoRedefine/>
    <w:qFormat/>
    <w:locked/>
    <w:uiPriority w:val="22"/>
    <w:rPr>
      <w:b/>
      <w:bCs/>
      <w:szCs w:val="20"/>
    </w:rPr>
  </w:style>
  <w:style w:type="character" w:styleId="47">
    <w:name w:val="page number"/>
    <w:basedOn w:val="45"/>
    <w:autoRedefine/>
    <w:qFormat/>
    <w:locked/>
    <w:uiPriority w:val="0"/>
  </w:style>
  <w:style w:type="character" w:styleId="48">
    <w:name w:val="Emphasis"/>
    <w:basedOn w:val="45"/>
    <w:autoRedefine/>
    <w:qFormat/>
    <w:locked/>
    <w:uiPriority w:val="20"/>
    <w:rPr>
      <w:i/>
      <w:iCs/>
    </w:rPr>
  </w:style>
  <w:style w:type="character" w:styleId="49">
    <w:name w:val="Hyperlink"/>
    <w:autoRedefine/>
    <w:qFormat/>
    <w:locked/>
    <w:uiPriority w:val="99"/>
    <w:rPr>
      <w:color w:val="0000FF"/>
      <w:u w:val="single"/>
    </w:rPr>
  </w:style>
  <w:style w:type="character" w:styleId="50">
    <w:name w:val="annotation reference"/>
    <w:autoRedefine/>
    <w:qFormat/>
    <w:uiPriority w:val="0"/>
    <w:rPr>
      <w:sz w:val="21"/>
    </w:rPr>
  </w:style>
  <w:style w:type="character" w:customStyle="1" w:styleId="51">
    <w:name w:val="Default Char"/>
    <w:link w:val="25"/>
    <w:autoRedefine/>
    <w:qFormat/>
    <w:uiPriority w:val="0"/>
    <w:rPr>
      <w:rFonts w:ascii="仿宋_GB2312" w:hAnsi="仿宋_GB2312" w:eastAsia="仿宋_GB2312"/>
      <w:color w:val="000000"/>
      <w:kern w:val="2"/>
      <w:sz w:val="24"/>
      <w:szCs w:val="22"/>
    </w:rPr>
  </w:style>
  <w:style w:type="character" w:customStyle="1" w:styleId="52">
    <w:name w:val="标题 1 Char"/>
    <w:basedOn w:val="45"/>
    <w:link w:val="2"/>
    <w:autoRedefine/>
    <w:qFormat/>
    <w:uiPriority w:val="99"/>
    <w:rPr>
      <w:rFonts w:ascii="Times New Roman" w:hAnsi="Times New Roman" w:eastAsia="宋体"/>
      <w:b/>
      <w:bCs/>
      <w:color w:val="000000"/>
      <w:kern w:val="44"/>
      <w:sz w:val="30"/>
      <w:szCs w:val="30"/>
    </w:rPr>
  </w:style>
  <w:style w:type="character" w:customStyle="1" w:styleId="53">
    <w:name w:val="正文文本 Char"/>
    <w:link w:val="6"/>
    <w:autoRedefine/>
    <w:qFormat/>
    <w:locked/>
    <w:uiPriority w:val="0"/>
    <w:rPr>
      <w:sz w:val="18"/>
    </w:rPr>
  </w:style>
  <w:style w:type="character" w:customStyle="1" w:styleId="54">
    <w:name w:val="正文首行缩进 Char"/>
    <w:link w:val="5"/>
    <w:autoRedefine/>
    <w:qFormat/>
    <w:uiPriority w:val="0"/>
    <w:rPr>
      <w:sz w:val="24"/>
    </w:rPr>
  </w:style>
  <w:style w:type="character" w:customStyle="1" w:styleId="55">
    <w:name w:val="标题 2 Char"/>
    <w:basedOn w:val="45"/>
    <w:link w:val="4"/>
    <w:autoRedefine/>
    <w:qFormat/>
    <w:uiPriority w:val="0"/>
    <w:rPr>
      <w:b/>
      <w:bCs/>
      <w:sz w:val="28"/>
      <w:szCs w:val="32"/>
    </w:rPr>
  </w:style>
  <w:style w:type="character" w:customStyle="1" w:styleId="56">
    <w:name w:val="标题 3 Char"/>
    <w:basedOn w:val="45"/>
    <w:link w:val="9"/>
    <w:autoRedefine/>
    <w:qFormat/>
    <w:uiPriority w:val="0"/>
    <w:rPr>
      <w:bCs/>
      <w:sz w:val="24"/>
      <w:szCs w:val="32"/>
    </w:rPr>
  </w:style>
  <w:style w:type="character" w:customStyle="1" w:styleId="57">
    <w:name w:val="标题 4 Char"/>
    <w:basedOn w:val="45"/>
    <w:link w:val="10"/>
    <w:autoRedefine/>
    <w:qFormat/>
    <w:uiPriority w:val="0"/>
    <w:rPr>
      <w:rFonts w:ascii="等线 Light" w:hAnsi="等线 Light" w:eastAsia="等线 Light"/>
      <w:b/>
      <w:bCs/>
      <w:kern w:val="2"/>
      <w:sz w:val="28"/>
      <w:szCs w:val="28"/>
    </w:rPr>
  </w:style>
  <w:style w:type="character" w:customStyle="1" w:styleId="58">
    <w:name w:val="标题 5 Char"/>
    <w:basedOn w:val="45"/>
    <w:link w:val="11"/>
    <w:autoRedefine/>
    <w:qFormat/>
    <w:uiPriority w:val="0"/>
    <w:rPr>
      <w:rFonts w:ascii="Calibri" w:hAnsi="Calibri"/>
      <w:b/>
      <w:kern w:val="2"/>
      <w:sz w:val="28"/>
      <w:szCs w:val="21"/>
    </w:rPr>
  </w:style>
  <w:style w:type="character" w:customStyle="1" w:styleId="59">
    <w:name w:val="标题 6 Char"/>
    <w:basedOn w:val="45"/>
    <w:link w:val="12"/>
    <w:autoRedefine/>
    <w:qFormat/>
    <w:uiPriority w:val="0"/>
    <w:rPr>
      <w:rFonts w:ascii="Arial" w:hAnsi="Arial" w:eastAsia="黑体"/>
      <w:b/>
      <w:kern w:val="2"/>
      <w:sz w:val="24"/>
      <w:szCs w:val="21"/>
    </w:rPr>
  </w:style>
  <w:style w:type="character" w:customStyle="1" w:styleId="60">
    <w:name w:val="标题 7 Char"/>
    <w:basedOn w:val="45"/>
    <w:link w:val="13"/>
    <w:autoRedefine/>
    <w:qFormat/>
    <w:uiPriority w:val="0"/>
    <w:rPr>
      <w:rFonts w:ascii="Calibri" w:hAnsi="Calibri"/>
      <w:b/>
      <w:kern w:val="2"/>
      <w:sz w:val="24"/>
      <w:szCs w:val="21"/>
    </w:rPr>
  </w:style>
  <w:style w:type="character" w:customStyle="1" w:styleId="61">
    <w:name w:val="标题 8 Char"/>
    <w:basedOn w:val="45"/>
    <w:link w:val="14"/>
    <w:autoRedefine/>
    <w:qFormat/>
    <w:uiPriority w:val="0"/>
    <w:rPr>
      <w:rFonts w:ascii="Arial" w:hAnsi="Arial" w:eastAsia="黑体"/>
      <w:kern w:val="2"/>
      <w:sz w:val="24"/>
      <w:szCs w:val="21"/>
    </w:rPr>
  </w:style>
  <w:style w:type="character" w:customStyle="1" w:styleId="62">
    <w:name w:val="标题 9 Char"/>
    <w:basedOn w:val="45"/>
    <w:link w:val="15"/>
    <w:autoRedefine/>
    <w:qFormat/>
    <w:uiPriority w:val="0"/>
    <w:rPr>
      <w:rFonts w:ascii="Arial" w:hAnsi="Arial" w:eastAsia="黑体"/>
      <w:kern w:val="2"/>
      <w:sz w:val="21"/>
      <w:szCs w:val="21"/>
    </w:rPr>
  </w:style>
  <w:style w:type="character" w:customStyle="1" w:styleId="63">
    <w:name w:val="正文缩进 Char"/>
    <w:link w:val="16"/>
    <w:autoRedefine/>
    <w:qFormat/>
    <w:uiPriority w:val="0"/>
    <w:rPr>
      <w:kern w:val="2"/>
      <w:sz w:val="21"/>
      <w:szCs w:val="24"/>
    </w:rPr>
  </w:style>
  <w:style w:type="character" w:customStyle="1" w:styleId="64">
    <w:name w:val="题注 Char"/>
    <w:link w:val="17"/>
    <w:autoRedefine/>
    <w:qFormat/>
    <w:uiPriority w:val="0"/>
    <w:rPr>
      <w:rFonts w:eastAsia="黑体"/>
      <w:sz w:val="24"/>
    </w:rPr>
  </w:style>
  <w:style w:type="character" w:customStyle="1" w:styleId="65">
    <w:name w:val="文档结构图 Char"/>
    <w:basedOn w:val="45"/>
    <w:link w:val="18"/>
    <w:autoRedefine/>
    <w:qFormat/>
    <w:uiPriority w:val="0"/>
    <w:rPr>
      <w:rFonts w:ascii="宋体"/>
      <w:kern w:val="2"/>
      <w:sz w:val="18"/>
      <w:szCs w:val="18"/>
    </w:rPr>
  </w:style>
  <w:style w:type="character" w:customStyle="1" w:styleId="66">
    <w:name w:val="批注文字 Char"/>
    <w:link w:val="19"/>
    <w:autoRedefine/>
    <w:qFormat/>
    <w:locked/>
    <w:uiPriority w:val="99"/>
    <w:rPr>
      <w:rFonts w:ascii="Times New Roman" w:hAnsi="Times New Roman" w:eastAsia="宋体"/>
      <w:sz w:val="24"/>
    </w:rPr>
  </w:style>
  <w:style w:type="character" w:customStyle="1" w:styleId="67">
    <w:name w:val="正文首行缩进 2 Char"/>
    <w:basedOn w:val="68"/>
    <w:link w:val="21"/>
    <w:autoRedefine/>
    <w:qFormat/>
    <w:uiPriority w:val="0"/>
    <w:rPr>
      <w:rFonts w:ascii="Times New Roman" w:hAnsi="Times New Roman" w:eastAsia="宋体"/>
      <w:sz w:val="24"/>
    </w:rPr>
  </w:style>
  <w:style w:type="character" w:customStyle="1" w:styleId="68">
    <w:name w:val="正文文本缩进 Char"/>
    <w:link w:val="20"/>
    <w:autoRedefine/>
    <w:qFormat/>
    <w:locked/>
    <w:uiPriority w:val="0"/>
    <w:rPr>
      <w:rFonts w:ascii="Times New Roman" w:hAnsi="Times New Roman" w:eastAsia="宋体"/>
      <w:sz w:val="24"/>
    </w:rPr>
  </w:style>
  <w:style w:type="character" w:customStyle="1" w:styleId="69">
    <w:name w:val="纯文本 Char"/>
    <w:link w:val="24"/>
    <w:autoRedefine/>
    <w:qFormat/>
    <w:uiPriority w:val="0"/>
    <w:rPr>
      <w:rFonts w:ascii="宋体" w:hAnsi="Courier New"/>
    </w:rPr>
  </w:style>
  <w:style w:type="character" w:customStyle="1" w:styleId="70">
    <w:name w:val="日期 Char"/>
    <w:link w:val="27"/>
    <w:autoRedefine/>
    <w:qFormat/>
    <w:locked/>
    <w:uiPriority w:val="0"/>
    <w:rPr>
      <w:rFonts w:ascii="Times New Roman" w:hAnsi="Times New Roman" w:eastAsia="宋体"/>
      <w:sz w:val="24"/>
    </w:rPr>
  </w:style>
  <w:style w:type="character" w:customStyle="1" w:styleId="71">
    <w:name w:val="正文文本缩进 2 Char"/>
    <w:link w:val="28"/>
    <w:autoRedefine/>
    <w:qFormat/>
    <w:uiPriority w:val="0"/>
    <w:rPr>
      <w:rFonts w:ascii="Calibri" w:hAnsi="Calibri"/>
      <w:kern w:val="2"/>
      <w:sz w:val="21"/>
      <w:szCs w:val="24"/>
    </w:rPr>
  </w:style>
  <w:style w:type="character" w:customStyle="1" w:styleId="72">
    <w:name w:val="批注框文本 Char"/>
    <w:link w:val="29"/>
    <w:autoRedefine/>
    <w:qFormat/>
    <w:locked/>
    <w:uiPriority w:val="0"/>
    <w:rPr>
      <w:rFonts w:ascii="Times New Roman" w:hAnsi="Times New Roman" w:eastAsia="宋体"/>
      <w:sz w:val="18"/>
    </w:rPr>
  </w:style>
  <w:style w:type="character" w:customStyle="1" w:styleId="73">
    <w:name w:val="页脚 Char"/>
    <w:link w:val="30"/>
    <w:autoRedefine/>
    <w:qFormat/>
    <w:locked/>
    <w:uiPriority w:val="99"/>
    <w:rPr>
      <w:sz w:val="18"/>
    </w:rPr>
  </w:style>
  <w:style w:type="character" w:customStyle="1" w:styleId="74">
    <w:name w:val="页眉 Char"/>
    <w:link w:val="31"/>
    <w:autoRedefine/>
    <w:qFormat/>
    <w:locked/>
    <w:uiPriority w:val="0"/>
    <w:rPr>
      <w:sz w:val="18"/>
    </w:rPr>
  </w:style>
  <w:style w:type="character" w:customStyle="1" w:styleId="75">
    <w:name w:val="副标题 Char"/>
    <w:basedOn w:val="45"/>
    <w:link w:val="36"/>
    <w:autoRedefine/>
    <w:qFormat/>
    <w:uiPriority w:val="0"/>
    <w:rPr>
      <w:rFonts w:ascii="Calibri" w:hAnsi="Calibri"/>
      <w:b/>
      <w:bCs/>
      <w:kern w:val="28"/>
      <w:sz w:val="28"/>
      <w:szCs w:val="32"/>
    </w:rPr>
  </w:style>
  <w:style w:type="character" w:customStyle="1" w:styleId="76">
    <w:name w:val="正文文本缩进 3 Char"/>
    <w:basedOn w:val="45"/>
    <w:link w:val="38"/>
    <w:autoRedefine/>
    <w:qFormat/>
    <w:uiPriority w:val="0"/>
    <w:rPr>
      <w:kern w:val="2"/>
      <w:sz w:val="16"/>
      <w:szCs w:val="16"/>
    </w:rPr>
  </w:style>
  <w:style w:type="character" w:customStyle="1" w:styleId="77">
    <w:name w:val="普通(网站) Char"/>
    <w:link w:val="40"/>
    <w:autoRedefine/>
    <w:qFormat/>
    <w:locked/>
    <w:uiPriority w:val="0"/>
    <w:rPr>
      <w:rFonts w:ascii="宋体" w:hAnsi="宋体" w:eastAsia="宋体"/>
      <w:sz w:val="24"/>
    </w:rPr>
  </w:style>
  <w:style w:type="character" w:customStyle="1" w:styleId="78">
    <w:name w:val="批注主题 Char"/>
    <w:link w:val="41"/>
    <w:autoRedefine/>
    <w:qFormat/>
    <w:locked/>
    <w:uiPriority w:val="0"/>
    <w:rPr>
      <w:rFonts w:ascii="Times New Roman" w:hAnsi="Times New Roman" w:eastAsia="宋体"/>
      <w:b/>
      <w:kern w:val="2"/>
      <w:sz w:val="24"/>
    </w:rPr>
  </w:style>
  <w:style w:type="paragraph" w:customStyle="1" w:styleId="79">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0">
    <w:name w:val="正本"/>
    <w:basedOn w:val="1"/>
    <w:autoRedefine/>
    <w:qFormat/>
    <w:uiPriority w:val="0"/>
    <w:pPr>
      <w:adjustRightInd w:val="0"/>
      <w:snapToGrid w:val="0"/>
      <w:ind w:firstLine="200"/>
    </w:pPr>
    <w:rPr>
      <w:rFonts w:ascii="宋体"/>
    </w:rPr>
  </w:style>
  <w:style w:type="character" w:customStyle="1" w:styleId="81">
    <w:name w:val="页脚 字符"/>
    <w:autoRedefine/>
    <w:qFormat/>
    <w:uiPriority w:val="99"/>
  </w:style>
  <w:style w:type="character" w:customStyle="1" w:styleId="82">
    <w:name w:val="正文文本 字符1"/>
    <w:autoRedefine/>
    <w:semiHidden/>
    <w:qFormat/>
    <w:uiPriority w:val="0"/>
    <w:rPr>
      <w:rFonts w:ascii="Times New Roman" w:hAnsi="Times New Roman" w:eastAsia="宋体"/>
      <w:sz w:val="24"/>
    </w:rPr>
  </w:style>
  <w:style w:type="character" w:customStyle="1" w:styleId="83">
    <w:name w:val="表格 Char"/>
    <w:link w:val="84"/>
    <w:autoRedefine/>
    <w:qFormat/>
    <w:locked/>
    <w:uiPriority w:val="0"/>
    <w:rPr>
      <w:rFonts w:ascii="宋体"/>
      <w:sz w:val="21"/>
    </w:rPr>
  </w:style>
  <w:style w:type="paragraph" w:customStyle="1" w:styleId="84">
    <w:name w:val="表格"/>
    <w:basedOn w:val="85"/>
    <w:next w:val="1"/>
    <w:link w:val="83"/>
    <w:autoRedefine/>
    <w:qFormat/>
    <w:uiPriority w:val="0"/>
    <w:pPr>
      <w:adjustRightInd w:val="0"/>
      <w:snapToGrid w:val="0"/>
      <w:spacing w:beforeLines="10" w:afterLines="10" w:line="259" w:lineRule="auto"/>
    </w:pPr>
    <w:rPr>
      <w:rFonts w:ascii="宋体" w:hAnsi="Times New Roman" w:eastAsia="宋体"/>
      <w:b w:val="0"/>
      <w:kern w:val="0"/>
      <w:sz w:val="21"/>
      <w:szCs w:val="20"/>
    </w:rPr>
  </w:style>
  <w:style w:type="paragraph" w:customStyle="1" w:styleId="85">
    <w:name w:val="表头"/>
    <w:basedOn w:val="26"/>
    <w:next w:val="1"/>
    <w:link w:val="86"/>
    <w:autoRedefine/>
    <w:qFormat/>
    <w:uiPriority w:val="0"/>
    <w:pPr>
      <w:widowControl/>
      <w:spacing w:before="120" w:after="120"/>
      <w:jc w:val="center"/>
    </w:pPr>
    <w:rPr>
      <w:rFonts w:ascii="Calibri" w:hAnsi="Calibri" w:eastAsia="黑体"/>
      <w:b/>
      <w:sz w:val="24"/>
      <w:szCs w:val="24"/>
    </w:rPr>
  </w:style>
  <w:style w:type="character" w:customStyle="1" w:styleId="86">
    <w:name w:val="表头 Char"/>
    <w:link w:val="85"/>
    <w:autoRedefine/>
    <w:qFormat/>
    <w:uiPriority w:val="0"/>
    <w:rPr>
      <w:rFonts w:ascii="Calibri" w:hAnsi="Calibri" w:eastAsia="黑体"/>
      <w:b/>
      <w:kern w:val="2"/>
      <w:sz w:val="24"/>
      <w:szCs w:val="24"/>
    </w:rPr>
  </w:style>
  <w:style w:type="character" w:customStyle="1" w:styleId="87">
    <w:name w:val="日期 字符"/>
    <w:autoRedefine/>
    <w:semiHidden/>
    <w:qFormat/>
    <w:uiPriority w:val="0"/>
    <w:rPr>
      <w:rFonts w:ascii="Times New Roman" w:hAnsi="Times New Roman" w:eastAsia="宋体"/>
      <w:sz w:val="24"/>
    </w:rPr>
  </w:style>
  <w:style w:type="character" w:customStyle="1" w:styleId="88">
    <w:name w:val="批注文字 字符1"/>
    <w:autoRedefine/>
    <w:semiHidden/>
    <w:qFormat/>
    <w:uiPriority w:val="0"/>
    <w:rPr>
      <w:rFonts w:ascii="Times New Roman" w:hAnsi="Times New Roman" w:eastAsia="宋体"/>
      <w:sz w:val="24"/>
    </w:rPr>
  </w:style>
  <w:style w:type="paragraph" w:customStyle="1" w:styleId="89">
    <w:name w:val="纯文本1"/>
    <w:basedOn w:val="1"/>
    <w:autoRedefine/>
    <w:qFormat/>
    <w:uiPriority w:val="0"/>
    <w:pPr>
      <w:adjustRightInd w:val="0"/>
    </w:pPr>
    <w:rPr>
      <w:rFonts w:ascii="宋体" w:hAnsi="Courier New"/>
      <w:szCs w:val="20"/>
    </w:rPr>
  </w:style>
  <w:style w:type="paragraph" w:customStyle="1" w:styleId="90">
    <w:name w:val="Table Paragraph"/>
    <w:basedOn w:val="1"/>
    <w:autoRedefine/>
    <w:qFormat/>
    <w:uiPriority w:val="1"/>
  </w:style>
  <w:style w:type="paragraph" w:customStyle="1" w:styleId="91">
    <w:name w:val="君邦正文"/>
    <w:basedOn w:val="1"/>
    <w:autoRedefine/>
    <w:qFormat/>
    <w:uiPriority w:val="0"/>
    <w:pPr>
      <w:ind w:left="-4" w:leftChars="-2" w:firstLine="480"/>
    </w:pPr>
    <w:rPr>
      <w:rFonts w:ascii="宋体" w:hAnsi="宋体" w:cs="Angsana New"/>
      <w:szCs w:val="20"/>
    </w:rPr>
  </w:style>
  <w:style w:type="paragraph" w:customStyle="1" w:styleId="92">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93">
    <w:name w:val="正文1"/>
    <w:basedOn w:val="1"/>
    <w:autoRedefine/>
    <w:qFormat/>
    <w:uiPriority w:val="0"/>
    <w:pPr>
      <w:adjustRightInd w:val="0"/>
      <w:snapToGrid w:val="0"/>
      <w:spacing w:line="500" w:lineRule="atLeast"/>
      <w:ind w:firstLine="567"/>
    </w:pPr>
    <w:rPr>
      <w:sz w:val="28"/>
    </w:rPr>
  </w:style>
  <w:style w:type="paragraph" w:customStyle="1" w:styleId="94">
    <w:name w:val="正  文"/>
    <w:basedOn w:val="1"/>
    <w:autoRedefine/>
    <w:qFormat/>
    <w:uiPriority w:val="0"/>
    <w:pPr>
      <w:ind w:firstLine="560"/>
    </w:pPr>
    <w:rPr>
      <w:rFonts w:eastAsia="仿宋_GB2312"/>
      <w:sz w:val="28"/>
      <w:szCs w:val="28"/>
    </w:rPr>
  </w:style>
  <w:style w:type="paragraph" w:customStyle="1" w:styleId="95">
    <w:name w:val="表文字"/>
    <w:basedOn w:val="1"/>
    <w:link w:val="96"/>
    <w:autoRedefine/>
    <w:qFormat/>
    <w:uiPriority w:val="0"/>
    <w:pPr>
      <w:overflowPunct w:val="0"/>
      <w:autoSpaceDE w:val="0"/>
      <w:autoSpaceDN w:val="0"/>
      <w:spacing w:line="240" w:lineRule="atLeast"/>
      <w:textAlignment w:val="baseline"/>
    </w:pPr>
    <w:rPr>
      <w:kern w:val="0"/>
      <w:szCs w:val="20"/>
    </w:rPr>
  </w:style>
  <w:style w:type="character" w:customStyle="1" w:styleId="96">
    <w:name w:val="表文字 Char"/>
    <w:link w:val="95"/>
    <w:autoRedefine/>
    <w:qFormat/>
    <w:uiPriority w:val="0"/>
    <w:rPr>
      <w:sz w:val="24"/>
    </w:rPr>
  </w:style>
  <w:style w:type="paragraph" w:customStyle="1" w:styleId="97">
    <w:name w:val="表格文字"/>
    <w:basedOn w:val="20"/>
    <w:next w:val="31"/>
    <w:link w:val="98"/>
    <w:autoRedefine/>
    <w:qFormat/>
    <w:uiPriority w:val="0"/>
    <w:pPr>
      <w:jc w:val="center"/>
    </w:pPr>
    <w:rPr>
      <w:sz w:val="20"/>
    </w:rPr>
  </w:style>
  <w:style w:type="character" w:customStyle="1" w:styleId="98">
    <w:name w:val="表格文字 Char"/>
    <w:link w:val="97"/>
    <w:autoRedefine/>
    <w:qFormat/>
    <w:uiPriority w:val="0"/>
  </w:style>
  <w:style w:type="paragraph" w:customStyle="1" w:styleId="99">
    <w:name w:val="标题HT"/>
    <w:autoRedefine/>
    <w:qFormat/>
    <w:uiPriority w:val="0"/>
    <w:pPr>
      <w:snapToGrid w:val="0"/>
      <w:spacing w:line="480" w:lineRule="exact"/>
      <w:ind w:firstLine="482"/>
    </w:pPr>
    <w:rPr>
      <w:rFonts w:ascii="Arial" w:hAnsi="Arial" w:eastAsia="黑体" w:cs="Times New Roman"/>
      <w:kern w:val="2"/>
      <w:sz w:val="24"/>
      <w:szCs w:val="24"/>
      <w:lang w:val="en-US" w:eastAsia="zh-CN" w:bidi="ar-SA"/>
    </w:rPr>
  </w:style>
  <w:style w:type="paragraph" w:customStyle="1" w:styleId="100">
    <w:name w:val="表内格式"/>
    <w:basedOn w:val="1"/>
    <w:autoRedefine/>
    <w:qFormat/>
    <w:uiPriority w:val="0"/>
    <w:pPr>
      <w:jc w:val="center"/>
    </w:pPr>
    <w:rPr>
      <w:sz w:val="18"/>
      <w:szCs w:val="20"/>
    </w:rPr>
  </w:style>
  <w:style w:type="paragraph" w:customStyle="1" w:styleId="101">
    <w:name w:val="表 图 表头"/>
    <w:basedOn w:val="1"/>
    <w:autoRedefine/>
    <w:qFormat/>
    <w:uiPriority w:val="0"/>
    <w:pPr>
      <w:jc w:val="center"/>
    </w:pPr>
    <w:rPr>
      <w:szCs w:val="20"/>
    </w:rPr>
  </w:style>
  <w:style w:type="paragraph" w:customStyle="1" w:styleId="102">
    <w:name w:val="5555555555555555"/>
    <w:basedOn w:val="1"/>
    <w:autoRedefine/>
    <w:qFormat/>
    <w:uiPriority w:val="0"/>
    <w:pPr>
      <w:ind w:firstLine="480"/>
    </w:pPr>
    <w:rPr>
      <w:rFonts w:cs="宋体"/>
      <w:szCs w:val="20"/>
    </w:rPr>
  </w:style>
  <w:style w:type="paragraph" w:customStyle="1" w:styleId="103">
    <w:name w:val="报告正文-连续目录"/>
    <w:basedOn w:val="1"/>
    <w:autoRedefine/>
    <w:qFormat/>
    <w:uiPriority w:val="0"/>
    <w:pPr>
      <w:spacing w:line="440" w:lineRule="exact"/>
      <w:ind w:firstLine="200"/>
    </w:pPr>
    <w:rPr>
      <w:rFonts w:ascii="Arial" w:hAnsi="Arial"/>
      <w:snapToGrid w:val="0"/>
      <w:kern w:val="0"/>
    </w:rPr>
  </w:style>
  <w:style w:type="paragraph" w:customStyle="1" w:styleId="104">
    <w:name w:val="WPSOffice手动目录 1"/>
    <w:autoRedefine/>
    <w:qFormat/>
    <w:uiPriority w:val="0"/>
    <w:rPr>
      <w:rFonts w:ascii="Times New Roman" w:hAnsi="Times New Roman" w:eastAsia="宋体" w:cs="Times New Roman"/>
      <w:lang w:val="en-US" w:eastAsia="zh-CN" w:bidi="ar-SA"/>
    </w:rPr>
  </w:style>
  <w:style w:type="paragraph" w:customStyle="1" w:styleId="105">
    <w:name w:val="表 图 内容"/>
    <w:basedOn w:val="94"/>
    <w:autoRedefine/>
    <w:qFormat/>
    <w:uiPriority w:val="0"/>
    <w:pPr>
      <w:jc w:val="center"/>
    </w:pPr>
    <w:rPr>
      <w:rFonts w:eastAsia="宋体"/>
      <w:color w:val="000000"/>
      <w:sz w:val="21"/>
    </w:rPr>
  </w:style>
  <w:style w:type="paragraph" w:customStyle="1" w:styleId="106">
    <w:name w:val="正文-SH"/>
    <w:basedOn w:val="1"/>
    <w:autoRedefine/>
    <w:qFormat/>
    <w:uiPriority w:val="0"/>
    <w:pPr>
      <w:ind w:firstLine="480"/>
    </w:pPr>
  </w:style>
  <w:style w:type="paragraph" w:customStyle="1" w:styleId="107">
    <w:name w:val="表格标题"/>
    <w:basedOn w:val="5"/>
    <w:link w:val="108"/>
    <w:autoRedefine/>
    <w:qFormat/>
    <w:uiPriority w:val="0"/>
    <w:pPr>
      <w:widowControl w:val="0"/>
      <w:ind w:firstLine="0"/>
      <w:jc w:val="left"/>
    </w:pPr>
    <w:rPr>
      <w:rFonts w:eastAsia="黑体"/>
    </w:rPr>
  </w:style>
  <w:style w:type="character" w:customStyle="1" w:styleId="108">
    <w:name w:val="表格标题 Char1"/>
    <w:link w:val="107"/>
    <w:autoRedefine/>
    <w:qFormat/>
    <w:uiPriority w:val="0"/>
    <w:rPr>
      <w:rFonts w:eastAsia="黑体"/>
      <w:sz w:val="24"/>
    </w:rPr>
  </w:style>
  <w:style w:type="paragraph" w:customStyle="1" w:styleId="109">
    <w:name w:val="正文缩进2"/>
    <w:basedOn w:val="1"/>
    <w:autoRedefine/>
    <w:qFormat/>
    <w:uiPriority w:val="0"/>
    <w:pPr>
      <w:ind w:firstLine="420"/>
    </w:pPr>
    <w:rPr>
      <w:kern w:val="0"/>
      <w:sz w:val="20"/>
      <w:szCs w:val="20"/>
    </w:rPr>
  </w:style>
  <w:style w:type="paragraph" w:customStyle="1" w:styleId="110">
    <w:name w:val="表格1"/>
    <w:basedOn w:val="1"/>
    <w:next w:val="1"/>
    <w:autoRedefine/>
    <w:qFormat/>
    <w:uiPriority w:val="0"/>
    <w:pPr>
      <w:spacing w:after="200" w:line="20" w:lineRule="atLeast"/>
      <w:jc w:val="center"/>
      <w:textAlignment w:val="center"/>
    </w:pPr>
    <w:rPr>
      <w:rFonts w:ascii="宋体"/>
      <w:kern w:val="0"/>
      <w:sz w:val="22"/>
      <w:lang w:eastAsia="en-US" w:bidi="en-US"/>
    </w:rPr>
  </w:style>
  <w:style w:type="paragraph" w:customStyle="1" w:styleId="11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12">
    <w:name w:val="正文4号"/>
    <w:autoRedefine/>
    <w:qFormat/>
    <w:uiPriority w:val="0"/>
    <w:pPr>
      <w:widowControl w:val="0"/>
      <w:adjustRightInd w:val="0"/>
      <w:snapToGrid w:val="0"/>
      <w:spacing w:line="360" w:lineRule="auto"/>
      <w:ind w:firstLine="200" w:firstLineChars="200"/>
      <w:jc w:val="both"/>
    </w:pPr>
    <w:rPr>
      <w:rFonts w:ascii="Times New Roman" w:hAnsi="Times New Roman" w:eastAsia="Times New Roman" w:cs="Times New Roman"/>
      <w:kern w:val="2"/>
      <w:sz w:val="24"/>
      <w:szCs w:val="24"/>
      <w:lang w:val="en-US" w:eastAsia="zh-CN" w:bidi="ar-SA"/>
    </w:rPr>
  </w:style>
  <w:style w:type="paragraph" w:customStyle="1" w:styleId="113">
    <w:name w:val="表格居中"/>
    <w:basedOn w:val="37"/>
    <w:next w:val="1"/>
    <w:autoRedefine/>
    <w:qFormat/>
    <w:uiPriority w:val="0"/>
    <w:pPr>
      <w:spacing w:line="0" w:lineRule="atLeast"/>
    </w:pPr>
    <w:rPr>
      <w:rFonts w:ascii="Arial" w:hAnsi="Arial" w:cs="Arial"/>
      <w:szCs w:val="21"/>
    </w:rPr>
  </w:style>
  <w:style w:type="paragraph" w:customStyle="1" w:styleId="114">
    <w:name w:val="普通(网站)2"/>
    <w:basedOn w:val="1"/>
    <w:autoRedefine/>
    <w:qFormat/>
    <w:uiPriority w:val="0"/>
    <w:pPr>
      <w:widowControl/>
      <w:spacing w:before="100" w:beforeAutospacing="1" w:after="100" w:afterAutospacing="1"/>
      <w:jc w:val="left"/>
    </w:pPr>
    <w:rPr>
      <w:rFonts w:ascii="宋体" w:hAnsi="宋体"/>
      <w:szCs w:val="20"/>
    </w:rPr>
  </w:style>
  <w:style w:type="paragraph" w:customStyle="1" w:styleId="115">
    <w:name w:val="0正文"/>
    <w:basedOn w:val="1"/>
    <w:autoRedefine/>
    <w:qFormat/>
    <w:uiPriority w:val="0"/>
    <w:pPr>
      <w:adjustRightInd w:val="0"/>
      <w:snapToGrid w:val="0"/>
      <w:ind w:firstLine="200"/>
    </w:pPr>
    <w:rPr>
      <w:szCs w:val="22"/>
    </w:rPr>
  </w:style>
  <w:style w:type="paragraph" w:customStyle="1" w:styleId="116">
    <w:name w:val="表内容"/>
    <w:basedOn w:val="1"/>
    <w:next w:val="1"/>
    <w:autoRedefine/>
    <w:qFormat/>
    <w:uiPriority w:val="0"/>
    <w:pPr>
      <w:jc w:val="center"/>
    </w:pPr>
  </w:style>
  <w:style w:type="paragraph" w:customStyle="1" w:styleId="117">
    <w:name w:val="正文_9"/>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8">
    <w:name w:val="正文_8"/>
    <w:autoRedefine/>
    <w:qFormat/>
    <w:uiPriority w:val="0"/>
    <w:pPr>
      <w:widowControl w:val="0"/>
      <w:jc w:val="both"/>
    </w:pPr>
    <w:rPr>
      <w:rFonts w:ascii="Calibri" w:hAnsi="Calibri" w:eastAsia="宋体" w:cs="Times New Roman"/>
      <w:kern w:val="2"/>
      <w:sz w:val="21"/>
      <w:lang w:val="en-US" w:eastAsia="zh-CN" w:bidi="ar-SA"/>
    </w:rPr>
  </w:style>
  <w:style w:type="character" w:customStyle="1" w:styleId="119">
    <w:name w:val="fontstyle01"/>
    <w:autoRedefine/>
    <w:qFormat/>
    <w:uiPriority w:val="0"/>
    <w:rPr>
      <w:rFonts w:hint="eastAsia" w:ascii="宋体" w:hAnsi="宋体" w:eastAsia="宋体"/>
      <w:color w:val="000000"/>
      <w:sz w:val="24"/>
      <w:szCs w:val="24"/>
    </w:rPr>
  </w:style>
  <w:style w:type="paragraph" w:customStyle="1" w:styleId="120">
    <w:name w:val="正文_7"/>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21">
    <w:name w:val="1表格字体"/>
    <w:basedOn w:val="1"/>
    <w:autoRedefine/>
    <w:qFormat/>
    <w:uiPriority w:val="0"/>
    <w:pPr>
      <w:adjustRightInd w:val="0"/>
      <w:jc w:val="center"/>
    </w:pPr>
  </w:style>
  <w:style w:type="paragraph" w:customStyle="1" w:styleId="122">
    <w:name w:val="正文lly"/>
    <w:basedOn w:val="6"/>
    <w:next w:val="1"/>
    <w:autoRedefine/>
    <w:qFormat/>
    <w:uiPriority w:val="0"/>
    <w:pPr>
      <w:widowControl w:val="0"/>
      <w:wordWrap w:val="0"/>
      <w:snapToGrid/>
      <w:spacing w:before="0" w:after="0" w:line="360" w:lineRule="auto"/>
      <w:ind w:right="0" w:firstLine="480"/>
      <w:jc w:val="left"/>
    </w:pPr>
    <w:rPr>
      <w:color w:val="000000"/>
      <w:kern w:val="2"/>
      <w:sz w:val="24"/>
      <w:szCs w:val="24"/>
    </w:rPr>
  </w:style>
  <w:style w:type="paragraph" w:customStyle="1" w:styleId="123">
    <w:name w:val="正文 首行缩进:  2 字符"/>
    <w:basedOn w:val="1"/>
    <w:autoRedefine/>
    <w:qFormat/>
    <w:uiPriority w:val="0"/>
    <w:pPr>
      <w:ind w:firstLine="579"/>
    </w:pPr>
  </w:style>
  <w:style w:type="paragraph" w:customStyle="1" w:styleId="124">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125">
    <w:name w:val="表格内容"/>
    <w:basedOn w:val="1"/>
    <w:link w:val="126"/>
    <w:autoRedefine/>
    <w:qFormat/>
    <w:uiPriority w:val="0"/>
    <w:pPr>
      <w:spacing w:line="400" w:lineRule="exact"/>
      <w:jc w:val="center"/>
    </w:pPr>
    <w:rPr>
      <w:sz w:val="21"/>
      <w:szCs w:val="20"/>
    </w:rPr>
  </w:style>
  <w:style w:type="character" w:customStyle="1" w:styleId="126">
    <w:name w:val="表格内容 Char Char"/>
    <w:link w:val="125"/>
    <w:autoRedefine/>
    <w:qFormat/>
    <w:uiPriority w:val="0"/>
    <w:rPr>
      <w:rFonts w:cs="宋体"/>
      <w:kern w:val="2"/>
      <w:sz w:val="21"/>
    </w:rPr>
  </w:style>
  <w:style w:type="paragraph" w:customStyle="1" w:styleId="127">
    <w:name w:val="_cyj_正文"/>
    <w:basedOn w:val="1"/>
    <w:link w:val="128"/>
    <w:autoRedefine/>
    <w:qFormat/>
    <w:uiPriority w:val="0"/>
    <w:pPr>
      <w:spacing w:line="480" w:lineRule="exact"/>
      <w:ind w:firstLine="200"/>
    </w:pPr>
    <w:rPr>
      <w:rFonts w:hAnsi="宋体"/>
    </w:rPr>
  </w:style>
  <w:style w:type="character" w:customStyle="1" w:styleId="128">
    <w:name w:val="_cyj_正文 Char"/>
    <w:basedOn w:val="45"/>
    <w:link w:val="127"/>
    <w:autoRedefine/>
    <w:qFormat/>
    <w:uiPriority w:val="0"/>
    <w:rPr>
      <w:rFonts w:hAnsi="宋体"/>
      <w:kern w:val="2"/>
      <w:sz w:val="24"/>
      <w:szCs w:val="24"/>
    </w:rPr>
  </w:style>
  <w:style w:type="paragraph" w:customStyle="1" w:styleId="129">
    <w:name w:val="A正文1"/>
    <w:basedOn w:val="1"/>
    <w:autoRedefine/>
    <w:qFormat/>
    <w:uiPriority w:val="0"/>
    <w:pPr>
      <w:widowControl/>
      <w:ind w:firstLine="480"/>
      <w:jc w:val="left"/>
    </w:pPr>
    <w:rPr>
      <w:rFonts w:ascii="Calibri" w:hAnsi="Calibri"/>
      <w:szCs w:val="28"/>
    </w:rPr>
  </w:style>
  <w:style w:type="paragraph" w:customStyle="1" w:styleId="130">
    <w:name w:val="正文首行缩进2个字"/>
    <w:basedOn w:val="1"/>
    <w:autoRedefine/>
    <w:qFormat/>
    <w:uiPriority w:val="0"/>
    <w:pPr>
      <w:spacing w:line="540" w:lineRule="exact"/>
      <w:ind w:firstLine="200"/>
    </w:pPr>
  </w:style>
  <w:style w:type="paragraph" w:customStyle="1" w:styleId="131">
    <w:name w:val="xl24"/>
    <w:basedOn w:val="1"/>
    <w:autoRedefine/>
    <w:qFormat/>
    <w:uiPriority w:val="0"/>
    <w:pPr>
      <w:widowControl/>
      <w:pBdr>
        <w:left w:val="single" w:color="auto" w:sz="4" w:space="0"/>
        <w:bottom w:val="single" w:color="auto" w:sz="4" w:space="0"/>
        <w:right w:val="single" w:color="auto" w:sz="4" w:space="0"/>
      </w:pBdr>
      <w:spacing w:before="100" w:after="100"/>
      <w:jc w:val="center"/>
      <w:textAlignment w:val="center"/>
    </w:pPr>
    <w:rPr>
      <w:rFonts w:ascii="宋体" w:hAnsi="宋体"/>
      <w:kern w:val="0"/>
    </w:rPr>
  </w:style>
  <w:style w:type="paragraph" w:customStyle="1" w:styleId="132">
    <w:name w:val="B表头"/>
    <w:basedOn w:val="1"/>
    <w:autoRedefine/>
    <w:qFormat/>
    <w:uiPriority w:val="0"/>
    <w:pPr>
      <w:widowControl/>
      <w:spacing w:beforeLines="25" w:afterLines="25"/>
      <w:jc w:val="center"/>
    </w:pPr>
    <w:rPr>
      <w:rFonts w:ascii="Calibri" w:hAnsi="Calibri"/>
      <w:b/>
      <w:bCs/>
      <w:color w:val="000000"/>
      <w:szCs w:val="28"/>
      <w:lang w:bidi="en-US"/>
    </w:rPr>
  </w:style>
  <w:style w:type="paragraph" w:customStyle="1" w:styleId="133">
    <w:name w:val="*表格内容"/>
    <w:basedOn w:val="1"/>
    <w:autoRedefine/>
    <w:qFormat/>
    <w:uiPriority w:val="0"/>
    <w:pPr>
      <w:widowControl/>
      <w:tabs>
        <w:tab w:val="left" w:pos="0"/>
      </w:tabs>
      <w:spacing w:beforeLines="20" w:afterLines="20" w:line="264" w:lineRule="auto"/>
      <w:jc w:val="left"/>
    </w:pPr>
    <w:rPr>
      <w:rFonts w:ascii="宋体" w:hAnsi="宋体" w:cs="宋体"/>
      <w:kern w:val="0"/>
      <w:szCs w:val="20"/>
    </w:rPr>
  </w:style>
  <w:style w:type="paragraph" w:customStyle="1" w:styleId="134">
    <w:name w:val="表题"/>
    <w:basedOn w:val="1"/>
    <w:autoRedefine/>
    <w:qFormat/>
    <w:uiPriority w:val="0"/>
    <w:pPr>
      <w:spacing w:beforeLines="20" w:afterLines="20"/>
      <w:jc w:val="center"/>
    </w:pPr>
    <w:rPr>
      <w:b/>
      <w:szCs w:val="21"/>
    </w:rPr>
  </w:style>
  <w:style w:type="paragraph" w:customStyle="1" w:styleId="135">
    <w:name w:val="表头2"/>
    <w:basedOn w:val="1"/>
    <w:autoRedefine/>
    <w:qFormat/>
    <w:uiPriority w:val="0"/>
    <w:pPr>
      <w:widowControl/>
      <w:spacing w:beforeLines="50" w:afterLines="50"/>
      <w:jc w:val="center"/>
    </w:pPr>
    <w:rPr>
      <w:b/>
      <w:bCs/>
      <w:szCs w:val="21"/>
    </w:rPr>
  </w:style>
  <w:style w:type="character" w:customStyle="1" w:styleId="136">
    <w:name w:val="无间隔 Char"/>
    <w:link w:val="137"/>
    <w:autoRedefine/>
    <w:qFormat/>
    <w:uiPriority w:val="0"/>
    <w:rPr>
      <w:rFonts w:eastAsia="Times New Roman"/>
      <w:kern w:val="2"/>
      <w:sz w:val="21"/>
      <w:szCs w:val="22"/>
      <w:lang w:val="en-US" w:eastAsia="zh-CN" w:bidi="ar-SA"/>
    </w:rPr>
  </w:style>
  <w:style w:type="paragraph" w:styleId="137">
    <w:name w:val="No Spacing"/>
    <w:link w:val="136"/>
    <w:autoRedefine/>
    <w:qFormat/>
    <w:uiPriority w:val="0"/>
    <w:pPr>
      <w:widowControl w:val="0"/>
      <w:jc w:val="center"/>
    </w:pPr>
    <w:rPr>
      <w:rFonts w:ascii="Times New Roman" w:hAnsi="Times New Roman" w:eastAsia="Times New Roman" w:cs="Times New Roman"/>
      <w:kern w:val="2"/>
      <w:sz w:val="21"/>
      <w:szCs w:val="22"/>
      <w:lang w:val="en-US" w:eastAsia="zh-CN" w:bidi="ar-SA"/>
    </w:rPr>
  </w:style>
  <w:style w:type="character" w:customStyle="1" w:styleId="138">
    <w:name w:val="正文内容 Char"/>
    <w:link w:val="139"/>
    <w:autoRedefine/>
    <w:qFormat/>
    <w:uiPriority w:val="0"/>
    <w:rPr>
      <w:sz w:val="24"/>
      <w:szCs w:val="21"/>
    </w:rPr>
  </w:style>
  <w:style w:type="paragraph" w:customStyle="1" w:styleId="139">
    <w:name w:val="正文内容"/>
    <w:basedOn w:val="1"/>
    <w:link w:val="138"/>
    <w:autoRedefine/>
    <w:qFormat/>
    <w:uiPriority w:val="0"/>
    <w:pPr>
      <w:widowControl/>
      <w:ind w:firstLine="200"/>
      <w:jc w:val="left"/>
    </w:pPr>
    <w:rPr>
      <w:kern w:val="0"/>
      <w:szCs w:val="21"/>
    </w:rPr>
  </w:style>
  <w:style w:type="character" w:customStyle="1" w:styleId="140">
    <w:name w:val="正文首行缩进 2 + Times New Roman Char"/>
    <w:link w:val="141"/>
    <w:autoRedefine/>
    <w:qFormat/>
    <w:uiPriority w:val="0"/>
    <w:rPr>
      <w:sz w:val="24"/>
      <w:szCs w:val="24"/>
    </w:rPr>
  </w:style>
  <w:style w:type="paragraph" w:customStyle="1" w:styleId="141">
    <w:name w:val="正文首行缩进 2 + Times New Roman"/>
    <w:basedOn w:val="1"/>
    <w:link w:val="140"/>
    <w:autoRedefine/>
    <w:qFormat/>
    <w:uiPriority w:val="0"/>
    <w:pPr>
      <w:tabs>
        <w:tab w:val="left" w:pos="0"/>
        <w:tab w:val="left" w:pos="870"/>
        <w:tab w:val="left" w:pos="3150"/>
      </w:tabs>
      <w:autoSpaceDE w:val="0"/>
      <w:autoSpaceDN w:val="0"/>
      <w:ind w:firstLine="480"/>
    </w:pPr>
    <w:rPr>
      <w:kern w:val="0"/>
    </w:rPr>
  </w:style>
  <w:style w:type="paragraph" w:customStyle="1" w:styleId="142">
    <w:name w:val="...表格标题"/>
    <w:autoRedefine/>
    <w:qFormat/>
    <w:uiPriority w:val="0"/>
    <w:pPr>
      <w:spacing w:line="480" w:lineRule="exact"/>
      <w:jc w:val="center"/>
    </w:pPr>
    <w:rPr>
      <w:rFonts w:ascii="Times New Roman" w:hAnsi="Times New Roman" w:eastAsia="黑体" w:cs="Times New Roman"/>
      <w:kern w:val="2"/>
      <w:sz w:val="24"/>
      <w:szCs w:val="24"/>
      <w:lang w:val="en-US" w:eastAsia="zh-CN" w:bidi="ar-SA"/>
    </w:rPr>
  </w:style>
  <w:style w:type="paragraph" w:customStyle="1" w:styleId="143">
    <w:name w:val="Char3 Char Char Char Char Char Char"/>
    <w:basedOn w:val="1"/>
    <w:autoRedefine/>
    <w:qFormat/>
    <w:uiPriority w:val="0"/>
    <w:rPr>
      <w:snapToGrid w:val="0"/>
      <w:kern w:val="0"/>
    </w:rPr>
  </w:style>
  <w:style w:type="paragraph" w:customStyle="1" w:styleId="144">
    <w:name w:val="真宗兴正文"/>
    <w:basedOn w:val="1"/>
    <w:autoRedefine/>
    <w:qFormat/>
    <w:uiPriority w:val="0"/>
    <w:rPr>
      <w:rFonts w:ascii="宋体"/>
    </w:rPr>
  </w:style>
  <w:style w:type="character" w:customStyle="1" w:styleId="145">
    <w:name w:val="纯文本 Char1"/>
    <w:basedOn w:val="45"/>
    <w:autoRedefine/>
    <w:qFormat/>
    <w:uiPriority w:val="0"/>
    <w:rPr>
      <w:rFonts w:ascii="宋体" w:hAnsi="Courier New" w:cs="Courier New"/>
      <w:kern w:val="2"/>
      <w:sz w:val="21"/>
      <w:szCs w:val="21"/>
    </w:rPr>
  </w:style>
  <w:style w:type="paragraph" w:customStyle="1" w:styleId="146">
    <w:name w:val="说明书正文"/>
    <w:basedOn w:val="1"/>
    <w:autoRedefine/>
    <w:qFormat/>
    <w:uiPriority w:val="0"/>
    <w:pPr>
      <w:spacing w:line="480" w:lineRule="exact"/>
      <w:ind w:firstLine="600"/>
    </w:pPr>
    <w:rPr>
      <w:rFonts w:eastAsia="仿宋_GB2312"/>
      <w:color w:val="000000"/>
      <w:sz w:val="30"/>
    </w:rPr>
  </w:style>
  <w:style w:type="character" w:customStyle="1" w:styleId="147">
    <w:name w:val="表格（5号） Char"/>
    <w:link w:val="148"/>
    <w:autoRedefine/>
    <w:qFormat/>
    <w:uiPriority w:val="0"/>
    <w:rPr>
      <w:rFonts w:ascii="宋体" w:hAnsi="宋体" w:cs="宋体"/>
      <w:snapToGrid w:val="0"/>
      <w:sz w:val="21"/>
      <w:szCs w:val="18"/>
      <w:lang w:val="en-US" w:eastAsia="zh-CN" w:bidi="ar-SA"/>
    </w:rPr>
  </w:style>
  <w:style w:type="paragraph" w:customStyle="1" w:styleId="148">
    <w:name w:val="表格（5号）"/>
    <w:link w:val="147"/>
    <w:autoRedefine/>
    <w:qFormat/>
    <w:uiPriority w:val="0"/>
    <w:pPr>
      <w:spacing w:line="360" w:lineRule="exact"/>
      <w:jc w:val="center"/>
    </w:pPr>
    <w:rPr>
      <w:rFonts w:ascii="宋体" w:hAnsi="宋体" w:eastAsia="宋体" w:cs="宋体"/>
      <w:snapToGrid w:val="0"/>
      <w:sz w:val="21"/>
      <w:szCs w:val="18"/>
      <w:lang w:val="en-US" w:eastAsia="zh-CN" w:bidi="ar-SA"/>
    </w:rPr>
  </w:style>
  <w:style w:type="paragraph" w:customStyle="1" w:styleId="149">
    <w:name w:val="九晟正文"/>
    <w:basedOn w:val="1"/>
    <w:autoRedefine/>
    <w:qFormat/>
    <w:uiPriority w:val="0"/>
    <w:pPr>
      <w:ind w:firstLine="480"/>
      <w:jc w:val="left"/>
    </w:pPr>
  </w:style>
  <w:style w:type="character" w:customStyle="1" w:styleId="150">
    <w:name w:val="我的正文 Char"/>
    <w:link w:val="151"/>
    <w:autoRedefine/>
    <w:qFormat/>
    <w:uiPriority w:val="0"/>
    <w:rPr>
      <w:sz w:val="24"/>
      <w:szCs w:val="24"/>
      <w:lang w:val="zh-CN"/>
    </w:rPr>
  </w:style>
  <w:style w:type="paragraph" w:customStyle="1" w:styleId="151">
    <w:name w:val="我的正文"/>
    <w:basedOn w:val="1"/>
    <w:link w:val="150"/>
    <w:autoRedefine/>
    <w:qFormat/>
    <w:uiPriority w:val="0"/>
    <w:pPr>
      <w:ind w:firstLine="200"/>
    </w:pPr>
    <w:rPr>
      <w:kern w:val="0"/>
      <w:lang w:val="zh-CN"/>
    </w:rPr>
  </w:style>
  <w:style w:type="character" w:customStyle="1" w:styleId="152">
    <w:name w:val="图标标题卢仁杰 Char"/>
    <w:link w:val="153"/>
    <w:autoRedefine/>
    <w:qFormat/>
    <w:uiPriority w:val="0"/>
    <w:rPr>
      <w:b/>
      <w:sz w:val="24"/>
      <w:szCs w:val="28"/>
    </w:rPr>
  </w:style>
  <w:style w:type="paragraph" w:customStyle="1" w:styleId="153">
    <w:name w:val="图标标题卢仁杰"/>
    <w:basedOn w:val="1"/>
    <w:link w:val="152"/>
    <w:autoRedefine/>
    <w:qFormat/>
    <w:uiPriority w:val="0"/>
    <w:pPr>
      <w:adjustRightInd w:val="0"/>
      <w:snapToGrid w:val="0"/>
      <w:jc w:val="center"/>
    </w:pPr>
    <w:rPr>
      <w:b/>
      <w:kern w:val="0"/>
      <w:szCs w:val="28"/>
    </w:rPr>
  </w:style>
  <w:style w:type="paragraph" w:customStyle="1" w:styleId="154">
    <w:name w:val="鑫裕表文字"/>
    <w:basedOn w:val="1"/>
    <w:autoRedefine/>
    <w:qFormat/>
    <w:uiPriority w:val="0"/>
    <w:pPr>
      <w:overflowPunct w:val="0"/>
      <w:autoSpaceDE w:val="0"/>
      <w:autoSpaceDN w:val="0"/>
      <w:adjustRightInd w:val="0"/>
      <w:spacing w:line="240" w:lineRule="atLeast"/>
      <w:jc w:val="center"/>
      <w:textAlignment w:val="baseline"/>
    </w:pPr>
    <w:rPr>
      <w:kern w:val="0"/>
      <w:szCs w:val="20"/>
    </w:rPr>
  </w:style>
  <w:style w:type="paragraph" w:customStyle="1" w:styleId="155">
    <w:name w:val="报告表标题1"/>
    <w:basedOn w:val="2"/>
    <w:autoRedefine/>
    <w:qFormat/>
    <w:uiPriority w:val="0"/>
    <w:pPr>
      <w:keepLines/>
      <w:snapToGrid/>
      <w:spacing w:line="240" w:lineRule="auto"/>
    </w:pPr>
    <w:rPr>
      <w:color w:val="auto"/>
      <w:kern w:val="32"/>
    </w:rPr>
  </w:style>
  <w:style w:type="paragraph" w:customStyle="1" w:styleId="156">
    <w:name w:val="样式 正文文本缩进 + 行距: 1.5 倍行距"/>
    <w:basedOn w:val="20"/>
    <w:autoRedefine/>
    <w:qFormat/>
    <w:uiPriority w:val="0"/>
    <w:pPr>
      <w:ind w:left="90" w:leftChars="32" w:firstLine="560"/>
    </w:pPr>
    <w:rPr>
      <w:rFonts w:cs="宋体"/>
    </w:rPr>
  </w:style>
  <w:style w:type="character" w:customStyle="1" w:styleId="157">
    <w:name w:val="font11"/>
    <w:autoRedefine/>
    <w:qFormat/>
    <w:uiPriority w:val="0"/>
    <w:rPr>
      <w:rFonts w:hint="default" w:ascii="等线" w:hAnsi="等线" w:eastAsia="等线" w:cs="等线"/>
      <w:color w:val="000000"/>
      <w:sz w:val="22"/>
      <w:szCs w:val="22"/>
      <w:u w:val="none"/>
    </w:rPr>
  </w:style>
  <w:style w:type="character" w:customStyle="1" w:styleId="158">
    <w:name w:val="font112"/>
    <w:autoRedefine/>
    <w:qFormat/>
    <w:uiPriority w:val="0"/>
    <w:rPr>
      <w:rFonts w:hint="eastAsia" w:ascii="宋体" w:hAnsi="宋体" w:eastAsia="宋体" w:cs="宋体"/>
      <w:color w:val="000000"/>
      <w:sz w:val="18"/>
      <w:szCs w:val="18"/>
      <w:u w:val="none"/>
    </w:rPr>
  </w:style>
  <w:style w:type="character" w:customStyle="1" w:styleId="159">
    <w:name w:val="font31"/>
    <w:autoRedefine/>
    <w:qFormat/>
    <w:uiPriority w:val="0"/>
    <w:rPr>
      <w:rFonts w:hint="default" w:ascii="Times New Roman" w:hAnsi="Times New Roman" w:cs="Times New Roman"/>
      <w:color w:val="000000"/>
      <w:sz w:val="21"/>
      <w:szCs w:val="21"/>
      <w:u w:val="none"/>
    </w:rPr>
  </w:style>
  <w:style w:type="character" w:customStyle="1" w:styleId="160">
    <w:name w:val="font121"/>
    <w:autoRedefine/>
    <w:qFormat/>
    <w:uiPriority w:val="0"/>
    <w:rPr>
      <w:rFonts w:hint="default" w:ascii="Times New Roman" w:hAnsi="Times New Roman" w:cs="Times New Roman"/>
      <w:color w:val="000000"/>
      <w:sz w:val="18"/>
      <w:szCs w:val="18"/>
      <w:u w:val="none"/>
    </w:rPr>
  </w:style>
  <w:style w:type="character" w:customStyle="1" w:styleId="161">
    <w:name w:val="font61"/>
    <w:autoRedefine/>
    <w:qFormat/>
    <w:uiPriority w:val="0"/>
    <w:rPr>
      <w:rFonts w:hint="eastAsia" w:ascii="宋体" w:hAnsi="宋体" w:eastAsia="宋体" w:cs="宋体"/>
      <w:color w:val="000000"/>
      <w:sz w:val="24"/>
      <w:szCs w:val="24"/>
      <w:u w:val="none"/>
    </w:rPr>
  </w:style>
  <w:style w:type="character" w:customStyle="1" w:styleId="162">
    <w:name w:val="font21"/>
    <w:autoRedefine/>
    <w:qFormat/>
    <w:uiPriority w:val="0"/>
    <w:rPr>
      <w:rFonts w:hint="eastAsia" w:ascii="宋体" w:hAnsi="宋体" w:eastAsia="宋体" w:cs="宋体"/>
      <w:color w:val="000000"/>
      <w:sz w:val="21"/>
      <w:szCs w:val="21"/>
      <w:u w:val="none"/>
    </w:rPr>
  </w:style>
  <w:style w:type="character" w:customStyle="1" w:styleId="163">
    <w:name w:val="font41"/>
    <w:autoRedefine/>
    <w:qFormat/>
    <w:uiPriority w:val="0"/>
    <w:rPr>
      <w:rFonts w:hint="eastAsia" w:ascii="宋体" w:hAnsi="宋体" w:eastAsia="宋体" w:cs="宋体"/>
      <w:color w:val="000000"/>
      <w:sz w:val="22"/>
      <w:szCs w:val="22"/>
      <w:u w:val="none"/>
    </w:rPr>
  </w:style>
  <w:style w:type="paragraph" w:customStyle="1" w:styleId="164">
    <w:name w:val="表格正文"/>
    <w:basedOn w:val="1"/>
    <w:autoRedefine/>
    <w:qFormat/>
    <w:uiPriority w:val="0"/>
    <w:pPr>
      <w:spacing w:afterLines="10" w:line="380" w:lineRule="exact"/>
      <w:jc w:val="center"/>
    </w:pPr>
    <w:rPr>
      <w:b/>
      <w:color w:val="000000"/>
    </w:rPr>
  </w:style>
  <w:style w:type="paragraph" w:customStyle="1" w:styleId="165">
    <w:name w:val="报告书正文"/>
    <w:basedOn w:val="1"/>
    <w:autoRedefine/>
    <w:qFormat/>
    <w:uiPriority w:val="0"/>
    <w:pPr>
      <w:ind w:firstLine="480"/>
    </w:pPr>
  </w:style>
  <w:style w:type="paragraph" w:customStyle="1" w:styleId="166">
    <w:name w:val="表格文字2"/>
    <w:basedOn w:val="1"/>
    <w:autoRedefine/>
    <w:qFormat/>
    <w:uiPriority w:val="0"/>
    <w:pPr>
      <w:tabs>
        <w:tab w:val="left" w:pos="277"/>
        <w:tab w:val="left" w:pos="600"/>
        <w:tab w:val="left" w:pos="780"/>
        <w:tab w:val="left" w:pos="2517"/>
      </w:tabs>
      <w:adjustRightInd w:val="0"/>
      <w:spacing w:before="60" w:line="240" w:lineRule="exact"/>
      <w:jc w:val="center"/>
      <w:textAlignment w:val="baseline"/>
    </w:pPr>
    <w:rPr>
      <w:rFonts w:cs="宋体"/>
      <w:kern w:val="0"/>
      <w:szCs w:val="21"/>
    </w:rPr>
  </w:style>
  <w:style w:type="paragraph" w:customStyle="1" w:styleId="167">
    <w:name w:val="卓龙正文"/>
    <w:basedOn w:val="1"/>
    <w:autoRedefine/>
    <w:qFormat/>
    <w:uiPriority w:val="0"/>
    <w:pPr>
      <w:ind w:firstLine="200"/>
    </w:pPr>
  </w:style>
  <w:style w:type="paragraph" w:customStyle="1" w:styleId="168">
    <w:name w:val="标准正文"/>
    <w:basedOn w:val="1"/>
    <w:link w:val="169"/>
    <w:autoRedefine/>
    <w:qFormat/>
    <w:uiPriority w:val="0"/>
    <w:pPr>
      <w:widowControl/>
      <w:ind w:firstLine="200"/>
    </w:pPr>
  </w:style>
  <w:style w:type="character" w:customStyle="1" w:styleId="169">
    <w:name w:val="标准正文 Char"/>
    <w:link w:val="168"/>
    <w:autoRedefine/>
    <w:qFormat/>
    <w:uiPriority w:val="0"/>
    <w:rPr>
      <w:kern w:val="2"/>
      <w:sz w:val="24"/>
      <w:szCs w:val="24"/>
    </w:rPr>
  </w:style>
  <w:style w:type="paragraph" w:customStyle="1" w:styleId="170">
    <w:name w:val="正文样式1"/>
    <w:basedOn w:val="1"/>
    <w:autoRedefine/>
    <w:qFormat/>
    <w:uiPriority w:val="0"/>
    <w:pPr>
      <w:adjustRightInd w:val="0"/>
      <w:ind w:firstLine="480"/>
      <w:textAlignment w:val="baseline"/>
    </w:pPr>
    <w:rPr>
      <w:color w:val="000000"/>
      <w:kern w:val="0"/>
    </w:rPr>
  </w:style>
  <w:style w:type="paragraph" w:customStyle="1" w:styleId="171">
    <w:name w:val="样式 行距: 固定值 24 磅 首行缩进:  2 字符"/>
    <w:basedOn w:val="1"/>
    <w:autoRedefine/>
    <w:qFormat/>
    <w:uiPriority w:val="99"/>
    <w:pPr>
      <w:spacing w:line="480" w:lineRule="exact"/>
      <w:ind w:firstLine="480"/>
    </w:pPr>
    <w:rPr>
      <w:rFonts w:cs="宋体"/>
    </w:rPr>
  </w:style>
  <w:style w:type="paragraph" w:customStyle="1" w:styleId="172">
    <w:name w:val="正文-2"/>
    <w:autoRedefine/>
    <w:qFormat/>
    <w:uiPriority w:val="0"/>
    <w:pPr>
      <w:widowControl w:val="0"/>
      <w:spacing w:line="440" w:lineRule="exact"/>
      <w:ind w:firstLine="480" w:firstLineChars="200"/>
      <w:jc w:val="both"/>
    </w:pPr>
    <w:rPr>
      <w:rFonts w:ascii="Times New Roman" w:hAnsi="Times New Roman" w:eastAsia="Times New Roman" w:cs="Times New Roman"/>
      <w:color w:val="000000"/>
      <w:kern w:val="2"/>
      <w:sz w:val="24"/>
      <w:szCs w:val="24"/>
      <w:lang w:val="en-US" w:eastAsia="zh-CN" w:bidi="ar-SA"/>
    </w:rPr>
  </w:style>
  <w:style w:type="table" w:customStyle="1" w:styleId="173">
    <w:name w:val="Table Normal"/>
    <w:autoRedefine/>
    <w:unhideWhenUsed/>
    <w:qFormat/>
    <w:uiPriority w:val="0"/>
    <w:tblPr>
      <w:tblCellMar>
        <w:top w:w="0" w:type="dxa"/>
        <w:left w:w="0" w:type="dxa"/>
        <w:bottom w:w="0" w:type="dxa"/>
        <w:right w:w="0" w:type="dxa"/>
      </w:tblCellMar>
    </w:tblPr>
  </w:style>
  <w:style w:type="paragraph" w:customStyle="1" w:styleId="174">
    <w:name w:val="1表格"/>
    <w:basedOn w:val="1"/>
    <w:autoRedefine/>
    <w:qFormat/>
    <w:uiPriority w:val="0"/>
    <w:pPr>
      <w:snapToGrid w:val="0"/>
      <w:spacing w:line="160" w:lineRule="atLeast"/>
      <w:jc w:val="center"/>
    </w:pPr>
    <w:rPr>
      <w:rFonts w:eastAsia="仿宋_GB2312"/>
    </w:rPr>
  </w:style>
  <w:style w:type="paragraph" w:customStyle="1" w:styleId="175">
    <w:name w:val="1文章"/>
    <w:basedOn w:val="1"/>
    <w:autoRedefine/>
    <w:qFormat/>
    <w:uiPriority w:val="0"/>
    <w:pPr>
      <w:snapToGrid w:val="0"/>
      <w:ind w:firstLine="573"/>
    </w:pPr>
    <w:rPr>
      <w:rFonts w:eastAsia="仿宋_GB2312"/>
      <w:sz w:val="28"/>
    </w:rPr>
  </w:style>
  <w:style w:type="character" w:customStyle="1" w:styleId="176">
    <w:name w:val="样式 (符号) 宋体 小四 行距: 1.5 倍行距 Char"/>
    <w:link w:val="177"/>
    <w:autoRedefine/>
    <w:qFormat/>
    <w:uiPriority w:val="0"/>
    <w:rPr>
      <w:rFonts w:hAnsi="宋体" w:cs="宋体"/>
      <w:kern w:val="2"/>
      <w:sz w:val="24"/>
    </w:rPr>
  </w:style>
  <w:style w:type="paragraph" w:customStyle="1" w:styleId="177">
    <w:name w:val="样式 (符号) 宋体 小四 行距: 1.5 倍行距"/>
    <w:basedOn w:val="1"/>
    <w:link w:val="176"/>
    <w:autoRedefine/>
    <w:qFormat/>
    <w:uiPriority w:val="0"/>
    <w:pPr>
      <w:ind w:firstLine="480"/>
    </w:pPr>
    <w:rPr>
      <w:rFonts w:hAnsi="宋体"/>
      <w:szCs w:val="20"/>
    </w:rPr>
  </w:style>
  <w:style w:type="paragraph" w:customStyle="1" w:styleId="178">
    <w:name w:val="Char3 Char Char Char Char Char Char1"/>
    <w:basedOn w:val="1"/>
    <w:autoRedefine/>
    <w:qFormat/>
    <w:uiPriority w:val="0"/>
    <w:rPr>
      <w:snapToGrid w:val="0"/>
      <w:kern w:val="0"/>
    </w:rPr>
  </w:style>
  <w:style w:type="character" w:customStyle="1" w:styleId="179">
    <w:name w:val="font01"/>
    <w:autoRedefine/>
    <w:qFormat/>
    <w:uiPriority w:val="0"/>
    <w:rPr>
      <w:rFonts w:hint="eastAsia" w:ascii="宋体" w:hAnsi="宋体" w:eastAsia="宋体" w:cs="宋体"/>
      <w:color w:val="000000"/>
      <w:sz w:val="22"/>
      <w:szCs w:val="22"/>
      <w:u w:val="none"/>
    </w:rPr>
  </w:style>
  <w:style w:type="character" w:customStyle="1" w:styleId="180">
    <w:name w:val="附录名称 Char"/>
    <w:link w:val="181"/>
    <w:autoRedefine/>
    <w:qFormat/>
    <w:uiPriority w:val="0"/>
    <w:rPr>
      <w:rFonts w:ascii="黑体" w:hAnsi="黑体" w:eastAsia="黑体"/>
      <w:lang w:val="zh-CN"/>
    </w:rPr>
  </w:style>
  <w:style w:type="paragraph" w:customStyle="1" w:styleId="181">
    <w:name w:val="附录名称"/>
    <w:basedOn w:val="32"/>
    <w:link w:val="180"/>
    <w:autoRedefine/>
    <w:qFormat/>
    <w:uiPriority w:val="0"/>
    <w:pPr>
      <w:snapToGrid/>
      <w:spacing w:line="240" w:lineRule="auto"/>
      <w:ind w:firstLine="0"/>
      <w:jc w:val="center"/>
    </w:pPr>
    <w:rPr>
      <w:rFonts w:ascii="黑体" w:hAnsi="黑体" w:eastAsia="黑体"/>
      <w:kern w:val="0"/>
      <w:sz w:val="20"/>
      <w:szCs w:val="20"/>
      <w:lang w:val="zh-CN"/>
    </w:rPr>
  </w:style>
  <w:style w:type="character" w:customStyle="1" w:styleId="182">
    <w:name w:val="正文首行缩进2 Char Char"/>
    <w:link w:val="183"/>
    <w:autoRedefine/>
    <w:qFormat/>
    <w:uiPriority w:val="0"/>
    <w:rPr>
      <w:rFonts w:ascii="宋体"/>
      <w:sz w:val="24"/>
      <w:szCs w:val="24"/>
    </w:rPr>
  </w:style>
  <w:style w:type="paragraph" w:customStyle="1" w:styleId="183">
    <w:name w:val="正文首行缩进2"/>
    <w:basedOn w:val="1"/>
    <w:link w:val="182"/>
    <w:autoRedefine/>
    <w:qFormat/>
    <w:uiPriority w:val="0"/>
    <w:pPr>
      <w:tabs>
        <w:tab w:val="left" w:pos="0"/>
        <w:tab w:val="left" w:pos="870"/>
        <w:tab w:val="left" w:pos="3150"/>
      </w:tabs>
      <w:autoSpaceDE w:val="0"/>
      <w:autoSpaceDN w:val="0"/>
      <w:ind w:firstLine="200"/>
      <w:jc w:val="left"/>
    </w:pPr>
    <w:rPr>
      <w:rFonts w:ascii="宋体"/>
      <w:kern w:val="0"/>
    </w:rPr>
  </w:style>
  <w:style w:type="character" w:customStyle="1" w:styleId="184">
    <w:name w:val="content1"/>
    <w:autoRedefine/>
    <w:qFormat/>
    <w:uiPriority w:val="0"/>
    <w:rPr>
      <w:color w:val="000000"/>
      <w:sz w:val="20"/>
      <w:szCs w:val="20"/>
    </w:rPr>
  </w:style>
  <w:style w:type="character" w:customStyle="1" w:styleId="185">
    <w:name w:val="apple-style-span"/>
    <w:autoRedefine/>
    <w:qFormat/>
    <w:uiPriority w:val="0"/>
    <w:rPr>
      <w:szCs w:val="20"/>
    </w:rPr>
  </w:style>
  <w:style w:type="character" w:customStyle="1" w:styleId="186">
    <w:name w:val="表文 Char"/>
    <w:link w:val="187"/>
    <w:autoRedefine/>
    <w:qFormat/>
    <w:locked/>
    <w:uiPriority w:val="0"/>
    <w:rPr>
      <w:color w:val="000000"/>
      <w:szCs w:val="21"/>
    </w:rPr>
  </w:style>
  <w:style w:type="paragraph" w:customStyle="1" w:styleId="187">
    <w:name w:val="表文"/>
    <w:basedOn w:val="1"/>
    <w:link w:val="186"/>
    <w:autoRedefine/>
    <w:qFormat/>
    <w:uiPriority w:val="0"/>
    <w:pPr>
      <w:tabs>
        <w:tab w:val="left" w:pos="1021"/>
      </w:tabs>
      <w:jc w:val="center"/>
    </w:pPr>
    <w:rPr>
      <w:color w:val="000000"/>
      <w:kern w:val="0"/>
      <w:sz w:val="20"/>
      <w:szCs w:val="21"/>
    </w:rPr>
  </w:style>
  <w:style w:type="character" w:customStyle="1" w:styleId="188">
    <w:name w:val="段落 Char"/>
    <w:link w:val="189"/>
    <w:autoRedefine/>
    <w:qFormat/>
    <w:uiPriority w:val="0"/>
    <w:rPr>
      <w:rFonts w:ascii="宋体" w:hAnsi="ˎ̥"/>
      <w:color w:val="000000"/>
      <w:kern w:val="24"/>
      <w:position w:val="-40"/>
      <w:sz w:val="24"/>
      <w:szCs w:val="24"/>
    </w:rPr>
  </w:style>
  <w:style w:type="paragraph" w:customStyle="1" w:styleId="189">
    <w:name w:val="段落"/>
    <w:basedOn w:val="1"/>
    <w:link w:val="188"/>
    <w:autoRedefine/>
    <w:qFormat/>
    <w:uiPriority w:val="0"/>
    <w:pPr>
      <w:tabs>
        <w:tab w:val="left" w:pos="1021"/>
      </w:tabs>
      <w:ind w:firstLine="504"/>
    </w:pPr>
    <w:rPr>
      <w:rFonts w:ascii="宋体" w:hAnsi="ˎ̥"/>
      <w:color w:val="000000"/>
      <w:kern w:val="24"/>
      <w:position w:val="-40"/>
    </w:rPr>
  </w:style>
  <w:style w:type="character" w:customStyle="1" w:styleId="190">
    <w:name w:val="中气表头 Char"/>
    <w:link w:val="191"/>
    <w:autoRedefine/>
    <w:qFormat/>
    <w:uiPriority w:val="0"/>
    <w:rPr>
      <w:rFonts w:eastAsia="黑体"/>
      <w:b/>
      <w:szCs w:val="21"/>
    </w:rPr>
  </w:style>
  <w:style w:type="paragraph" w:customStyle="1" w:styleId="191">
    <w:name w:val="中气表头"/>
    <w:basedOn w:val="1"/>
    <w:link w:val="190"/>
    <w:autoRedefine/>
    <w:qFormat/>
    <w:uiPriority w:val="0"/>
    <w:pPr>
      <w:jc w:val="center"/>
    </w:pPr>
    <w:rPr>
      <w:rFonts w:eastAsia="黑体"/>
      <w:b/>
      <w:kern w:val="0"/>
      <w:sz w:val="20"/>
      <w:szCs w:val="21"/>
    </w:rPr>
  </w:style>
  <w:style w:type="character" w:customStyle="1" w:styleId="192">
    <w:name w:val="章 Char Char1"/>
    <w:autoRedefine/>
    <w:qFormat/>
    <w:uiPriority w:val="0"/>
    <w:rPr>
      <w:rFonts w:ascii="Calibri" w:hAnsi="Calibri" w:eastAsia="黑体" w:cs="Calibri"/>
      <w:kern w:val="44"/>
      <w:sz w:val="44"/>
      <w:szCs w:val="44"/>
    </w:rPr>
  </w:style>
  <w:style w:type="character" w:customStyle="1" w:styleId="193">
    <w:name w:val="列表(L) Char"/>
    <w:link w:val="194"/>
    <w:autoRedefine/>
    <w:qFormat/>
    <w:uiPriority w:val="0"/>
    <w:rPr>
      <w:rFonts w:cs="宋体"/>
    </w:rPr>
  </w:style>
  <w:style w:type="paragraph" w:customStyle="1" w:styleId="194">
    <w:name w:val="列表(L)"/>
    <w:basedOn w:val="37"/>
    <w:link w:val="193"/>
    <w:autoRedefine/>
    <w:qFormat/>
    <w:uiPriority w:val="0"/>
    <w:pPr>
      <w:overflowPunct/>
      <w:autoSpaceDE/>
      <w:autoSpaceDN/>
      <w:snapToGrid w:val="0"/>
      <w:spacing w:line="240" w:lineRule="auto"/>
      <w:jc w:val="both"/>
      <w:textAlignment w:val="auto"/>
    </w:pPr>
    <w:rPr>
      <w:sz w:val="20"/>
    </w:rPr>
  </w:style>
  <w:style w:type="character" w:customStyle="1" w:styleId="195">
    <w:name w:val="text1"/>
    <w:autoRedefine/>
    <w:qFormat/>
    <w:uiPriority w:val="0"/>
    <w:rPr>
      <w:rFonts w:hint="default" w:ascii="ˎ̥" w:hAnsi="ˎ̥"/>
      <w:color w:val="000000"/>
      <w:sz w:val="16"/>
      <w:szCs w:val="16"/>
      <w:u w:val="none"/>
    </w:rPr>
  </w:style>
  <w:style w:type="character" w:customStyle="1" w:styleId="196">
    <w:name w:val="表格五号字 Char"/>
    <w:link w:val="197"/>
    <w:autoRedefine/>
    <w:qFormat/>
    <w:uiPriority w:val="0"/>
    <w:rPr>
      <w:rFonts w:eastAsia="仿宋_GB2312"/>
      <w:szCs w:val="24"/>
    </w:rPr>
  </w:style>
  <w:style w:type="paragraph" w:customStyle="1" w:styleId="197">
    <w:name w:val="表格五号字"/>
    <w:basedOn w:val="1"/>
    <w:link w:val="196"/>
    <w:autoRedefine/>
    <w:qFormat/>
    <w:uiPriority w:val="0"/>
    <w:pPr>
      <w:adjustRightInd w:val="0"/>
      <w:snapToGrid w:val="0"/>
      <w:jc w:val="center"/>
    </w:pPr>
    <w:rPr>
      <w:rFonts w:eastAsia="仿宋_GB2312"/>
      <w:kern w:val="0"/>
      <w:sz w:val="20"/>
    </w:rPr>
  </w:style>
  <w:style w:type="character" w:customStyle="1" w:styleId="198">
    <w:name w:val="正文01 Char"/>
    <w:link w:val="199"/>
    <w:autoRedefine/>
    <w:qFormat/>
    <w:uiPriority w:val="0"/>
    <w:rPr>
      <w:rFonts w:ascii="宋体" w:hAnsi="宋体"/>
      <w:sz w:val="24"/>
      <w:szCs w:val="28"/>
    </w:rPr>
  </w:style>
  <w:style w:type="paragraph" w:customStyle="1" w:styleId="199">
    <w:name w:val="正文01"/>
    <w:basedOn w:val="1"/>
    <w:link w:val="198"/>
    <w:autoRedefine/>
    <w:qFormat/>
    <w:uiPriority w:val="0"/>
    <w:pPr>
      <w:adjustRightInd w:val="0"/>
      <w:spacing w:line="520" w:lineRule="exact"/>
      <w:ind w:firstLine="480"/>
      <w:textAlignment w:val="baseline"/>
    </w:pPr>
    <w:rPr>
      <w:rFonts w:ascii="宋体" w:hAnsi="宋体"/>
      <w:kern w:val="0"/>
      <w:szCs w:val="28"/>
    </w:rPr>
  </w:style>
  <w:style w:type="character" w:customStyle="1" w:styleId="200">
    <w:name w:val="apple-converted-space"/>
    <w:autoRedefine/>
    <w:qFormat/>
    <w:uiPriority w:val="0"/>
    <w:rPr>
      <w:szCs w:val="20"/>
    </w:rPr>
  </w:style>
  <w:style w:type="character" w:customStyle="1" w:styleId="201">
    <w:name w:val="postbody1"/>
    <w:autoRedefine/>
    <w:qFormat/>
    <w:uiPriority w:val="0"/>
    <w:rPr>
      <w:sz w:val="21"/>
      <w:szCs w:val="21"/>
    </w:rPr>
  </w:style>
  <w:style w:type="character" w:customStyle="1" w:styleId="202">
    <w:name w:val="条 Char1"/>
    <w:autoRedefine/>
    <w:qFormat/>
    <w:uiPriority w:val="0"/>
    <w:rPr>
      <w:rFonts w:ascii="Calibri" w:hAnsi="Calibri" w:eastAsia="宋体" w:cs="Calibri"/>
      <w:sz w:val="32"/>
      <w:szCs w:val="32"/>
    </w:rPr>
  </w:style>
  <w:style w:type="paragraph" w:customStyle="1" w:styleId="203">
    <w:name w:val="Body Text 22"/>
    <w:autoRedefine/>
    <w:qFormat/>
    <w:uiPriority w:val="0"/>
    <w:pPr>
      <w:widowControl w:val="0"/>
      <w:adjustRightInd w:val="0"/>
      <w:spacing w:line="440" w:lineRule="atLeast"/>
      <w:ind w:firstLine="480"/>
      <w:jc w:val="both"/>
      <w:textAlignment w:val="baseline"/>
    </w:pPr>
    <w:rPr>
      <w:rFonts w:ascii="Calibri" w:hAnsi="Calibri" w:eastAsia="仿宋_GB2312" w:cs="Times New Roman"/>
      <w:kern w:val="2"/>
      <w:sz w:val="24"/>
      <w:lang w:val="en-US" w:eastAsia="zh-CN" w:bidi="ar-SA"/>
    </w:rPr>
  </w:style>
  <w:style w:type="paragraph" w:customStyle="1" w:styleId="204">
    <w:name w:val="cardlist-name"/>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05">
    <w:name w:val="表格居中2"/>
    <w:basedOn w:val="1"/>
    <w:next w:val="1"/>
    <w:autoRedefine/>
    <w:qFormat/>
    <w:uiPriority w:val="0"/>
    <w:pPr>
      <w:snapToGrid w:val="0"/>
      <w:jc w:val="center"/>
    </w:pPr>
    <w:rPr>
      <w:rFonts w:ascii="宋体" w:hAnsi="宋体"/>
      <w:spacing w:val="2"/>
      <w:szCs w:val="20"/>
    </w:rPr>
  </w:style>
  <w:style w:type="paragraph" w:customStyle="1" w:styleId="206">
    <w:name w:val="样式1"/>
    <w:basedOn w:val="1"/>
    <w:autoRedefine/>
    <w:qFormat/>
    <w:uiPriority w:val="0"/>
    <w:pPr>
      <w:spacing w:after="40" w:line="300" w:lineRule="atLeast"/>
      <w:jc w:val="center"/>
      <w:outlineLvl w:val="2"/>
    </w:pPr>
    <w:rPr>
      <w:rFonts w:eastAsia="楷体_GB2312"/>
    </w:rPr>
  </w:style>
  <w:style w:type="paragraph" w:customStyle="1" w:styleId="207">
    <w:name w:val="Char5"/>
    <w:basedOn w:val="1"/>
    <w:autoRedefine/>
    <w:qFormat/>
    <w:uiPriority w:val="0"/>
    <w:pPr>
      <w:adjustRightInd w:val="0"/>
      <w:snapToGrid w:val="0"/>
      <w:ind w:firstLine="200"/>
    </w:pPr>
  </w:style>
  <w:style w:type="paragraph" w:customStyle="1" w:styleId="208">
    <w:name w:val="填表内容"/>
    <w:basedOn w:val="1"/>
    <w:autoRedefine/>
    <w:qFormat/>
    <w:uiPriority w:val="0"/>
    <w:pPr>
      <w:adjustRightInd w:val="0"/>
      <w:spacing w:line="480" w:lineRule="exact"/>
      <w:ind w:firstLine="560"/>
      <w:jc w:val="left"/>
      <w:textAlignment w:val="baseline"/>
    </w:pPr>
    <w:rPr>
      <w:rFonts w:ascii="楷体_GB2312" w:eastAsia="楷体_GB2312"/>
      <w:sz w:val="28"/>
      <w:szCs w:val="20"/>
    </w:rPr>
  </w:style>
  <w:style w:type="paragraph" w:customStyle="1" w:styleId="209">
    <w:name w:val="reader-word-layer"/>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10">
    <w:name w:val="Char Char Char 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211">
    <w:name w:val="Char"/>
    <w:basedOn w:val="1"/>
    <w:autoRedefine/>
    <w:qFormat/>
    <w:uiPriority w:val="0"/>
    <w:pPr>
      <w:snapToGrid w:val="0"/>
      <w:ind w:firstLine="529"/>
    </w:pPr>
    <w:rPr>
      <w:szCs w:val="20"/>
    </w:rPr>
  </w:style>
  <w:style w:type="paragraph" w:customStyle="1" w:styleId="212">
    <w:name w:val="Char Char Char Char1"/>
    <w:basedOn w:val="1"/>
    <w:autoRedefine/>
    <w:qFormat/>
    <w:uiPriority w:val="0"/>
  </w:style>
  <w:style w:type="paragraph" w:customStyle="1" w:styleId="213">
    <w:name w:val="报告表内中"/>
    <w:basedOn w:val="1"/>
    <w:autoRedefine/>
    <w:qFormat/>
    <w:uiPriority w:val="0"/>
    <w:pPr>
      <w:snapToGrid w:val="0"/>
      <w:spacing w:before="100" w:beforeAutospacing="1"/>
      <w:jc w:val="center"/>
    </w:pPr>
    <w:rPr>
      <w:rFonts w:ascii="宋体"/>
      <w:bCs/>
    </w:rPr>
  </w:style>
  <w:style w:type="paragraph" w:customStyle="1" w:styleId="214">
    <w:name w:val="Char1"/>
    <w:basedOn w:val="1"/>
    <w:autoRedefine/>
    <w:qFormat/>
    <w:uiPriority w:val="0"/>
    <w:pPr>
      <w:keepNext/>
      <w:keepLines/>
      <w:tabs>
        <w:tab w:val="left" w:pos="2160"/>
      </w:tabs>
      <w:adjustRightInd w:val="0"/>
      <w:snapToGrid w:val="0"/>
      <w:spacing w:before="120" w:after="120"/>
      <w:ind w:left="2160" w:hanging="420"/>
      <w:outlineLvl w:val="3"/>
    </w:pPr>
    <w:rPr>
      <w:rFonts w:ascii="Arial" w:hAnsi="Arial"/>
      <w:bCs/>
      <w:kern w:val="0"/>
      <w:sz w:val="28"/>
      <w:szCs w:val="21"/>
    </w:rPr>
  </w:style>
  <w:style w:type="paragraph" w:customStyle="1" w:styleId="215">
    <w:name w:val="表"/>
    <w:basedOn w:val="1"/>
    <w:autoRedefine/>
    <w:qFormat/>
    <w:uiPriority w:val="0"/>
    <w:pPr>
      <w:snapToGrid w:val="0"/>
      <w:jc w:val="center"/>
    </w:pPr>
    <w:rPr>
      <w:spacing w:val="2"/>
      <w:szCs w:val="20"/>
    </w:rPr>
  </w:style>
  <w:style w:type="paragraph" w:customStyle="1" w:styleId="216">
    <w:name w:val="环龙公司文本正文"/>
    <w:autoRedefine/>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217">
    <w:name w:val="Char Char Char Char Char Char"/>
    <w:basedOn w:val="1"/>
    <w:autoRedefine/>
    <w:qFormat/>
    <w:uiPriority w:val="0"/>
  </w:style>
  <w:style w:type="paragraph" w:customStyle="1" w:styleId="218">
    <w:name w:val="表格 23"/>
    <w:basedOn w:val="1"/>
    <w:autoRedefine/>
    <w:qFormat/>
    <w:uiPriority w:val="0"/>
    <w:pPr>
      <w:jc w:val="center"/>
    </w:pPr>
    <w:rPr>
      <w:szCs w:val="21"/>
    </w:rPr>
  </w:style>
  <w:style w:type="paragraph" w:customStyle="1" w:styleId="219">
    <w:name w:val="Char Char Char Char"/>
    <w:basedOn w:val="1"/>
    <w:autoRedefine/>
    <w:qFormat/>
    <w:uiPriority w:val="0"/>
    <w:pPr>
      <w:ind w:firstLine="200"/>
    </w:pPr>
    <w:rPr>
      <w:rFonts w:ascii="宋体" w:hAnsi="宋体" w:cs="宋体"/>
    </w:rPr>
  </w:style>
  <w:style w:type="paragraph" w:customStyle="1" w:styleId="220">
    <w:name w:val="报告正文"/>
    <w:basedOn w:val="1"/>
    <w:link w:val="221"/>
    <w:autoRedefine/>
    <w:qFormat/>
    <w:uiPriority w:val="0"/>
    <w:pPr>
      <w:adjustRightInd w:val="0"/>
      <w:snapToGrid w:val="0"/>
      <w:ind w:firstLine="200"/>
    </w:pPr>
    <w:rPr>
      <w:rFonts w:ascii="宋体"/>
      <w:szCs w:val="20"/>
    </w:rPr>
  </w:style>
  <w:style w:type="character" w:customStyle="1" w:styleId="221">
    <w:name w:val="报告正文 Char"/>
    <w:link w:val="220"/>
    <w:autoRedefine/>
    <w:qFormat/>
    <w:uiPriority w:val="0"/>
    <w:rPr>
      <w:rFonts w:ascii="宋体"/>
      <w:kern w:val="2"/>
      <w:sz w:val="24"/>
    </w:rPr>
  </w:style>
  <w:style w:type="paragraph" w:customStyle="1" w:styleId="222">
    <w:name w:val="罗英样式"/>
    <w:basedOn w:val="1"/>
    <w:autoRedefine/>
    <w:qFormat/>
    <w:uiPriority w:val="0"/>
    <w:pPr>
      <w:spacing w:line="500" w:lineRule="exact"/>
      <w:ind w:firstLine="200"/>
    </w:pPr>
    <w:rPr>
      <w:rFonts w:ascii="宋体" w:hAnsi="宋体"/>
    </w:rPr>
  </w:style>
  <w:style w:type="paragraph" w:customStyle="1" w:styleId="223">
    <w:name w:val="1"/>
    <w:autoRedefine/>
    <w:qFormat/>
    <w:uiPriority w:val="0"/>
    <w:pPr>
      <w:widowControl w:val="0"/>
      <w:spacing w:line="300" w:lineRule="auto"/>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224">
    <w:name w:val="样式2"/>
    <w:basedOn w:val="1"/>
    <w:autoRedefine/>
    <w:qFormat/>
    <w:uiPriority w:val="0"/>
    <w:pPr>
      <w:spacing w:line="500" w:lineRule="exact"/>
      <w:ind w:firstLine="480"/>
      <w:textAlignment w:val="baseline"/>
    </w:pPr>
    <w:rPr>
      <w:szCs w:val="20"/>
    </w:rPr>
  </w:style>
  <w:style w:type="paragraph" w:customStyle="1" w:styleId="225">
    <w:name w:val="样式 左侧:  0.85 厘米"/>
    <w:basedOn w:val="1"/>
    <w:autoRedefine/>
    <w:semiHidden/>
    <w:qFormat/>
    <w:uiPriority w:val="0"/>
    <w:pPr>
      <w:adjustRightInd w:val="0"/>
      <w:ind w:firstLine="480"/>
    </w:pPr>
    <w:rPr>
      <w:rFonts w:cs="宋体"/>
      <w:kern w:val="0"/>
    </w:rPr>
  </w:style>
  <w:style w:type="paragraph" w:customStyle="1" w:styleId="226">
    <w:name w:val="样式 首行缩进:  2 字符"/>
    <w:basedOn w:val="1"/>
    <w:autoRedefine/>
    <w:qFormat/>
    <w:uiPriority w:val="0"/>
    <w:pPr>
      <w:ind w:firstLine="420"/>
    </w:pPr>
    <w:rPr>
      <w:szCs w:val="20"/>
    </w:rPr>
  </w:style>
  <w:style w:type="paragraph" w:customStyle="1" w:styleId="227">
    <w:name w:val="xl26"/>
    <w:basedOn w:val="1"/>
    <w:autoRedefine/>
    <w:qFormat/>
    <w:uiPriority w:val="0"/>
    <w:pPr>
      <w:widowControl/>
      <w:spacing w:before="100" w:after="100"/>
      <w:jc w:val="center"/>
    </w:pPr>
    <w:rPr>
      <w:rFonts w:ascii="宋体"/>
      <w:color w:val="000000"/>
      <w:kern w:val="0"/>
      <w:szCs w:val="20"/>
    </w:rPr>
  </w:style>
  <w:style w:type="paragraph" w:customStyle="1" w:styleId="228">
    <w:name w:val="Char4 Char Char Char"/>
    <w:basedOn w:val="1"/>
    <w:autoRedefine/>
    <w:qFormat/>
    <w:uiPriority w:val="0"/>
    <w:rPr>
      <w:szCs w:val="20"/>
    </w:rPr>
  </w:style>
  <w:style w:type="paragraph" w:customStyle="1" w:styleId="229">
    <w:name w:val="Char Char Char Char Char Char Char Char Char Char Char Char Char Char Char Char Char Char"/>
    <w:basedOn w:val="1"/>
    <w:autoRedefine/>
    <w:qFormat/>
    <w:uiPriority w:val="0"/>
    <w:rPr>
      <w:sz w:val="20"/>
      <w:szCs w:val="20"/>
    </w:rPr>
  </w:style>
  <w:style w:type="paragraph" w:customStyle="1" w:styleId="230">
    <w:name w:val="p0"/>
    <w:basedOn w:val="1"/>
    <w:autoRedefine/>
    <w:qFormat/>
    <w:uiPriority w:val="0"/>
    <w:pPr>
      <w:widowControl/>
    </w:pPr>
    <w:rPr>
      <w:kern w:val="0"/>
    </w:rPr>
  </w:style>
  <w:style w:type="paragraph" w:customStyle="1" w:styleId="231">
    <w:name w:val="222表头"/>
    <w:basedOn w:val="1"/>
    <w:autoRedefine/>
    <w:qFormat/>
    <w:uiPriority w:val="0"/>
    <w:pPr>
      <w:jc w:val="center"/>
    </w:pPr>
    <w:rPr>
      <w:rFonts w:ascii="黑体" w:hAnsi="宋体" w:eastAsia="黑体"/>
      <w:sz w:val="22"/>
    </w:rPr>
  </w:style>
  <w:style w:type="paragraph" w:customStyle="1" w:styleId="232">
    <w:name w:val="永环图标标题格式"/>
    <w:basedOn w:val="1"/>
    <w:autoRedefine/>
    <w:qFormat/>
    <w:uiPriority w:val="0"/>
    <w:pPr>
      <w:spacing w:beforeLines="20" w:afterLines="20" w:line="560" w:lineRule="exact"/>
      <w:jc w:val="center"/>
    </w:pPr>
    <w:rPr>
      <w:rFonts w:eastAsia="黑体"/>
      <w:bCs/>
      <w:szCs w:val="20"/>
    </w:rPr>
  </w:style>
  <w:style w:type="paragraph" w:customStyle="1" w:styleId="233">
    <w:name w:val="Char Char Char Char Char Char1 Char Char Char Char Char Char Char Char Char Char Char Char Char Char Char Char"/>
    <w:basedOn w:val="1"/>
    <w:autoRedefine/>
    <w:qFormat/>
    <w:uiPriority w:val="0"/>
  </w:style>
  <w:style w:type="paragraph" w:customStyle="1" w:styleId="234">
    <w:name w:val="Char2"/>
    <w:basedOn w:val="1"/>
    <w:autoRedefine/>
    <w:qFormat/>
    <w:uiPriority w:val="0"/>
    <w:pPr>
      <w:ind w:firstLine="200"/>
    </w:pPr>
    <w:rPr>
      <w:rFonts w:ascii="宋体" w:hAnsi="宋体" w:cs="宋体"/>
    </w:rPr>
  </w:style>
  <w:style w:type="paragraph" w:customStyle="1" w:styleId="235">
    <w:name w:val="Char Char Char Char Char Char Char"/>
    <w:basedOn w:val="1"/>
    <w:autoRedefine/>
    <w:qFormat/>
    <w:uiPriority w:val="0"/>
    <w:rPr>
      <w:szCs w:val="20"/>
    </w:rPr>
  </w:style>
  <w:style w:type="paragraph" w:customStyle="1" w:styleId="236">
    <w:name w:val="默认段落字体 Para Char Char Char Char Char Char Char"/>
    <w:basedOn w:val="18"/>
    <w:autoRedefine/>
    <w:qFormat/>
    <w:uiPriority w:val="0"/>
    <w:pPr>
      <w:shd w:val="clear" w:color="auto" w:fill="000080"/>
      <w:adjustRightInd w:val="0"/>
      <w:spacing w:line="436" w:lineRule="exact"/>
      <w:ind w:left="357"/>
      <w:jc w:val="left"/>
      <w:outlineLvl w:val="3"/>
    </w:pPr>
    <w:rPr>
      <w:rFonts w:ascii="Tahoma" w:hAnsi="Tahoma"/>
      <w:b/>
      <w:kern w:val="0"/>
      <w:sz w:val="24"/>
      <w:szCs w:val="24"/>
    </w:rPr>
  </w:style>
  <w:style w:type="paragraph" w:customStyle="1" w:styleId="237">
    <w:name w:val="样式 文本正文 + 首行缩进:  2 字符"/>
    <w:basedOn w:val="238"/>
    <w:autoRedefine/>
    <w:qFormat/>
    <w:uiPriority w:val="0"/>
    <w:pPr>
      <w:spacing w:line="360" w:lineRule="auto"/>
    </w:pPr>
    <w:rPr>
      <w:rFonts w:cs="宋体"/>
      <w:szCs w:val="20"/>
    </w:rPr>
  </w:style>
  <w:style w:type="paragraph" w:customStyle="1" w:styleId="238">
    <w:name w:val="文本正文"/>
    <w:basedOn w:val="1"/>
    <w:autoRedefine/>
    <w:qFormat/>
    <w:uiPriority w:val="0"/>
    <w:pPr>
      <w:widowControl/>
      <w:adjustRightInd w:val="0"/>
      <w:snapToGrid w:val="0"/>
      <w:spacing w:line="520" w:lineRule="exact"/>
      <w:ind w:firstLine="200"/>
    </w:pPr>
    <w:rPr>
      <w:rFonts w:ascii="Calibri" w:hAnsi="Calibri" w:cs="黑体"/>
    </w:rPr>
  </w:style>
  <w:style w:type="paragraph" w:customStyle="1" w:styleId="239">
    <w:name w:val="小节"/>
    <w:autoRedefine/>
    <w:qFormat/>
    <w:uiPriority w:val="0"/>
    <w:pPr>
      <w:outlineLvl w:val="0"/>
    </w:pPr>
    <w:rPr>
      <w:rFonts w:ascii="Times New Roman" w:hAnsi="Times New Roman" w:eastAsia="黑体" w:cs="Times New Roman"/>
      <w:bCs/>
      <w:kern w:val="2"/>
      <w:sz w:val="24"/>
      <w:szCs w:val="22"/>
      <w:lang w:val="en-US" w:eastAsia="zh-CN" w:bidi="ar-SA"/>
    </w:rPr>
  </w:style>
  <w:style w:type="paragraph" w:customStyle="1" w:styleId="240">
    <w:name w:val="Char Char Char"/>
    <w:basedOn w:val="1"/>
    <w:link w:val="241"/>
    <w:autoRedefine/>
    <w:qFormat/>
    <w:uiPriority w:val="0"/>
    <w:pPr>
      <w:widowControl/>
      <w:adjustRightInd w:val="0"/>
      <w:snapToGrid w:val="0"/>
      <w:ind w:firstLine="200"/>
    </w:pPr>
    <w:rPr>
      <w:rFonts w:ascii="宋体" w:hAnsi="宋体"/>
      <w:szCs w:val="21"/>
    </w:rPr>
  </w:style>
  <w:style w:type="character" w:customStyle="1" w:styleId="241">
    <w:name w:val="Char Char Char Char11"/>
    <w:link w:val="240"/>
    <w:autoRedefine/>
    <w:qFormat/>
    <w:uiPriority w:val="0"/>
    <w:rPr>
      <w:rFonts w:ascii="宋体" w:hAnsi="宋体"/>
      <w:kern w:val="2"/>
      <w:sz w:val="24"/>
      <w:szCs w:val="21"/>
    </w:rPr>
  </w:style>
  <w:style w:type="paragraph" w:customStyle="1" w:styleId="242">
    <w:name w:val="2"/>
    <w:basedOn w:val="1"/>
    <w:autoRedefine/>
    <w:qFormat/>
    <w:uiPriority w:val="0"/>
    <w:pPr>
      <w:widowControl/>
      <w:adjustRightInd w:val="0"/>
      <w:snapToGrid w:val="0"/>
      <w:spacing w:before="240" w:line="440" w:lineRule="exact"/>
    </w:pPr>
    <w:rPr>
      <w:rFonts w:ascii="黑体" w:hAnsi="Calibri" w:eastAsia="黑体" w:cs="黑体"/>
      <w:szCs w:val="28"/>
    </w:rPr>
  </w:style>
  <w:style w:type="paragraph" w:customStyle="1" w:styleId="243">
    <w:name w:val="列出段落1"/>
    <w:basedOn w:val="1"/>
    <w:autoRedefine/>
    <w:qFormat/>
    <w:uiPriority w:val="34"/>
    <w:pPr>
      <w:widowControl/>
      <w:adjustRightInd w:val="0"/>
      <w:snapToGrid w:val="0"/>
      <w:ind w:firstLine="420"/>
    </w:pPr>
    <w:rPr>
      <w:rFonts w:ascii="Calibri" w:hAnsi="Calibri" w:cs="黑体"/>
      <w:szCs w:val="21"/>
    </w:rPr>
  </w:style>
  <w:style w:type="paragraph" w:customStyle="1" w:styleId="244">
    <w:name w:val="正文文本 (2)"/>
    <w:basedOn w:val="1"/>
    <w:autoRedefine/>
    <w:qFormat/>
    <w:uiPriority w:val="0"/>
    <w:pPr>
      <w:widowControl/>
      <w:shd w:val="clear" w:color="auto" w:fill="FFFFFF"/>
      <w:adjustRightInd w:val="0"/>
      <w:snapToGrid w:val="0"/>
      <w:jc w:val="left"/>
    </w:pPr>
    <w:rPr>
      <w:rFonts w:ascii="Calibri" w:hAnsi="Calibri" w:eastAsia="Times New Roman" w:cs="黑体"/>
      <w:kern w:val="0"/>
      <w:sz w:val="20"/>
      <w:szCs w:val="20"/>
    </w:rPr>
  </w:style>
  <w:style w:type="paragraph" w:customStyle="1" w:styleId="245">
    <w:name w:val="Body Text 21"/>
    <w:basedOn w:val="1"/>
    <w:autoRedefine/>
    <w:qFormat/>
    <w:uiPriority w:val="99"/>
    <w:pPr>
      <w:widowControl/>
      <w:adjustRightInd w:val="0"/>
      <w:snapToGrid w:val="0"/>
      <w:spacing w:line="500" w:lineRule="exact"/>
      <w:jc w:val="center"/>
      <w:textAlignment w:val="baseline"/>
    </w:pPr>
    <w:rPr>
      <w:rFonts w:ascii="Calibri" w:hAnsi="Calibri" w:cs="黑体"/>
      <w:kern w:val="0"/>
      <w:szCs w:val="20"/>
    </w:rPr>
  </w:style>
  <w:style w:type="character" w:customStyle="1" w:styleId="246">
    <w:name w:val="正文文本 (2) + SimSun"/>
    <w:autoRedefine/>
    <w:qFormat/>
    <w:uiPriority w:val="0"/>
    <w:rPr>
      <w:rFonts w:ascii="宋体" w:hAnsi="宋体" w:eastAsia="宋体" w:cs="宋体"/>
      <w:color w:val="000000"/>
      <w:spacing w:val="-10"/>
      <w:w w:val="100"/>
      <w:position w:val="0"/>
      <w:sz w:val="28"/>
      <w:szCs w:val="28"/>
      <w:u w:val="none"/>
      <w:lang w:val="zh-CN" w:eastAsia="zh-CN" w:bidi="zh-CN"/>
    </w:rPr>
  </w:style>
  <w:style w:type="paragraph" w:customStyle="1" w:styleId="247">
    <w:name w:val="表头文字"/>
    <w:basedOn w:val="6"/>
    <w:autoRedefine/>
    <w:qFormat/>
    <w:uiPriority w:val="0"/>
    <w:pPr>
      <w:adjustRightInd w:val="0"/>
      <w:spacing w:before="0" w:after="120" w:line="240" w:lineRule="auto"/>
      <w:ind w:right="0"/>
    </w:pPr>
    <w:rPr>
      <w:rFonts w:ascii="Calibri" w:hAnsi="Calibri" w:eastAsia="黑体" w:cs="黑体"/>
      <w:kern w:val="2"/>
      <w:sz w:val="24"/>
      <w:szCs w:val="24"/>
    </w:rPr>
  </w:style>
  <w:style w:type="paragraph" w:customStyle="1" w:styleId="248">
    <w:name w:val="样式 行距: 固定值 28 磅 首行缩进: 2.08 字符"/>
    <w:basedOn w:val="1"/>
    <w:autoRedefine/>
    <w:qFormat/>
    <w:uiPriority w:val="0"/>
    <w:pPr>
      <w:widowControl/>
      <w:adjustRightInd w:val="0"/>
      <w:snapToGrid w:val="0"/>
      <w:spacing w:line="560" w:lineRule="exact"/>
      <w:ind w:firstLine="478" w:firstLineChars="199"/>
    </w:pPr>
    <w:rPr>
      <w:rFonts w:ascii="Calibri" w:hAnsi="Calibri" w:cs="宋体"/>
      <w:szCs w:val="20"/>
    </w:rPr>
  </w:style>
  <w:style w:type="character" w:customStyle="1" w:styleId="249">
    <w:name w:val="正文缩进 Char1"/>
    <w:autoRedefine/>
    <w:qFormat/>
    <w:uiPriority w:val="0"/>
    <w:rPr>
      <w:rFonts w:ascii="Times New Roman" w:hAnsi="Times New Roman" w:eastAsia="宋体" w:cs="Times New Roman"/>
      <w:szCs w:val="20"/>
    </w:rPr>
  </w:style>
  <w:style w:type="character" w:customStyle="1" w:styleId="250">
    <w:name w:val="NormalCharacter"/>
    <w:autoRedefine/>
    <w:qFormat/>
    <w:uiPriority w:val="0"/>
  </w:style>
  <w:style w:type="paragraph" w:customStyle="1" w:styleId="251">
    <w:name w:val="1表格内容"/>
    <w:basedOn w:val="1"/>
    <w:autoRedefine/>
    <w:qFormat/>
    <w:uiPriority w:val="0"/>
    <w:pPr>
      <w:widowControl/>
      <w:snapToGrid w:val="0"/>
      <w:jc w:val="center"/>
    </w:pPr>
    <w:rPr>
      <w:szCs w:val="28"/>
    </w:rPr>
  </w:style>
  <w:style w:type="paragraph" w:customStyle="1" w:styleId="252">
    <w:name w:val="_Style 63"/>
    <w:basedOn w:val="1"/>
    <w:autoRedefine/>
    <w:qFormat/>
    <w:uiPriority w:val="0"/>
    <w:rPr>
      <w:szCs w:val="20"/>
    </w:rPr>
  </w:style>
  <w:style w:type="character" w:customStyle="1" w:styleId="253">
    <w:name w:val="正文文本缩进 字符"/>
    <w:autoRedefine/>
    <w:semiHidden/>
    <w:qFormat/>
    <w:locked/>
    <w:uiPriority w:val="0"/>
    <w:rPr>
      <w:rFonts w:ascii="Times New Roman" w:hAnsi="Times New Roman" w:eastAsia="宋体"/>
      <w:sz w:val="24"/>
    </w:rPr>
  </w:style>
  <w:style w:type="character" w:customStyle="1" w:styleId="254">
    <w:name w:val="mh-content-desc-info"/>
    <w:basedOn w:val="45"/>
    <w:autoRedefine/>
    <w:qFormat/>
    <w:uiPriority w:val="0"/>
  </w:style>
  <w:style w:type="character" w:customStyle="1" w:styleId="255">
    <w:name w:val="表格(张曦) Char"/>
    <w:link w:val="256"/>
    <w:autoRedefine/>
    <w:qFormat/>
    <w:uiPriority w:val="0"/>
    <w:rPr>
      <w:rFonts w:ascii="Arial" w:hAnsi="Arial"/>
      <w:kern w:val="2"/>
      <w:sz w:val="21"/>
      <w:szCs w:val="24"/>
    </w:rPr>
  </w:style>
  <w:style w:type="paragraph" w:customStyle="1" w:styleId="256">
    <w:name w:val="表格(张曦)"/>
    <w:basedOn w:val="1"/>
    <w:link w:val="255"/>
    <w:autoRedefine/>
    <w:qFormat/>
    <w:uiPriority w:val="0"/>
    <w:pPr>
      <w:snapToGrid w:val="0"/>
      <w:jc w:val="center"/>
    </w:pPr>
    <w:rPr>
      <w:rFonts w:ascii="Arial" w:hAnsi="Arial"/>
      <w:sz w:val="21"/>
    </w:rPr>
  </w:style>
  <w:style w:type="paragraph" w:customStyle="1" w:styleId="257">
    <w:name w:val="表标题"/>
    <w:basedOn w:val="1"/>
    <w:next w:val="1"/>
    <w:link w:val="258"/>
    <w:autoRedefine/>
    <w:qFormat/>
    <w:uiPriority w:val="0"/>
    <w:pPr>
      <w:jc w:val="center"/>
    </w:pPr>
    <w:rPr>
      <w:b/>
      <w:bCs/>
      <w:sz w:val="21"/>
      <w:szCs w:val="21"/>
    </w:rPr>
  </w:style>
  <w:style w:type="character" w:customStyle="1" w:styleId="258">
    <w:name w:val="表标题 Char"/>
    <w:link w:val="257"/>
    <w:autoRedefine/>
    <w:qFormat/>
    <w:uiPriority w:val="0"/>
    <w:rPr>
      <w:rFonts w:eastAsia="宋体"/>
      <w:b/>
      <w:bCs/>
      <w:kern w:val="2"/>
      <w:sz w:val="21"/>
      <w:szCs w:val="21"/>
    </w:rPr>
  </w:style>
  <w:style w:type="character" w:customStyle="1" w:styleId="259">
    <w:name w:val="Y表正文 字符"/>
    <w:link w:val="260"/>
    <w:autoRedefine/>
    <w:qFormat/>
    <w:locked/>
    <w:uiPriority w:val="0"/>
    <w:rPr>
      <w:szCs w:val="32"/>
    </w:rPr>
  </w:style>
  <w:style w:type="paragraph" w:customStyle="1" w:styleId="260">
    <w:name w:val="Y表正文"/>
    <w:basedOn w:val="1"/>
    <w:next w:val="1"/>
    <w:link w:val="259"/>
    <w:autoRedefine/>
    <w:qFormat/>
    <w:uiPriority w:val="0"/>
    <w:pPr>
      <w:wordWrap w:val="0"/>
      <w:ind w:left="200"/>
      <w:jc w:val="center"/>
    </w:pPr>
    <w:rPr>
      <w:kern w:val="0"/>
      <w:sz w:val="20"/>
      <w:szCs w:val="32"/>
    </w:rPr>
  </w:style>
  <w:style w:type="paragraph" w:customStyle="1" w:styleId="261">
    <w:name w:val="图标 表标"/>
    <w:basedOn w:val="1"/>
    <w:autoRedefine/>
    <w:qFormat/>
    <w:uiPriority w:val="0"/>
    <w:pPr>
      <w:autoSpaceDE w:val="0"/>
      <w:autoSpaceDN w:val="0"/>
      <w:adjustRightInd w:val="0"/>
      <w:jc w:val="center"/>
    </w:pPr>
    <w:rPr>
      <w:b/>
      <w:bCs/>
      <w:kern w:val="21"/>
    </w:rPr>
  </w:style>
  <w:style w:type="paragraph" w:customStyle="1" w:styleId="262">
    <w:name w:val="表内文字"/>
    <w:basedOn w:val="139"/>
    <w:autoRedefine/>
    <w:qFormat/>
    <w:uiPriority w:val="0"/>
    <w:pPr>
      <w:adjustRightInd w:val="0"/>
      <w:spacing w:line="240" w:lineRule="auto"/>
      <w:ind w:firstLine="0"/>
      <w:jc w:val="center"/>
    </w:pPr>
    <w:rPr>
      <w:rFonts w:hint="eastAsia"/>
      <w:sz w:val="21"/>
    </w:rPr>
  </w:style>
  <w:style w:type="paragraph" w:customStyle="1" w:styleId="263">
    <w:name w:val="正文最终"/>
    <w:autoRedefine/>
    <w:qFormat/>
    <w:uiPriority w:val="0"/>
    <w:pPr>
      <w:widowControl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264">
    <w:name w:val="1正文段落"/>
    <w:basedOn w:val="1"/>
    <w:autoRedefine/>
    <w:qFormat/>
    <w:uiPriority w:val="0"/>
    <w:pPr>
      <w:ind w:firstLine="480"/>
      <w:jc w:val="left"/>
    </w:pPr>
    <w:rPr>
      <w:snapToGrid w:val="0"/>
      <w:kern w:val="0"/>
    </w:rPr>
  </w:style>
  <w:style w:type="paragraph" w:customStyle="1" w:styleId="265">
    <w:name w:val="样式 小四 行距: 1.5 倍行距"/>
    <w:basedOn w:val="1"/>
    <w:autoRedefine/>
    <w:unhideWhenUsed/>
    <w:qFormat/>
    <w:uiPriority w:val="0"/>
    <w:pPr>
      <w:ind w:firstLine="480"/>
    </w:pPr>
    <w:rPr>
      <w:rFonts w:cs="宋体"/>
      <w:sz w:val="21"/>
    </w:rPr>
  </w:style>
  <w:style w:type="paragraph" w:customStyle="1" w:styleId="266">
    <w:name w:val="Table Text"/>
    <w:basedOn w:val="1"/>
    <w:autoRedefine/>
    <w:semiHidden/>
    <w:qFormat/>
    <w:uiPriority w:val="0"/>
    <w:rPr>
      <w:rFonts w:ascii="宋体" w:hAnsi="宋体" w:cs="宋体"/>
      <w:lang w:eastAsia="en-US"/>
    </w:rPr>
  </w:style>
  <w:style w:type="paragraph" w:customStyle="1" w:styleId="267">
    <w:name w:val="四级条标题"/>
    <w:basedOn w:val="1"/>
    <w:next w:val="268"/>
    <w:autoRedefine/>
    <w:qFormat/>
    <w:uiPriority w:val="0"/>
    <w:pPr>
      <w:widowControl/>
      <w:spacing w:line="240" w:lineRule="auto"/>
      <w:outlineLvl w:val="5"/>
    </w:pPr>
    <w:rPr>
      <w:rFonts w:ascii="黑体" w:hAnsi="Calibri" w:eastAsia="黑体" w:cs="宋体"/>
      <w:kern w:val="0"/>
      <w:sz w:val="21"/>
      <w:szCs w:val="21"/>
    </w:rPr>
  </w:style>
  <w:style w:type="paragraph" w:customStyle="1" w:styleId="268">
    <w:name w:val="段"/>
    <w:basedOn w:val="1"/>
    <w:autoRedefine/>
    <w:qFormat/>
    <w:uiPriority w:val="0"/>
    <w:pPr>
      <w:widowControl/>
      <w:autoSpaceDE w:val="0"/>
      <w:autoSpaceDN w:val="0"/>
      <w:spacing w:line="240" w:lineRule="auto"/>
      <w:ind w:firstLine="420"/>
    </w:pPr>
    <w:rPr>
      <w:rFonts w:ascii="宋体" w:hAnsi="宋体" w:eastAsia="Times New Roman" w:cs="宋体"/>
      <w:kern w:val="0"/>
      <w:sz w:val="21"/>
      <w:szCs w:val="21"/>
    </w:rPr>
  </w:style>
  <w:style w:type="character" w:customStyle="1" w:styleId="269">
    <w:name w:val="text_gmimm"/>
    <w:basedOn w:val="45"/>
    <w:autoRedefine/>
    <w:qFormat/>
    <w:uiPriority w:val="0"/>
  </w:style>
  <w:style w:type="paragraph" w:customStyle="1" w:styleId="270">
    <w:name w:val="正文2"/>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271">
    <w:name w:val="正文3"/>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272">
    <w:name w:val="正文4"/>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273">
    <w:name w:val="text_ygy92"/>
    <w:basedOn w:val="45"/>
    <w:autoRedefine/>
    <w:qFormat/>
    <w:uiPriority w:val="0"/>
  </w:style>
  <w:style w:type="paragraph" w:customStyle="1" w:styleId="274">
    <w:name w:val="正文5"/>
    <w:autoRedefine/>
    <w:qFormat/>
    <w:uiPriority w:val="0"/>
    <w:pPr>
      <w:jc w:val="both"/>
    </w:pPr>
    <w:rPr>
      <w:rFonts w:ascii="Calibri" w:hAnsi="Calibri" w:eastAsia="宋体" w:cs="宋体"/>
      <w:kern w:val="2"/>
      <w:sz w:val="21"/>
      <w:szCs w:val="21"/>
      <w:lang w:val="en-US" w:eastAsia="zh-CN" w:bidi="ar-SA"/>
    </w:rPr>
  </w:style>
  <w:style w:type="character" w:customStyle="1" w:styleId="275">
    <w:name w:val="text_sfl7l"/>
    <w:basedOn w:val="45"/>
    <w:autoRedefine/>
    <w:qFormat/>
    <w:uiPriority w:val="0"/>
  </w:style>
  <w:style w:type="paragraph" w:customStyle="1" w:styleId="276">
    <w:name w:val="sheet"/>
    <w:basedOn w:val="1"/>
    <w:autoRedefine/>
    <w:qFormat/>
    <w:uiPriority w:val="0"/>
    <w:pPr>
      <w:suppressAutoHyphens/>
      <w:topLinePunct/>
      <w:jc w:val="center"/>
    </w:pPr>
    <w:rPr>
      <w:kern w:val="0"/>
    </w:rPr>
  </w:style>
  <w:style w:type="paragraph" w:customStyle="1" w:styleId="277">
    <w:name w:val="修订1"/>
    <w:autoRedefine/>
    <w:hidden/>
    <w:unhideWhenUsed/>
    <w:qFormat/>
    <w:uiPriority w:val="99"/>
    <w:rPr>
      <w:rFonts w:ascii="Times New Roman" w:hAnsi="Times New Roman" w:eastAsia="宋体" w:cs="Times New Roman"/>
      <w:kern w:val="2"/>
      <w:sz w:val="24"/>
      <w:szCs w:val="24"/>
      <w:lang w:val="en-US" w:eastAsia="zh-CN" w:bidi="ar-SA"/>
    </w:rPr>
  </w:style>
  <w:style w:type="paragraph" w:customStyle="1" w:styleId="278">
    <w:name w:val="万马"/>
    <w:basedOn w:val="1"/>
    <w:autoRedefine/>
    <w:qFormat/>
    <w:uiPriority w:val="0"/>
    <w:pPr>
      <w:ind w:firstLine="720" w:firstLineChars="200"/>
      <w:jc w:val="left"/>
    </w:pPr>
    <w:rPr>
      <w:rFonts w:ascii="宋体" w:hAnsi="宋体" w:cs="宋体"/>
      <w:bCs/>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png"/><Relationship Id="rId6" Type="http://schemas.openxmlformats.org/officeDocument/2006/relationships/header" Target="header2.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jpe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3074"/>
    <customShpInfo spid="_x0000_s3073"/>
    <customShpInfo spid="_x0000_s2065"/>
    <customShpInfo spid="_x0000_s2067"/>
    <customShpInfo spid="_x0000_s2064"/>
    <customShpInfo spid="_x0000_s2063"/>
    <customShpInfo spid="_x0000_s2062"/>
    <customShpInfo spid="_x0000_s2061"/>
    <customShpInfo spid="_x0000_s2070"/>
    <customShpInfo spid="_x0000_s2069"/>
    <customShpInfo spid="_x0000_s2060"/>
    <customShpInfo spid="_x0000_s2059"/>
    <customShpInfo spid="_x0000_s2058"/>
    <customShpInfo spid="_x0000_s2057"/>
    <customShpInfo spid="_x0000_s2091"/>
    <customShpInfo spid="_x0000_s2090"/>
    <customShpInfo spid="_x0000_s2089"/>
    <customShpInfo spid="_x0000_s2074"/>
    <customShpInfo spid="_x0000_s2088"/>
    <customShpInfo spid="_x0000_s2087"/>
    <customShpInfo spid="_x0000_s2086"/>
    <customShpInfo spid="_x0000_s2085"/>
    <customShpInfo spid="_x0000_s2084"/>
    <customShpInfo spid="_x0000_s2083"/>
    <customShpInfo spid="_x0000_s2082"/>
    <customShpInfo spid="_x0000_s2081"/>
    <customShpInfo spid="_x0000_s2079"/>
    <customShpInfo spid="_x0000_s2078"/>
    <customShpInfo spid="_x0000_s2077"/>
    <customShpInfo spid="_x0000_s2073"/>
    <customShpInfo spid="_x0000_s2071"/>
    <customShpInfo spid="_x0000_s2072"/>
    <customShpInfo spid="_x0000_s2053"/>
    <customShpInfo spid="_x0000_s2055"/>
    <customShpInfo spid="_x0000_s2054"/>
    <customShpInfo spid="_x0000_s2052"/>
    <customShpInfo spid="_x0000_s2068"/>
    <customShpInfo spid="_x0000_s2051"/>
    <customShpInfo spid="_x0000_s2050"/>
    <customShpInfo spid="_x0000_s2094"/>
    <customShpInfo spid="_x0000_s2093"/>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4EDE3D-D8E7-4E10-804D-296F03012CD9}">
  <ds:schemaRefs/>
</ds:datastoreItem>
</file>

<file path=docProps/app.xml><?xml version="1.0" encoding="utf-8"?>
<Properties xmlns="http://schemas.openxmlformats.org/officeDocument/2006/extended-properties" xmlns:vt="http://schemas.openxmlformats.org/officeDocument/2006/docPropsVTypes">
  <Template>Normal</Template>
  <Pages>63</Pages>
  <Words>19244</Words>
  <Characters>20756</Characters>
  <Lines>165</Lines>
  <Paragraphs>46</Paragraphs>
  <TotalTime>20</TotalTime>
  <ScaleCrop>false</ScaleCrop>
  <LinksUpToDate>false</LinksUpToDate>
  <CharactersWithSpaces>20920</CharactersWithSpaces>
  <Application>WPS Office_12.1.0.16364_F1E327BC-269C-435d-A152-05C5408002CA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2024-04-17T01:39:00Z</dcterms:created>
  <dc:creator>lhj</dc:creator>
  <cp:lastModifiedBy>周杨</cp:lastModifiedBy>
  <cp:lastPrinted>2024-04-28T07:32:00Z</cp:lastPrinted>
  <dcterms:modified xsi:type="dcterms:W3CDTF">2024-08-21T02:12:03Z</dcterms:modified>
  <dc:title>附件2</dc:title>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2052-12.1.0.16364</vt:lpwstr>
  </property>
  <property fmtid="{D5CDD505-2E9C-101B-9397-08002B2CF9AE}" pid="3" name="ICV">
    <vt:lpwstr>93110412E7044C199CDC6B5EF137F627_13</vt:lpwstr>
  </property>
</Properties>
</file>